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682"/>
        <w:gridCol w:w="938"/>
        <w:gridCol w:w="5299"/>
        <w:gridCol w:w="425"/>
        <w:gridCol w:w="709"/>
        <w:gridCol w:w="709"/>
        <w:gridCol w:w="6379"/>
        <w:gridCol w:w="425"/>
        <w:gridCol w:w="634"/>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DA5DED" w:rsidP="0078287E">
            <w:pPr>
              <w:pStyle w:val="Heading1"/>
              <w:bidi w:val="0"/>
              <w:spacing w:after="0" w:line="240" w:lineRule="auto"/>
              <w:rPr>
                <w:rFonts w:ascii="Arial Narrow" w:hAnsi="Arial Narrow"/>
                <w:sz w:val="22"/>
                <w:szCs w:val="22"/>
              </w:rPr>
            </w:pPr>
            <w:r w:rsidRPr="00DA5DED">
              <w:rPr>
                <w:rFonts w:ascii="Arial Narrow" w:hAnsi="Arial Narrow"/>
                <w:sz w:val="22"/>
                <w:szCs w:val="22"/>
              </w:rPr>
              <w:t>TABUĽKA  ZHODY</w:t>
            </w:r>
          </w:p>
          <w:p w:rsidR="00217BF4" w:rsidRPr="00DA5DED" w:rsidP="00217BF4">
            <w:pPr>
              <w:pStyle w:val="Zkladntext"/>
              <w:bidi w:val="0"/>
              <w:spacing w:after="0" w:line="240" w:lineRule="auto"/>
              <w:jc w:val="center"/>
              <w:rPr>
                <w:rFonts w:ascii="Arial Narrow" w:hAnsi="Arial Narrow"/>
                <w:b/>
                <w:sz w:val="22"/>
                <w:szCs w:val="22"/>
              </w:rPr>
            </w:pPr>
            <w:r w:rsidRPr="00DA5DED" w:rsidR="004577EC">
              <w:rPr>
                <w:rFonts w:ascii="Arial Narrow" w:hAnsi="Arial Narrow"/>
                <w:b/>
                <w:sz w:val="22"/>
                <w:szCs w:val="22"/>
              </w:rPr>
              <w:t>k </w:t>
            </w:r>
            <w:r w:rsidRPr="00DA5DED" w:rsidR="0078287E">
              <w:rPr>
                <w:rFonts w:ascii="Arial Narrow" w:hAnsi="Arial Narrow"/>
                <w:b/>
                <w:sz w:val="22"/>
                <w:szCs w:val="22"/>
              </w:rPr>
              <w:t>n</w:t>
            </w:r>
            <w:r w:rsidRPr="00DA5DED" w:rsidR="0091636B">
              <w:rPr>
                <w:rFonts w:ascii="Arial Narrow" w:hAnsi="Arial Narrow"/>
                <w:b/>
                <w:sz w:val="22"/>
                <w:szCs w:val="22"/>
              </w:rPr>
              <w:t>ávrh zákona</w:t>
            </w:r>
            <w:r w:rsidRPr="00DA5DED" w:rsidR="002E1D16">
              <w:rPr>
                <w:rFonts w:ascii="Arial Narrow" w:hAnsi="Arial Narrow"/>
                <w:b/>
                <w:sz w:val="22"/>
                <w:szCs w:val="22"/>
              </w:rPr>
              <w:t xml:space="preserve">, </w:t>
            </w:r>
            <w:r w:rsidRPr="007537CE" w:rsidR="006130DA">
              <w:rPr>
                <w:rFonts w:ascii="Arial Narrow" w:hAnsi="Arial Narrow"/>
                <w:b/>
                <w:sz w:val="22"/>
                <w:szCs w:val="22"/>
              </w:rPr>
              <w:t xml:space="preserve">ktorým sa mení a dopĺňa zákon č. 203/2011 Z. z. o kolektívnom investovaní v znení </w:t>
            </w:r>
            <w:r w:rsidRPr="007537CE" w:rsidR="006130DA">
              <w:rPr>
                <w:rFonts w:ascii="Arial Narrow" w:hAnsi="Arial Narrow"/>
                <w:b/>
                <w:bCs/>
                <w:sz w:val="22"/>
                <w:szCs w:val="22"/>
              </w:rPr>
              <w:t>zákona č. 547/2011 Z. z. a ktorým sa mení a dopĺňa zákon č. 566/2001 Z. z. o cenných papieroch a investičných službách a o zmene a doplnení niektorých zákonov (zákon o cenných papieroch) v znení neskorších predpisov</w:t>
            </w:r>
          </w:p>
          <w:p w:rsidR="008C54C3" w:rsidRPr="00DA5DED" w:rsidP="00217BF4">
            <w:pPr>
              <w:pStyle w:val="Zkladntext"/>
              <w:bidi w:val="0"/>
              <w:spacing w:after="0" w:line="240" w:lineRule="auto"/>
              <w:jc w:val="center"/>
              <w:rPr>
                <w:rFonts w:ascii="Arial Narrow" w:hAnsi="Arial Narrow"/>
                <w:b/>
                <w:bCs/>
                <w:sz w:val="22"/>
                <w:szCs w:val="22"/>
              </w:rPr>
            </w:pPr>
            <w:r w:rsidRPr="00DA5DED" w:rsidR="00217BF4">
              <w:rPr>
                <w:rFonts w:ascii="Arial Narrow" w:hAnsi="Arial Narrow"/>
                <w:b/>
                <w:sz w:val="22"/>
                <w:szCs w:val="22"/>
              </w:rPr>
              <w:t xml:space="preserve"> </w:t>
            </w:r>
            <w:r w:rsidRPr="00DA5DED" w:rsidR="00127033">
              <w:rPr>
                <w:rFonts w:ascii="Arial Narrow" w:hAnsi="Arial Narrow"/>
                <w:b/>
                <w:sz w:val="22"/>
                <w:szCs w:val="22"/>
              </w:rPr>
              <w:t>s právom Európskej únie</w:t>
            </w:r>
          </w:p>
        </w:tc>
      </w:tr>
      <w:tr>
        <w:tblPrEx>
          <w:tblW w:w="1620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8C54C3" w:rsidRPr="00DA5DED">
            <w:pPr>
              <w:pStyle w:val="Heading4"/>
              <w:bidi w:val="0"/>
              <w:spacing w:after="0" w:line="240" w:lineRule="auto"/>
              <w:jc w:val="both"/>
              <w:rPr>
                <w:rFonts w:ascii="Arial Narrow" w:hAnsi="Arial Narrow"/>
              </w:rPr>
            </w:pPr>
            <w:r w:rsidRPr="00DA5DED">
              <w:rPr>
                <w:rFonts w:ascii="Arial Narrow" w:hAnsi="Arial Narrow"/>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8C54C3" w:rsidRPr="00DA5DED" w:rsidP="00217BF4">
            <w:pPr>
              <w:pStyle w:val="Default"/>
              <w:bidi w:val="0"/>
              <w:spacing w:after="0" w:line="240" w:lineRule="auto"/>
              <w:rPr>
                <w:rFonts w:ascii="Arial Narrow" w:hAnsi="Arial Narrow" w:cs="Times New Roman"/>
                <w:b/>
                <w:bCs/>
                <w:sz w:val="22"/>
                <w:szCs w:val="22"/>
              </w:rPr>
            </w:pPr>
            <w:r w:rsidRPr="00DA5DED" w:rsidR="00F74FCF">
              <w:rPr>
                <w:rFonts w:ascii="Arial Narrow" w:hAnsi="Arial Narrow" w:cs="Times New Roman"/>
                <w:b/>
                <w:bCs/>
                <w:sz w:val="22"/>
                <w:szCs w:val="22"/>
              </w:rPr>
              <w:t xml:space="preserve">Smernica Európskeho parlamentu a Rady </w:t>
            </w:r>
            <w:r w:rsidRPr="00DA5DED" w:rsidR="00F74FCF">
              <w:rPr>
                <w:rFonts w:ascii="Arial Narrow" w:hAnsi="Arial Narrow" w:cs="Times New Roman"/>
                <w:b/>
                <w:bCs/>
                <w:sz w:val="22"/>
                <w:szCs w:val="22"/>
                <w:u w:val="single"/>
              </w:rPr>
              <w:t>2011/61/EÚ</w:t>
            </w:r>
            <w:r w:rsidRPr="00DA5DED" w:rsidR="00F74FCF">
              <w:rPr>
                <w:rFonts w:ascii="Arial Narrow" w:hAnsi="Arial Narrow" w:cs="Times New Roman"/>
                <w:b/>
                <w:bCs/>
                <w:sz w:val="22"/>
                <w:szCs w:val="22"/>
              </w:rPr>
              <w:t xml:space="preserve"> z 8. júna 2011 o správcoch alternatívnych investičných fondov a o zmene a doplnení smerníc 2003/41/ES a 2009/65/ES a nariadení (ES) č. 1060/2009 a (EÚ) č. 1095/2010</w:t>
            </w:r>
          </w:p>
        </w:tc>
      </w:tr>
      <w:tr>
        <w:tblPrEx>
          <w:tblW w:w="16200" w:type="dxa"/>
          <w:tblInd w:w="-497" w:type="dxa"/>
          <w:tblLayout w:type="fixed"/>
          <w:tblCellMar>
            <w:left w:w="43" w:type="dxa"/>
            <w:right w:w="43" w:type="dxa"/>
          </w:tblCellMar>
        </w:tblPrEx>
        <w:trPr>
          <w:trHeight w:val="567"/>
        </w:trPr>
        <w:tc>
          <w:tcPr>
            <w:tcW w:w="7344"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DA5DED">
            <w:pPr>
              <w:pStyle w:val="Heading4"/>
              <w:bidi w:val="0"/>
              <w:spacing w:before="120" w:after="0" w:line="240" w:lineRule="auto"/>
              <w:rPr>
                <w:rFonts w:ascii="Arial Narrow" w:hAnsi="Arial Narrow"/>
              </w:rPr>
            </w:pPr>
            <w:r w:rsidRPr="00DA5DED" w:rsidR="00DE0F85">
              <w:rPr>
                <w:rFonts w:ascii="Arial Narrow" w:hAnsi="Arial Narrow"/>
              </w:rPr>
              <w:t>Smernica EÚ</w:t>
            </w:r>
          </w:p>
          <w:p w:rsidR="00EE7DD6" w:rsidRPr="00DA5DED" w:rsidP="00217BF4">
            <w:pPr>
              <w:pStyle w:val="BodyText3"/>
              <w:bidi w:val="0"/>
              <w:spacing w:after="0" w:line="240" w:lineRule="exact"/>
              <w:rPr>
                <w:rFonts w:ascii="Arial Narrow" w:hAnsi="Arial Narrow"/>
                <w:sz w:val="22"/>
                <w:szCs w:val="22"/>
              </w:rPr>
            </w:pPr>
            <w:r w:rsidRPr="00DA5DED" w:rsidR="002C5870">
              <w:rPr>
                <w:rFonts w:ascii="Arial Narrow" w:hAnsi="Arial Narrow"/>
                <w:b/>
                <w:bCs/>
                <w:sz w:val="22"/>
                <w:szCs w:val="22"/>
              </w:rPr>
              <w:t xml:space="preserve">Smernica Európskeho parlamentu a Rady </w:t>
            </w:r>
            <w:r w:rsidRPr="00DA5DED" w:rsidR="002C5870">
              <w:rPr>
                <w:rFonts w:ascii="Arial Narrow" w:hAnsi="Arial Narrow"/>
                <w:b/>
                <w:bCs/>
                <w:sz w:val="22"/>
                <w:szCs w:val="22"/>
                <w:u w:val="single"/>
              </w:rPr>
              <w:t>2011/61/EÚ</w:t>
            </w:r>
            <w:r w:rsidRPr="00DA5DED" w:rsidR="002C5870">
              <w:rPr>
                <w:rFonts w:ascii="Arial Narrow" w:hAnsi="Arial Narrow"/>
                <w:b/>
                <w:bCs/>
                <w:sz w:val="22"/>
                <w:szCs w:val="22"/>
              </w:rPr>
              <w:t xml:space="preserve"> z 8. júna 2011 o správcoch alternatívnych investičných fondov a o zmene a doplnení smerníc 2003/41/ES a 2009/65/ES a nariadení (ES) č. 1060/2009 a (EÚ) č. 1095/2010</w:t>
            </w:r>
          </w:p>
        </w:tc>
        <w:tc>
          <w:tcPr>
            <w:tcW w:w="8856" w:type="dxa"/>
            <w:gridSpan w:val="5"/>
            <w:tcBorders>
              <w:top w:val="single" w:sz="4" w:space="0" w:color="auto"/>
              <w:left w:val="nil"/>
              <w:bottom w:val="single" w:sz="4" w:space="0" w:color="auto"/>
              <w:right w:val="single" w:sz="12" w:space="0" w:color="auto"/>
            </w:tcBorders>
            <w:textDirection w:val="lrTb"/>
            <w:vAlign w:val="top"/>
          </w:tcPr>
          <w:p w:rsidR="008C54C3" w:rsidRPr="00DA5DED">
            <w:pPr>
              <w:pStyle w:val="Heading4"/>
              <w:bidi w:val="0"/>
              <w:spacing w:before="120" w:after="0" w:line="240" w:lineRule="auto"/>
              <w:rPr>
                <w:rFonts w:ascii="Arial Narrow" w:hAnsi="Arial Narrow"/>
              </w:rPr>
            </w:pPr>
            <w:r w:rsidRPr="00DA5DED">
              <w:rPr>
                <w:rFonts w:ascii="Arial Narrow" w:hAnsi="Arial Narrow"/>
              </w:rPr>
              <w:t>Všeobecne záväzné právne predpisy Slovenskej republiky</w:t>
            </w:r>
          </w:p>
          <w:p w:rsidR="002E1D16" w:rsidRPr="00DA5DED" w:rsidP="002E1D16">
            <w:pPr>
              <w:pStyle w:val="Zkladntext"/>
              <w:bidi w:val="0"/>
              <w:spacing w:after="0" w:line="240" w:lineRule="auto"/>
              <w:jc w:val="both"/>
              <w:rPr>
                <w:rFonts w:ascii="Arial Narrow" w:hAnsi="Arial Narrow"/>
                <w:sz w:val="22"/>
                <w:szCs w:val="22"/>
              </w:rPr>
            </w:pPr>
            <w:r w:rsidRPr="007537CE" w:rsidR="00846112">
              <w:rPr>
                <w:rFonts w:ascii="Arial Narrow" w:hAnsi="Arial Narrow"/>
                <w:b/>
                <w:sz w:val="22"/>
                <w:szCs w:val="22"/>
              </w:rPr>
              <w:t xml:space="preserve">Návrh zákona, ktorým sa mení a dopĺňa zákon č. 203/2011 Z. z. o kolektívnom investovaní v znení </w:t>
            </w:r>
            <w:r w:rsidRPr="007537CE" w:rsidR="00846112">
              <w:rPr>
                <w:rFonts w:ascii="Arial Narrow" w:hAnsi="Arial Narrow"/>
                <w:b/>
                <w:bCs/>
                <w:sz w:val="22"/>
                <w:szCs w:val="22"/>
              </w:rPr>
              <w:t>zákona č. 547/2011 Z. z. a ktorým sa mení a dopĺňa zákon č. 566/2001 Z. z. o cenných papieroch a investičných službách a o zmene a doplnení niektorých zákonov (zákon o cenných papieroch) v znení neskorších predpisov</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DA5DED">
            <w:pPr>
              <w:bidi w:val="0"/>
              <w:spacing w:after="0" w:line="240" w:lineRule="auto"/>
              <w:jc w:val="center"/>
              <w:rPr>
                <w:rFonts w:ascii="Arial Narrow" w:hAnsi="Arial Narrow"/>
                <w:sz w:val="22"/>
                <w:szCs w:val="22"/>
              </w:rPr>
            </w:pPr>
            <w:r w:rsidRPr="00DA5DED">
              <w:rPr>
                <w:rFonts w:ascii="Arial Narrow" w:hAnsi="Arial Narrow"/>
                <w:sz w:val="22"/>
                <w:szCs w:val="22"/>
              </w:rPr>
              <w:t>1</w:t>
            </w:r>
          </w:p>
        </w:tc>
        <w:tc>
          <w:tcPr>
            <w:tcW w:w="6237"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DA5DED">
            <w:pPr>
              <w:bidi w:val="0"/>
              <w:spacing w:after="0" w:line="240" w:lineRule="auto"/>
              <w:jc w:val="center"/>
              <w:rPr>
                <w:rFonts w:ascii="Arial Narrow" w:hAnsi="Arial Narrow"/>
                <w:sz w:val="22"/>
                <w:szCs w:val="22"/>
              </w:rPr>
            </w:pPr>
            <w:r w:rsidRPr="00DA5DED">
              <w:rPr>
                <w:rFonts w:ascii="Arial Narrow" w:hAnsi="Arial Narrow"/>
                <w:sz w:val="22"/>
                <w:szCs w:val="22"/>
              </w:rPr>
              <w:t>2</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A9063F" w:rsidRPr="00DA5DED">
            <w:pPr>
              <w:bidi w:val="0"/>
              <w:spacing w:after="0" w:line="240" w:lineRule="auto"/>
              <w:jc w:val="center"/>
              <w:rPr>
                <w:rFonts w:ascii="Arial Narrow" w:hAnsi="Arial Narrow"/>
                <w:sz w:val="22"/>
                <w:szCs w:val="22"/>
              </w:rPr>
            </w:pPr>
            <w:r w:rsidRPr="00DA5DED">
              <w:rPr>
                <w:rFonts w:ascii="Arial Narrow" w:hAnsi="Arial Narrow"/>
                <w:sz w:val="22"/>
                <w:szCs w:val="22"/>
              </w:rPr>
              <w:t>3</w:t>
            </w:r>
          </w:p>
        </w:tc>
        <w:tc>
          <w:tcPr>
            <w:tcW w:w="709" w:type="dxa"/>
            <w:tcBorders>
              <w:top w:val="single" w:sz="4" w:space="0" w:color="auto"/>
              <w:left w:val="nil"/>
              <w:bottom w:val="single" w:sz="4" w:space="0" w:color="auto"/>
              <w:right w:val="single" w:sz="4" w:space="0" w:color="auto"/>
            </w:tcBorders>
            <w:textDirection w:val="lrTb"/>
            <w:vAlign w:val="top"/>
          </w:tcPr>
          <w:p w:rsidR="00A9063F" w:rsidRPr="00DA5DED">
            <w:pPr>
              <w:bidi w:val="0"/>
              <w:spacing w:after="0" w:line="240" w:lineRule="auto"/>
              <w:jc w:val="center"/>
              <w:rPr>
                <w:rFonts w:ascii="Arial Narrow" w:hAnsi="Arial Narrow"/>
                <w:sz w:val="22"/>
                <w:szCs w:val="22"/>
              </w:rPr>
            </w:pPr>
            <w:r w:rsidRPr="00DA5DED">
              <w:rPr>
                <w:rFonts w:ascii="Arial Narrow" w:hAnsi="Arial Narrow"/>
                <w:sz w:val="22"/>
                <w:szCs w:val="22"/>
              </w:rPr>
              <w:t>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DA5DED">
            <w:pPr>
              <w:pStyle w:val="BodyText2"/>
              <w:bidi w:val="0"/>
              <w:spacing w:after="0" w:line="240" w:lineRule="exact"/>
              <w:rPr>
                <w:rFonts w:ascii="Arial Narrow" w:hAnsi="Arial Narrow"/>
                <w:sz w:val="22"/>
                <w:szCs w:val="22"/>
              </w:rPr>
            </w:pPr>
            <w:r w:rsidRPr="00DA5DED">
              <w:rPr>
                <w:rFonts w:ascii="Arial Narrow" w:hAnsi="Arial Narrow"/>
                <w:sz w:val="22"/>
                <w:szCs w:val="22"/>
              </w:rPr>
              <w:t>5</w:t>
            </w:r>
          </w:p>
        </w:tc>
        <w:tc>
          <w:tcPr>
            <w:tcW w:w="6379" w:type="dxa"/>
            <w:tcBorders>
              <w:top w:val="single" w:sz="4" w:space="0" w:color="auto"/>
              <w:left w:val="single" w:sz="4" w:space="0" w:color="auto"/>
              <w:bottom w:val="single" w:sz="4" w:space="0" w:color="auto"/>
              <w:right w:val="single" w:sz="4" w:space="0" w:color="auto"/>
            </w:tcBorders>
            <w:textDirection w:val="lrTb"/>
            <w:vAlign w:val="top"/>
          </w:tcPr>
          <w:p w:rsidR="00A9063F" w:rsidRPr="00DA5DED">
            <w:pPr>
              <w:pStyle w:val="BodyText2"/>
              <w:bidi w:val="0"/>
              <w:spacing w:after="0" w:line="240" w:lineRule="exact"/>
              <w:rPr>
                <w:rFonts w:ascii="Arial Narrow" w:hAnsi="Arial Narrow"/>
                <w:sz w:val="22"/>
                <w:szCs w:val="22"/>
              </w:rPr>
            </w:pPr>
            <w:r w:rsidRPr="00DA5DED">
              <w:rPr>
                <w:rFonts w:ascii="Arial Narrow" w:hAnsi="Arial Narrow"/>
                <w:sz w:val="22"/>
                <w:szCs w:val="22"/>
              </w:rPr>
              <w:t>6</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9063F" w:rsidRPr="00DA5DED">
            <w:pPr>
              <w:bidi w:val="0"/>
              <w:spacing w:after="0" w:line="240" w:lineRule="auto"/>
              <w:jc w:val="center"/>
              <w:rPr>
                <w:rFonts w:ascii="Arial Narrow" w:hAnsi="Arial Narrow"/>
                <w:sz w:val="22"/>
                <w:szCs w:val="22"/>
              </w:rPr>
            </w:pPr>
            <w:r w:rsidRPr="00DA5DED">
              <w:rPr>
                <w:rFonts w:ascii="Arial Narrow" w:hAnsi="Arial Narrow"/>
                <w:sz w:val="22"/>
                <w:szCs w:val="22"/>
              </w:rPr>
              <w:t>7</w:t>
            </w:r>
          </w:p>
        </w:tc>
        <w:tc>
          <w:tcPr>
            <w:tcW w:w="634" w:type="dxa"/>
            <w:tcBorders>
              <w:top w:val="single" w:sz="4" w:space="0" w:color="auto"/>
              <w:left w:val="single" w:sz="4" w:space="0" w:color="auto"/>
              <w:bottom w:val="single" w:sz="4" w:space="0" w:color="auto"/>
              <w:right w:val="single" w:sz="12" w:space="0" w:color="auto"/>
            </w:tcBorders>
            <w:textDirection w:val="lrTb"/>
            <w:vAlign w:val="top"/>
          </w:tcPr>
          <w:p w:rsidR="00A9063F" w:rsidRPr="00DA5DED">
            <w:pPr>
              <w:bidi w:val="0"/>
              <w:spacing w:after="0" w:line="240" w:lineRule="auto"/>
              <w:jc w:val="center"/>
              <w:rPr>
                <w:rFonts w:ascii="Arial Narrow" w:hAnsi="Arial Narrow"/>
                <w:sz w:val="22"/>
                <w:szCs w:val="22"/>
              </w:rPr>
            </w:pPr>
            <w:r w:rsidRPr="00DA5DED" w:rsidR="005170A9">
              <w:rPr>
                <w:rFonts w:ascii="Arial Narrow" w:hAnsi="Arial Narrow"/>
                <w:sz w:val="22"/>
                <w:szCs w:val="22"/>
              </w:rPr>
              <w:t>8</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DA5DED">
            <w:pPr>
              <w:pStyle w:val="Normlny"/>
              <w:bidi w:val="0"/>
              <w:spacing w:after="0" w:line="240" w:lineRule="auto"/>
              <w:jc w:val="center"/>
              <w:rPr>
                <w:rFonts w:ascii="Arial Narrow" w:hAnsi="Arial Narrow"/>
                <w:sz w:val="22"/>
                <w:szCs w:val="22"/>
              </w:rPr>
            </w:pPr>
            <w:r w:rsidRPr="00DA5DED">
              <w:rPr>
                <w:rFonts w:ascii="Arial Narrow" w:hAnsi="Arial Narrow"/>
                <w:sz w:val="22"/>
                <w:szCs w:val="22"/>
              </w:rPr>
              <w:t>Článok</w:t>
            </w:r>
          </w:p>
          <w:p w:rsidR="00A9063F" w:rsidRPr="00DA5DED">
            <w:pPr>
              <w:pStyle w:val="Normlny"/>
              <w:bidi w:val="0"/>
              <w:spacing w:after="0" w:line="240" w:lineRule="auto"/>
              <w:jc w:val="center"/>
              <w:rPr>
                <w:rFonts w:ascii="Arial Narrow" w:hAnsi="Arial Narrow"/>
                <w:sz w:val="22"/>
                <w:szCs w:val="22"/>
              </w:rPr>
            </w:pPr>
            <w:r w:rsidRPr="00DA5DED">
              <w:rPr>
                <w:rFonts w:ascii="Arial Narrow" w:hAnsi="Arial Narrow"/>
                <w:sz w:val="22"/>
                <w:szCs w:val="22"/>
              </w:rPr>
              <w:t>(Č, O,</w:t>
            </w:r>
          </w:p>
          <w:p w:rsidR="00A9063F" w:rsidRPr="00DA5DED">
            <w:pPr>
              <w:pStyle w:val="Normlny"/>
              <w:bidi w:val="0"/>
              <w:spacing w:after="0" w:line="240" w:lineRule="auto"/>
              <w:jc w:val="center"/>
              <w:rPr>
                <w:rFonts w:ascii="Arial Narrow" w:hAnsi="Arial Narrow"/>
                <w:sz w:val="22"/>
                <w:szCs w:val="22"/>
              </w:rPr>
            </w:pPr>
            <w:r w:rsidRPr="00DA5DED">
              <w:rPr>
                <w:rFonts w:ascii="Arial Narrow" w:hAnsi="Arial Narrow"/>
                <w:sz w:val="22"/>
                <w:szCs w:val="22"/>
              </w:rPr>
              <w:t>V, P)</w:t>
            </w:r>
          </w:p>
        </w:tc>
        <w:tc>
          <w:tcPr>
            <w:tcW w:w="6237"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DA5DED">
            <w:pPr>
              <w:pStyle w:val="Normlny"/>
              <w:bidi w:val="0"/>
              <w:spacing w:after="0" w:line="240" w:lineRule="auto"/>
              <w:jc w:val="center"/>
              <w:rPr>
                <w:rFonts w:ascii="Arial Narrow" w:hAnsi="Arial Narrow"/>
                <w:sz w:val="22"/>
                <w:szCs w:val="22"/>
              </w:rPr>
            </w:pPr>
            <w:r w:rsidRPr="00DA5DED">
              <w:rPr>
                <w:rFonts w:ascii="Arial Narrow" w:hAnsi="Arial Narrow"/>
                <w:sz w:val="22"/>
                <w:szCs w:val="22"/>
              </w:rPr>
              <w:t>Text</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A9063F" w:rsidRPr="00DA5DED">
            <w:pPr>
              <w:pStyle w:val="Normlny"/>
              <w:bidi w:val="0"/>
              <w:spacing w:after="0" w:line="240" w:lineRule="auto"/>
              <w:jc w:val="center"/>
              <w:rPr>
                <w:rFonts w:ascii="Arial Narrow" w:hAnsi="Arial Narrow"/>
                <w:sz w:val="22"/>
                <w:szCs w:val="22"/>
              </w:rPr>
            </w:pPr>
            <w:r w:rsidRPr="00DA5DED">
              <w:rPr>
                <w:rFonts w:ascii="Arial Narrow" w:hAnsi="Arial Narrow"/>
                <w:sz w:val="22"/>
                <w:szCs w:val="22"/>
              </w:rPr>
              <w:t>Spôsob transp.</w:t>
            </w:r>
          </w:p>
          <w:p w:rsidR="00A9063F" w:rsidRPr="00DA5DED">
            <w:pPr>
              <w:pStyle w:val="Normlny"/>
              <w:bidi w:val="0"/>
              <w:spacing w:after="0" w:line="240" w:lineRule="auto"/>
              <w:jc w:val="center"/>
              <w:rPr>
                <w:rFonts w:ascii="Arial Narrow" w:hAnsi="Arial Narrow"/>
                <w:sz w:val="22"/>
                <w:szCs w:val="22"/>
              </w:rPr>
            </w:pPr>
            <w:r w:rsidRPr="00DA5DED">
              <w:rPr>
                <w:rFonts w:ascii="Arial Narrow" w:hAnsi="Arial Narrow"/>
                <w:sz w:val="22"/>
                <w:szCs w:val="22"/>
              </w:rPr>
              <w:t>(N, O, D, n.a.)</w:t>
            </w:r>
          </w:p>
        </w:tc>
        <w:tc>
          <w:tcPr>
            <w:tcW w:w="709" w:type="dxa"/>
            <w:tcBorders>
              <w:top w:val="single" w:sz="4" w:space="0" w:color="auto"/>
              <w:left w:val="nil"/>
              <w:bottom w:val="single" w:sz="4" w:space="0" w:color="auto"/>
              <w:right w:val="single" w:sz="4" w:space="0" w:color="auto"/>
            </w:tcBorders>
            <w:textDirection w:val="lrTb"/>
            <w:vAlign w:val="top"/>
          </w:tcPr>
          <w:p w:rsidR="00A9063F" w:rsidRPr="00DA5DED">
            <w:pPr>
              <w:pStyle w:val="Normlny"/>
              <w:bidi w:val="0"/>
              <w:spacing w:after="0" w:line="240" w:lineRule="auto"/>
              <w:jc w:val="center"/>
              <w:rPr>
                <w:rFonts w:ascii="Arial Narrow" w:hAnsi="Arial Narrow"/>
                <w:sz w:val="22"/>
                <w:szCs w:val="22"/>
              </w:rPr>
            </w:pPr>
            <w:r w:rsidRPr="00DA5DED">
              <w:rPr>
                <w:rFonts w:ascii="Arial Narrow" w:hAnsi="Arial Narrow"/>
                <w:sz w:val="22"/>
                <w:szCs w:val="22"/>
              </w:rPr>
              <w:t>Číslo</w:t>
            </w:r>
          </w:p>
          <w:p w:rsidR="00A9063F" w:rsidRPr="00DA5DED">
            <w:pPr>
              <w:pStyle w:val="Normlny"/>
              <w:bidi w:val="0"/>
              <w:spacing w:after="0" w:line="240" w:lineRule="auto"/>
              <w:jc w:val="center"/>
              <w:rPr>
                <w:rFonts w:ascii="Arial Narrow" w:hAnsi="Arial Narrow"/>
                <w:sz w:val="22"/>
                <w:szCs w:val="22"/>
              </w:rPr>
            </w:pPr>
            <w:r w:rsidRPr="00DA5DED">
              <w:rPr>
                <w:rFonts w:ascii="Arial Narrow" w:hAnsi="Arial Narrow"/>
                <w:sz w:val="22"/>
                <w:szCs w:val="22"/>
              </w:rPr>
              <w:t>predpisu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DA5DED">
            <w:pPr>
              <w:pStyle w:val="Normlny"/>
              <w:bidi w:val="0"/>
              <w:spacing w:after="0" w:line="240" w:lineRule="auto"/>
              <w:jc w:val="center"/>
              <w:rPr>
                <w:rFonts w:ascii="Arial Narrow" w:hAnsi="Arial Narrow"/>
                <w:sz w:val="22"/>
                <w:szCs w:val="22"/>
              </w:rPr>
            </w:pPr>
            <w:r w:rsidRPr="00DA5DED">
              <w:rPr>
                <w:rFonts w:ascii="Arial Narrow" w:hAnsi="Arial Narrow"/>
                <w:sz w:val="22"/>
                <w:szCs w:val="22"/>
              </w:rPr>
              <w:t>Článok (Č, §, O, V, P)</w:t>
            </w:r>
          </w:p>
        </w:tc>
        <w:tc>
          <w:tcPr>
            <w:tcW w:w="6379" w:type="dxa"/>
            <w:tcBorders>
              <w:top w:val="single" w:sz="4" w:space="0" w:color="auto"/>
              <w:left w:val="single" w:sz="4" w:space="0" w:color="auto"/>
              <w:bottom w:val="single" w:sz="4" w:space="0" w:color="auto"/>
              <w:right w:val="single" w:sz="4" w:space="0" w:color="auto"/>
            </w:tcBorders>
            <w:textDirection w:val="lrTb"/>
            <w:vAlign w:val="top"/>
          </w:tcPr>
          <w:p w:rsidR="00A9063F" w:rsidRPr="00DA5DED">
            <w:pPr>
              <w:pStyle w:val="Normlny"/>
              <w:bidi w:val="0"/>
              <w:spacing w:after="0" w:line="240" w:lineRule="auto"/>
              <w:jc w:val="center"/>
              <w:rPr>
                <w:rFonts w:ascii="Arial Narrow" w:hAnsi="Arial Narrow"/>
                <w:sz w:val="22"/>
                <w:szCs w:val="22"/>
              </w:rPr>
            </w:pPr>
            <w:r w:rsidRPr="00DA5DED">
              <w:rPr>
                <w:rFonts w:ascii="Arial Narrow" w:hAnsi="Arial Narrow"/>
                <w:sz w:val="22"/>
                <w:szCs w:val="22"/>
              </w:rPr>
              <w:t>Text</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9063F" w:rsidRPr="00DA5DED">
            <w:pPr>
              <w:pStyle w:val="Normlny"/>
              <w:bidi w:val="0"/>
              <w:spacing w:after="0" w:line="240" w:lineRule="auto"/>
              <w:jc w:val="center"/>
              <w:rPr>
                <w:rFonts w:ascii="Arial Narrow" w:hAnsi="Arial Narrow"/>
                <w:sz w:val="22"/>
                <w:szCs w:val="22"/>
              </w:rPr>
            </w:pPr>
            <w:r w:rsidRPr="00DA5DED">
              <w:rPr>
                <w:rFonts w:ascii="Arial Narrow" w:hAnsi="Arial Narrow"/>
                <w:sz w:val="22"/>
                <w:szCs w:val="22"/>
              </w:rPr>
              <w:t>Zhoda</w:t>
            </w:r>
          </w:p>
        </w:tc>
        <w:tc>
          <w:tcPr>
            <w:tcW w:w="634" w:type="dxa"/>
            <w:tcBorders>
              <w:top w:val="single" w:sz="4" w:space="0" w:color="auto"/>
              <w:left w:val="single" w:sz="4" w:space="0" w:color="auto"/>
              <w:bottom w:val="single" w:sz="4" w:space="0" w:color="auto"/>
              <w:right w:val="single" w:sz="12" w:space="0" w:color="auto"/>
            </w:tcBorders>
            <w:textDirection w:val="lrTb"/>
            <w:vAlign w:val="top"/>
          </w:tcPr>
          <w:p w:rsidR="00A9063F" w:rsidRPr="00DA5DED">
            <w:pPr>
              <w:pStyle w:val="Normlny"/>
              <w:bidi w:val="0"/>
              <w:spacing w:after="0" w:line="240" w:lineRule="auto"/>
              <w:jc w:val="center"/>
              <w:rPr>
                <w:rFonts w:ascii="Arial Narrow" w:hAnsi="Arial Narrow"/>
                <w:sz w:val="22"/>
                <w:szCs w:val="22"/>
              </w:rPr>
            </w:pPr>
            <w:r w:rsidRPr="00DA5DED">
              <w:rPr>
                <w:rFonts w:ascii="Arial Narrow" w:hAnsi="Arial Narrow"/>
                <w:sz w:val="22"/>
                <w:szCs w:val="22"/>
              </w:rPr>
              <w:t>Poznámky</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DA5DED" w:rsidP="002E1D16">
            <w:pPr>
              <w:bidi w:val="0"/>
              <w:spacing w:after="0" w:line="240" w:lineRule="auto"/>
              <w:jc w:val="center"/>
              <w:rPr>
                <w:rFonts w:ascii="Arial Narrow" w:hAnsi="Arial Narrow"/>
                <w:sz w:val="22"/>
                <w:szCs w:val="22"/>
              </w:rPr>
            </w:pPr>
            <w:r w:rsidRPr="00DA5DED" w:rsidR="00DA5DED">
              <w:rPr>
                <w:rFonts w:ascii="Arial Narrow" w:hAnsi="Arial Narrow"/>
                <w:sz w:val="22"/>
                <w:szCs w:val="22"/>
              </w:rPr>
              <w:t xml:space="preserve">Príloha </w:t>
            </w:r>
            <w:r w:rsidR="00DA5DED">
              <w:rPr>
                <w:rFonts w:ascii="Arial Narrow" w:hAnsi="Arial Narrow"/>
                <w:sz w:val="22"/>
                <w:szCs w:val="22"/>
              </w:rPr>
              <w:t xml:space="preserve">  </w:t>
            </w:r>
            <w:r w:rsidRPr="00DA5DED" w:rsidR="00DA5DED">
              <w:rPr>
                <w:rFonts w:ascii="Arial Narrow" w:hAnsi="Arial Narrow"/>
                <w:sz w:val="22"/>
                <w:szCs w:val="22"/>
              </w:rPr>
              <w:t>č. 1</w:t>
            </w:r>
          </w:p>
        </w:tc>
        <w:tc>
          <w:tcPr>
            <w:tcW w:w="6237" w:type="dxa"/>
            <w:gridSpan w:val="2"/>
            <w:tcBorders>
              <w:top w:val="single" w:sz="4" w:space="0" w:color="auto"/>
              <w:left w:val="single" w:sz="4" w:space="0" w:color="auto"/>
              <w:bottom w:val="single" w:sz="4" w:space="0" w:color="auto"/>
              <w:right w:val="single" w:sz="4" w:space="0" w:color="auto"/>
            </w:tcBorders>
            <w:textDirection w:val="lrTb"/>
            <w:vAlign w:val="top"/>
          </w:tcPr>
          <w:p w:rsidR="00DA5DED" w:rsidP="00DA5DED">
            <w:pPr>
              <w:pStyle w:val="CM4"/>
              <w:bidi w:val="0"/>
              <w:spacing w:after="0" w:line="240" w:lineRule="auto"/>
              <w:rPr>
                <w:rFonts w:ascii="Arial Narrow" w:hAnsi="Arial Narrow"/>
                <w:i/>
                <w:iCs/>
                <w:sz w:val="22"/>
                <w:szCs w:val="22"/>
              </w:rPr>
            </w:pPr>
            <w:r w:rsidRPr="00DA5DED">
              <w:rPr>
                <w:rFonts w:ascii="Arial Narrow" w:hAnsi="Arial Narrow"/>
                <w:i/>
                <w:iCs/>
                <w:sz w:val="22"/>
                <w:szCs w:val="22"/>
              </w:rPr>
              <w:t xml:space="preserve">PRÍLOHA I </w:t>
            </w:r>
          </w:p>
          <w:p w:rsidR="00DA5DED" w:rsidRPr="00DA5DED" w:rsidP="00DA5DED">
            <w:pPr>
              <w:pStyle w:val="Default"/>
              <w:bidi w:val="0"/>
              <w:spacing w:after="0" w:line="240" w:lineRule="auto"/>
            </w:pPr>
          </w:p>
          <w:p w:rsidR="00DA5DED" w:rsidRPr="00DA5DED" w:rsidP="00DA5DED">
            <w:pPr>
              <w:pStyle w:val="CM4"/>
              <w:bidi w:val="0"/>
              <w:spacing w:after="0" w:line="240" w:lineRule="auto"/>
              <w:rPr>
                <w:rFonts w:ascii="Arial Narrow" w:hAnsi="Arial Narrow"/>
                <w:sz w:val="22"/>
                <w:szCs w:val="22"/>
              </w:rPr>
            </w:pPr>
            <w:r w:rsidRPr="00DA5DED">
              <w:rPr>
                <w:rFonts w:ascii="Arial Narrow" w:hAnsi="Arial Narrow"/>
                <w:sz w:val="22"/>
                <w:szCs w:val="22"/>
              </w:rPr>
              <w:t xml:space="preserve">1. Funkcie riadenia investícií, ktoré správca AIF vykonáva pri spravovaní AIF, sú minimálne tieto: </w:t>
            </w:r>
          </w:p>
          <w:p w:rsidR="00DA5DED" w:rsidRPr="00DA5DED" w:rsidP="00DA5DED">
            <w:pPr>
              <w:pStyle w:val="CM4"/>
              <w:bidi w:val="0"/>
              <w:spacing w:after="0" w:line="240" w:lineRule="auto"/>
              <w:rPr>
                <w:rFonts w:ascii="Arial Narrow" w:hAnsi="Arial Narrow"/>
                <w:sz w:val="22"/>
                <w:szCs w:val="22"/>
              </w:rPr>
            </w:pPr>
            <w:r w:rsidRPr="00DA5DED">
              <w:rPr>
                <w:rFonts w:ascii="Arial Narrow" w:hAnsi="Arial Narrow"/>
                <w:sz w:val="22"/>
                <w:szCs w:val="22"/>
              </w:rPr>
              <w:t xml:space="preserve">a) riadenie portfólia; </w:t>
            </w:r>
          </w:p>
          <w:p w:rsidR="00DA5DED" w:rsidRPr="00DA5DED" w:rsidP="00DA5DED">
            <w:pPr>
              <w:pStyle w:val="CM4"/>
              <w:bidi w:val="0"/>
              <w:spacing w:after="0" w:line="240" w:lineRule="auto"/>
              <w:rPr>
                <w:rFonts w:ascii="Arial Narrow" w:hAnsi="Arial Narrow"/>
                <w:sz w:val="22"/>
                <w:szCs w:val="22"/>
              </w:rPr>
            </w:pPr>
            <w:r w:rsidRPr="00DA5DED">
              <w:rPr>
                <w:rFonts w:ascii="Arial Narrow" w:hAnsi="Arial Narrow"/>
                <w:sz w:val="22"/>
                <w:szCs w:val="22"/>
              </w:rPr>
              <w:t xml:space="preserve">b) riadenie rizík. </w:t>
            </w:r>
          </w:p>
          <w:p w:rsidR="00DA5DED" w:rsidRPr="00DA5DED" w:rsidP="00DA5DED">
            <w:pPr>
              <w:pStyle w:val="CM4"/>
              <w:bidi w:val="0"/>
              <w:spacing w:after="0" w:line="240" w:lineRule="auto"/>
              <w:rPr>
                <w:rFonts w:ascii="Arial Narrow" w:hAnsi="Arial Narrow"/>
                <w:sz w:val="22"/>
                <w:szCs w:val="22"/>
              </w:rPr>
            </w:pPr>
            <w:r w:rsidRPr="00DA5DED">
              <w:rPr>
                <w:rFonts w:ascii="Arial Narrow" w:hAnsi="Arial Narrow"/>
                <w:sz w:val="22"/>
                <w:szCs w:val="22"/>
              </w:rPr>
              <w:t xml:space="preserve">2. Ostatné funkcie, ktoré správca AIF môže dodatočne vykonávať v rámci kolektívneho spravovania AIF, sú tieto: </w:t>
            </w:r>
          </w:p>
          <w:p w:rsidR="00DA5DED" w:rsidRPr="00DA5DED" w:rsidP="00DA5DED">
            <w:pPr>
              <w:pStyle w:val="CM4"/>
              <w:bidi w:val="0"/>
              <w:spacing w:after="0" w:line="240" w:lineRule="auto"/>
              <w:rPr>
                <w:rFonts w:ascii="Arial Narrow" w:hAnsi="Arial Narrow"/>
                <w:sz w:val="22"/>
                <w:szCs w:val="22"/>
              </w:rPr>
            </w:pPr>
            <w:r w:rsidRPr="00DA5DED">
              <w:rPr>
                <w:rFonts w:ascii="Arial Narrow" w:hAnsi="Arial Narrow"/>
                <w:sz w:val="22"/>
                <w:szCs w:val="22"/>
              </w:rPr>
              <w:t xml:space="preserve">a) administratíva: </w:t>
            </w:r>
          </w:p>
          <w:p w:rsidR="00DA5DED" w:rsidRPr="00DA5DED" w:rsidP="00DA5DED">
            <w:pPr>
              <w:pStyle w:val="CM4"/>
              <w:bidi w:val="0"/>
              <w:spacing w:after="0" w:line="240" w:lineRule="auto"/>
              <w:rPr>
                <w:rFonts w:ascii="Arial Narrow" w:hAnsi="Arial Narrow"/>
                <w:sz w:val="22"/>
                <w:szCs w:val="22"/>
              </w:rPr>
            </w:pPr>
            <w:r w:rsidRPr="00DA5DED">
              <w:rPr>
                <w:rFonts w:ascii="Arial Narrow" w:hAnsi="Arial Narrow"/>
                <w:sz w:val="22"/>
                <w:szCs w:val="22"/>
              </w:rPr>
              <w:t xml:space="preserve">i) právne služby a účtovnícke služby súvisiace so správou fondu; </w:t>
            </w:r>
          </w:p>
          <w:p w:rsidR="00DA5DED" w:rsidRPr="00DA5DED" w:rsidP="00DA5DED">
            <w:pPr>
              <w:pStyle w:val="CM4"/>
              <w:bidi w:val="0"/>
              <w:spacing w:after="0" w:line="240" w:lineRule="auto"/>
              <w:rPr>
                <w:rFonts w:ascii="Arial Narrow" w:hAnsi="Arial Narrow"/>
                <w:sz w:val="22"/>
                <w:szCs w:val="22"/>
              </w:rPr>
            </w:pPr>
            <w:r w:rsidRPr="00DA5DED">
              <w:rPr>
                <w:rFonts w:ascii="Arial Narrow" w:hAnsi="Arial Narrow"/>
                <w:sz w:val="22"/>
                <w:szCs w:val="22"/>
              </w:rPr>
              <w:t xml:space="preserve">ii) poskytovanie informácií zákazníkom; </w:t>
            </w:r>
          </w:p>
          <w:p w:rsidR="00DA5DED" w:rsidRPr="00DA5DED" w:rsidP="00DA5DED">
            <w:pPr>
              <w:pStyle w:val="CM4"/>
              <w:bidi w:val="0"/>
              <w:spacing w:after="0" w:line="240" w:lineRule="auto"/>
              <w:rPr>
                <w:rFonts w:ascii="Arial Narrow" w:hAnsi="Arial Narrow"/>
                <w:sz w:val="22"/>
                <w:szCs w:val="22"/>
              </w:rPr>
            </w:pPr>
            <w:r w:rsidRPr="00DA5DED">
              <w:rPr>
                <w:rFonts w:ascii="Arial Narrow" w:hAnsi="Arial Narrow"/>
                <w:sz w:val="22"/>
                <w:szCs w:val="22"/>
              </w:rPr>
              <w:t xml:space="preserve">iii) určovanie hodnoty a stanovovanie cien, aj na účely daňového priznania; </w:t>
            </w:r>
          </w:p>
          <w:p w:rsidR="00DA5DED" w:rsidRPr="00DA5DED" w:rsidP="00DA5DED">
            <w:pPr>
              <w:pStyle w:val="CM4"/>
              <w:bidi w:val="0"/>
              <w:spacing w:after="0" w:line="240" w:lineRule="auto"/>
              <w:rPr>
                <w:rFonts w:ascii="Arial Narrow" w:hAnsi="Arial Narrow"/>
                <w:sz w:val="22"/>
                <w:szCs w:val="22"/>
              </w:rPr>
            </w:pPr>
            <w:r w:rsidRPr="00DA5DED">
              <w:rPr>
                <w:rFonts w:ascii="Arial Narrow" w:hAnsi="Arial Narrow"/>
                <w:sz w:val="22"/>
                <w:szCs w:val="22"/>
              </w:rPr>
              <w:t xml:space="preserve">iv) monitorovanie dodržiavania právnych predpisov; </w:t>
            </w:r>
          </w:p>
          <w:p w:rsidR="00DA5DED" w:rsidRPr="00DA5DED" w:rsidP="00DA5DED">
            <w:pPr>
              <w:pStyle w:val="CM4"/>
              <w:bidi w:val="0"/>
              <w:spacing w:after="0" w:line="240" w:lineRule="auto"/>
              <w:rPr>
                <w:rFonts w:ascii="Arial Narrow" w:hAnsi="Arial Narrow"/>
                <w:sz w:val="22"/>
                <w:szCs w:val="22"/>
              </w:rPr>
            </w:pPr>
            <w:r w:rsidRPr="00DA5DED">
              <w:rPr>
                <w:rFonts w:ascii="Arial Narrow" w:hAnsi="Arial Narrow"/>
                <w:sz w:val="22"/>
                <w:szCs w:val="22"/>
              </w:rPr>
              <w:t xml:space="preserve">v) vedenie registra podielnikov/akcionárov; </w:t>
            </w:r>
          </w:p>
          <w:p w:rsidR="00DA5DED" w:rsidRPr="00DA5DED" w:rsidP="00DA5DED">
            <w:pPr>
              <w:pStyle w:val="CM4"/>
              <w:bidi w:val="0"/>
              <w:spacing w:after="0" w:line="240" w:lineRule="auto"/>
              <w:rPr>
                <w:rFonts w:ascii="Arial Narrow" w:hAnsi="Arial Narrow"/>
                <w:sz w:val="22"/>
                <w:szCs w:val="22"/>
              </w:rPr>
            </w:pPr>
            <w:r w:rsidRPr="00DA5DED">
              <w:rPr>
                <w:rFonts w:ascii="Arial Narrow" w:hAnsi="Arial Narrow"/>
                <w:sz w:val="22"/>
                <w:szCs w:val="22"/>
              </w:rPr>
              <w:t xml:space="preserve">vi) rozdelenie výnosov; </w:t>
            </w:r>
          </w:p>
          <w:p w:rsidR="00DA5DED" w:rsidRPr="00DA5DED" w:rsidP="00DA5DED">
            <w:pPr>
              <w:pStyle w:val="CM4"/>
              <w:bidi w:val="0"/>
              <w:spacing w:after="0" w:line="240" w:lineRule="auto"/>
              <w:rPr>
                <w:rFonts w:ascii="Arial Narrow" w:hAnsi="Arial Narrow"/>
                <w:sz w:val="22"/>
                <w:szCs w:val="22"/>
              </w:rPr>
            </w:pPr>
            <w:r w:rsidRPr="00DA5DED">
              <w:rPr>
                <w:rFonts w:ascii="Arial Narrow" w:hAnsi="Arial Narrow"/>
                <w:sz w:val="22"/>
                <w:szCs w:val="22"/>
              </w:rPr>
              <w:t xml:space="preserve">vii) emitovanie a vyplácanie podielových listov/akcií; </w:t>
            </w:r>
          </w:p>
          <w:p w:rsidR="00DA5DED" w:rsidRPr="00DA5DED" w:rsidP="00DA5DED">
            <w:pPr>
              <w:pStyle w:val="CM4"/>
              <w:bidi w:val="0"/>
              <w:spacing w:after="0" w:line="240" w:lineRule="auto"/>
              <w:rPr>
                <w:rFonts w:ascii="Arial Narrow" w:hAnsi="Arial Narrow"/>
                <w:sz w:val="22"/>
                <w:szCs w:val="22"/>
              </w:rPr>
            </w:pPr>
            <w:r w:rsidRPr="00DA5DED">
              <w:rPr>
                <w:rFonts w:ascii="Arial Narrow" w:hAnsi="Arial Narrow"/>
                <w:sz w:val="22"/>
                <w:szCs w:val="22"/>
              </w:rPr>
              <w:t xml:space="preserve">viii) vyrovnanie zmlúv vrátane zasielania certifikátov; </w:t>
            </w:r>
          </w:p>
          <w:p w:rsidR="00DA5DED" w:rsidRPr="00DA5DED" w:rsidP="00DA5DED">
            <w:pPr>
              <w:pStyle w:val="CM4"/>
              <w:bidi w:val="0"/>
              <w:spacing w:after="0" w:line="240" w:lineRule="auto"/>
              <w:rPr>
                <w:rFonts w:ascii="Arial Narrow" w:hAnsi="Arial Narrow"/>
                <w:sz w:val="22"/>
                <w:szCs w:val="22"/>
              </w:rPr>
            </w:pPr>
            <w:r w:rsidRPr="00DA5DED">
              <w:rPr>
                <w:rFonts w:ascii="Arial Narrow" w:hAnsi="Arial Narrow"/>
                <w:sz w:val="22"/>
                <w:szCs w:val="22"/>
              </w:rPr>
              <w:t xml:space="preserve">ix) vedenie evidencie; </w:t>
            </w:r>
          </w:p>
          <w:p w:rsidR="00DA5DED" w:rsidRPr="00DA5DED" w:rsidP="00DA5DED">
            <w:pPr>
              <w:pStyle w:val="CM4"/>
              <w:bidi w:val="0"/>
              <w:spacing w:after="0" w:line="240" w:lineRule="auto"/>
              <w:rPr>
                <w:rFonts w:ascii="Arial Narrow" w:hAnsi="Arial Narrow"/>
                <w:sz w:val="22"/>
                <w:szCs w:val="22"/>
              </w:rPr>
            </w:pPr>
            <w:r w:rsidRPr="00DA5DED">
              <w:rPr>
                <w:rFonts w:ascii="Arial Narrow" w:hAnsi="Arial Narrow"/>
                <w:sz w:val="22"/>
                <w:szCs w:val="22"/>
              </w:rPr>
              <w:t xml:space="preserve">b) uvádzanie na trh; </w:t>
            </w:r>
          </w:p>
          <w:p w:rsidR="002E1D16" w:rsidRPr="00DA5DED" w:rsidP="00DA5DED">
            <w:pPr>
              <w:pStyle w:val="CM4"/>
              <w:bidi w:val="0"/>
              <w:spacing w:before="60" w:after="60" w:line="240" w:lineRule="auto"/>
              <w:rPr>
                <w:rFonts w:ascii="Arial Narrow" w:hAnsi="Arial Narrow"/>
                <w:sz w:val="22"/>
                <w:szCs w:val="22"/>
              </w:rPr>
            </w:pPr>
            <w:r w:rsidRPr="00DA5DED" w:rsidR="00DA5DED">
              <w:rPr>
                <w:rFonts w:ascii="Arial Narrow" w:hAnsi="Arial Narrow"/>
                <w:sz w:val="22"/>
                <w:szCs w:val="22"/>
              </w:rPr>
              <w:t xml:space="preserve">c) činnosti súvisiace s aktívami AIF, a to služby nevyhnutné na splnenie fiduciárnych povinností správcu AIF, správa zariadení, činnosti správy nehnuteľností, poradenstvo podnikom o kapitálovej štruktúre, priemyselnej stratégii a súvisiacich otázkach, poradenstvo a služby týkajúce sa zlúčení a kúpy podnikov a iné služby spojené so správou </w:t>
            </w:r>
            <w:r w:rsidR="00DA5DED">
              <w:rPr>
                <w:rFonts w:ascii="Arial Narrow" w:hAnsi="Arial Narrow"/>
                <w:sz w:val="22"/>
                <w:szCs w:val="22"/>
              </w:rPr>
              <w:t xml:space="preserve"> </w:t>
            </w:r>
            <w:r w:rsidRPr="00DA5DED" w:rsidR="00DA5DED">
              <w:rPr>
                <w:rFonts w:ascii="Arial Narrow" w:hAnsi="Arial Narrow"/>
                <w:sz w:val="22"/>
                <w:szCs w:val="22"/>
              </w:rPr>
              <w:t>AIF a spoločností a iných aktív, do ktorých tento fond investoval.</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A9063F" w:rsidRPr="00DA5DED">
            <w:pPr>
              <w:bidi w:val="0"/>
              <w:spacing w:after="0" w:line="240" w:lineRule="auto"/>
              <w:jc w:val="center"/>
              <w:rPr>
                <w:rFonts w:ascii="Arial Narrow" w:hAnsi="Arial Narrow"/>
                <w:sz w:val="22"/>
                <w:szCs w:val="22"/>
              </w:rPr>
            </w:pPr>
            <w:r w:rsidRPr="00DA5DED" w:rsidR="0078287E">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A9063F" w:rsidRPr="00DA5DED">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A5DED" w:rsidP="0091636B">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27 ods.4 </w:t>
            </w:r>
          </w:p>
          <w:p w:rsidR="00DA5DED" w:rsidP="0091636B">
            <w:pPr>
              <w:pStyle w:val="Normlny"/>
              <w:bidi w:val="0"/>
              <w:spacing w:after="0" w:line="240" w:lineRule="auto"/>
              <w:jc w:val="center"/>
              <w:rPr>
                <w:rFonts w:ascii="Arial Narrow" w:hAnsi="Arial Narrow"/>
                <w:sz w:val="22"/>
                <w:szCs w:val="22"/>
              </w:rPr>
            </w:pPr>
          </w:p>
          <w:p w:rsidR="00DA5DED" w:rsidP="0091636B">
            <w:pPr>
              <w:pStyle w:val="Normlny"/>
              <w:bidi w:val="0"/>
              <w:spacing w:after="0" w:line="240" w:lineRule="auto"/>
              <w:jc w:val="center"/>
              <w:rPr>
                <w:rFonts w:ascii="Arial Narrow" w:hAnsi="Arial Narrow"/>
                <w:sz w:val="22"/>
                <w:szCs w:val="22"/>
              </w:rPr>
            </w:pPr>
          </w:p>
          <w:p w:rsidR="00DA5DED" w:rsidP="0091636B">
            <w:pPr>
              <w:pStyle w:val="Normlny"/>
              <w:bidi w:val="0"/>
              <w:spacing w:after="0" w:line="240" w:lineRule="auto"/>
              <w:jc w:val="center"/>
              <w:rPr>
                <w:rFonts w:ascii="Arial Narrow" w:hAnsi="Arial Narrow"/>
                <w:sz w:val="22"/>
                <w:szCs w:val="22"/>
              </w:rPr>
            </w:pPr>
          </w:p>
          <w:p w:rsidR="00DA5DED" w:rsidP="0091636B">
            <w:pPr>
              <w:pStyle w:val="Normlny"/>
              <w:bidi w:val="0"/>
              <w:spacing w:after="0" w:line="240" w:lineRule="auto"/>
              <w:jc w:val="center"/>
              <w:rPr>
                <w:rFonts w:ascii="Arial Narrow" w:hAnsi="Arial Narrow"/>
                <w:sz w:val="22"/>
                <w:szCs w:val="22"/>
              </w:rPr>
            </w:pPr>
          </w:p>
          <w:p w:rsidR="00A9063F" w:rsidRPr="00DA5DED" w:rsidP="0091636B">
            <w:pPr>
              <w:pStyle w:val="Normlny"/>
              <w:bidi w:val="0"/>
              <w:spacing w:after="0" w:line="240" w:lineRule="auto"/>
              <w:jc w:val="center"/>
              <w:rPr>
                <w:rFonts w:ascii="Arial Narrow" w:hAnsi="Arial Narrow"/>
                <w:sz w:val="22"/>
                <w:szCs w:val="22"/>
              </w:rPr>
            </w:pPr>
            <w:r w:rsidR="00DA5DED">
              <w:rPr>
                <w:rFonts w:ascii="Arial Narrow" w:hAnsi="Arial Narrow"/>
                <w:sz w:val="22"/>
                <w:szCs w:val="22"/>
              </w:rPr>
              <w:t>ods.5</w:t>
            </w:r>
          </w:p>
        </w:tc>
        <w:tc>
          <w:tcPr>
            <w:tcW w:w="6379" w:type="dxa"/>
            <w:tcBorders>
              <w:top w:val="single" w:sz="4" w:space="0" w:color="auto"/>
              <w:left w:val="single" w:sz="4" w:space="0" w:color="auto"/>
              <w:bottom w:val="single" w:sz="4" w:space="0" w:color="auto"/>
              <w:right w:val="single" w:sz="4" w:space="0" w:color="auto"/>
            </w:tcBorders>
            <w:textDirection w:val="lrTb"/>
            <w:vAlign w:val="top"/>
          </w:tcPr>
          <w:p w:rsidR="00DA5DED" w:rsidRPr="00DA5DED" w:rsidP="00DA5DED">
            <w:pPr>
              <w:autoSpaceDE/>
              <w:autoSpaceDN/>
              <w:bidi w:val="0"/>
              <w:spacing w:after="0" w:line="240" w:lineRule="auto"/>
              <w:jc w:val="both"/>
              <w:rPr>
                <w:rFonts w:ascii="Arial Narrow" w:hAnsi="Arial Narrow"/>
                <w:b/>
                <w:sz w:val="22"/>
                <w:szCs w:val="22"/>
              </w:rPr>
            </w:pPr>
            <w:r w:rsidRPr="00DA5DED">
              <w:rPr>
                <w:rFonts w:ascii="Arial Narrow" w:hAnsi="Arial Narrow"/>
                <w:b/>
                <w:sz w:val="22"/>
                <w:szCs w:val="22"/>
              </w:rPr>
              <w:t>Spravovaním alternatívnych investičných fondov a zahraničných alternatívnych investičných fondov sa rozumie riadenie investícií majetku alternatívneho investičného fondu a zahraničného alternatívneho investičného fondu a riadenie rizík súvisiacich s týmito investíciami. Tým nie je dotknutá možnosť zverenia týchto činností.</w:t>
            </w:r>
          </w:p>
          <w:p w:rsidR="00DA5DED" w:rsidRPr="00DA5DED" w:rsidP="00DA5DED">
            <w:pPr>
              <w:bidi w:val="0"/>
              <w:spacing w:after="0" w:line="240" w:lineRule="auto"/>
              <w:jc w:val="both"/>
              <w:rPr>
                <w:rFonts w:ascii="Arial Narrow" w:hAnsi="Arial Narrow"/>
                <w:b/>
                <w:sz w:val="22"/>
                <w:szCs w:val="22"/>
              </w:rPr>
            </w:pPr>
          </w:p>
          <w:p w:rsidR="00DA5DED" w:rsidRPr="00DA5DED" w:rsidP="00DA5DED">
            <w:pPr>
              <w:autoSpaceDE/>
              <w:autoSpaceDN/>
              <w:bidi w:val="0"/>
              <w:spacing w:after="0" w:line="240" w:lineRule="auto"/>
              <w:jc w:val="both"/>
              <w:rPr>
                <w:rFonts w:ascii="Arial Narrow" w:hAnsi="Arial Narrow"/>
                <w:b/>
                <w:sz w:val="22"/>
                <w:szCs w:val="22"/>
              </w:rPr>
            </w:pPr>
            <w:r w:rsidRPr="00DA5DED">
              <w:rPr>
                <w:rFonts w:ascii="Arial Narrow" w:hAnsi="Arial Narrow"/>
                <w:b/>
                <w:sz w:val="22"/>
                <w:szCs w:val="22"/>
              </w:rPr>
              <w:t>Ďalšími činnosťami, ktoré správcovská spoločnosť môže dodatočne vykonávať v rámci spravovania alternatívneho investičného fondu a zahraničného alternatívneho investičného fondu sú</w:t>
            </w:r>
          </w:p>
          <w:p w:rsidR="00DA5DED" w:rsidRPr="00DA5DED" w:rsidP="00DA5DED">
            <w:pPr>
              <w:numPr>
                <w:ilvl w:val="1"/>
                <w:numId w:val="16"/>
              </w:numPr>
              <w:autoSpaceDE/>
              <w:autoSpaceDN/>
              <w:bidi w:val="0"/>
              <w:spacing w:after="0" w:line="240" w:lineRule="auto"/>
              <w:ind w:left="0" w:firstLine="0"/>
              <w:jc w:val="both"/>
              <w:rPr>
                <w:rFonts w:ascii="Arial Narrow" w:hAnsi="Arial Narrow"/>
                <w:b/>
                <w:sz w:val="22"/>
                <w:szCs w:val="22"/>
              </w:rPr>
            </w:pPr>
            <w:r w:rsidRPr="00DA5DED">
              <w:rPr>
                <w:rFonts w:ascii="Arial Narrow" w:hAnsi="Arial Narrow"/>
                <w:b/>
                <w:sz w:val="22"/>
                <w:szCs w:val="22"/>
              </w:rPr>
              <w:t>administrácia, ktorou sa rozumejú činnosti podľa odseku 2 písm. b) vo vzťahu k alternatívnym investičným fondom a zahraničným alternatívnym investičným fondom,</w:t>
            </w:r>
          </w:p>
          <w:p w:rsidR="00DA5DED" w:rsidRPr="00DA5DED" w:rsidP="00DA5DED">
            <w:pPr>
              <w:numPr>
                <w:ilvl w:val="1"/>
                <w:numId w:val="16"/>
              </w:numPr>
              <w:autoSpaceDE/>
              <w:autoSpaceDN/>
              <w:bidi w:val="0"/>
              <w:spacing w:after="0" w:line="240" w:lineRule="auto"/>
              <w:ind w:left="0" w:hanging="43"/>
              <w:jc w:val="both"/>
              <w:rPr>
                <w:rFonts w:ascii="Arial Narrow" w:hAnsi="Arial Narrow"/>
                <w:b/>
                <w:sz w:val="22"/>
                <w:szCs w:val="22"/>
              </w:rPr>
            </w:pPr>
            <w:r w:rsidRPr="00DA5DED">
              <w:rPr>
                <w:rFonts w:ascii="Arial Narrow" w:hAnsi="Arial Narrow"/>
                <w:b/>
                <w:sz w:val="22"/>
                <w:szCs w:val="22"/>
              </w:rPr>
              <w:t>distribúcia cenných papierov a majetkových účastí alternatívnych investičných fondov a zahraničných alternatívnych investičných fondov,</w:t>
            </w:r>
          </w:p>
          <w:p w:rsidR="00A9063F" w:rsidRPr="00DA5DED" w:rsidP="00DA5DED">
            <w:pPr>
              <w:numPr>
                <w:ilvl w:val="1"/>
                <w:numId w:val="16"/>
              </w:numPr>
              <w:autoSpaceDE/>
              <w:autoSpaceDN/>
              <w:bidi w:val="0"/>
              <w:spacing w:after="0" w:line="240" w:lineRule="auto"/>
              <w:ind w:left="0" w:firstLine="98"/>
              <w:jc w:val="both"/>
              <w:rPr>
                <w:rFonts w:ascii="Arial Narrow" w:hAnsi="Arial Narrow"/>
                <w:sz w:val="22"/>
                <w:szCs w:val="22"/>
              </w:rPr>
            </w:pPr>
            <w:r w:rsidRPr="00DA5DED" w:rsidR="00DA5DED">
              <w:rPr>
                <w:rFonts w:ascii="Arial Narrow" w:hAnsi="Arial Narrow"/>
                <w:b/>
                <w:color w:val="000000"/>
                <w:sz w:val="22"/>
                <w:szCs w:val="22"/>
              </w:rPr>
              <w:t xml:space="preserve">činnosti súvisiace s aktívami alternatívneho investičného fondu a zahraničného alternatívneho investičného fondu, a to služby nevyhnutné na splnenie povinností pri správe majetku alternatívneho investičného fondu alebo zahraničného alternatívneho investičného fondu, správa zariadení, činnosti správy nehnuteľností, poradenstvo podnikom o kapitálovej štruktúre, priemyselnej stratégii a súvisiacich otázkach, poradenstvo a služby týkajúce sa zlúčení a kúpy podnikov a iné služby spojené so správou alternatívneho investičného fondu  alebo zahraničného alternatívneho investičného fondu a spoločností a iných aktív, do ktorých tento fond investoval. </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9063F" w:rsidRPr="00DA5DED">
            <w:pPr>
              <w:bidi w:val="0"/>
              <w:spacing w:after="0" w:line="240" w:lineRule="auto"/>
              <w:jc w:val="center"/>
              <w:rPr>
                <w:rFonts w:ascii="Arial Narrow" w:hAnsi="Arial Narrow"/>
                <w:sz w:val="22"/>
                <w:szCs w:val="22"/>
              </w:rPr>
            </w:pPr>
            <w:r w:rsidRPr="00DA5DED" w:rsidR="0078287E">
              <w:rPr>
                <w:rFonts w:ascii="Arial Narrow" w:hAnsi="Arial Narrow"/>
                <w:sz w:val="22"/>
                <w:szCs w:val="22"/>
              </w:rPr>
              <w:t>Ú</w:t>
            </w:r>
          </w:p>
        </w:tc>
        <w:tc>
          <w:tcPr>
            <w:tcW w:w="634" w:type="dxa"/>
            <w:tcBorders>
              <w:top w:val="single" w:sz="4" w:space="0" w:color="auto"/>
              <w:left w:val="single" w:sz="4" w:space="0" w:color="auto"/>
              <w:bottom w:val="single" w:sz="4" w:space="0" w:color="auto"/>
              <w:right w:val="single" w:sz="12" w:space="0" w:color="auto"/>
            </w:tcBorders>
            <w:textDirection w:val="lrTb"/>
            <w:vAlign w:val="top"/>
          </w:tcPr>
          <w:p w:rsidR="00A9063F" w:rsidRPr="00DA5DED">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DA5DED" w:rsidP="00DA5DED">
            <w:pPr>
              <w:bidi w:val="0"/>
              <w:spacing w:after="0" w:line="240" w:lineRule="auto"/>
              <w:ind w:right="-43"/>
              <w:jc w:val="center"/>
              <w:rPr>
                <w:rFonts w:ascii="Arial Narrow" w:hAnsi="Arial Narrow"/>
                <w:sz w:val="22"/>
                <w:szCs w:val="22"/>
              </w:rPr>
            </w:pPr>
            <w:r w:rsidR="00DA5DED">
              <w:rPr>
                <w:rFonts w:ascii="Arial Narrow" w:hAnsi="Arial Narrow"/>
                <w:sz w:val="22"/>
                <w:szCs w:val="22"/>
              </w:rPr>
              <w:t xml:space="preserve">Príloha    č. 2 </w:t>
            </w:r>
          </w:p>
        </w:tc>
        <w:tc>
          <w:tcPr>
            <w:tcW w:w="6237" w:type="dxa"/>
            <w:gridSpan w:val="2"/>
            <w:tcBorders>
              <w:top w:val="single" w:sz="4" w:space="0" w:color="auto"/>
              <w:left w:val="single" w:sz="4" w:space="0" w:color="auto"/>
              <w:bottom w:val="single" w:sz="4" w:space="0" w:color="auto"/>
              <w:right w:val="single" w:sz="4" w:space="0" w:color="auto"/>
            </w:tcBorders>
            <w:textDirection w:val="lrTb"/>
            <w:vAlign w:val="top"/>
          </w:tcPr>
          <w:p w:rsidR="00DA5DED" w:rsidRPr="00DA5DED" w:rsidP="00DA5DED">
            <w:pPr>
              <w:pStyle w:val="Normlny"/>
              <w:bidi w:val="0"/>
              <w:spacing w:after="0" w:line="240" w:lineRule="auto"/>
              <w:rPr>
                <w:rFonts w:ascii="Arial Narrow" w:hAnsi="Arial Narrow"/>
                <w:sz w:val="22"/>
                <w:szCs w:val="22"/>
              </w:rPr>
            </w:pPr>
            <w:r w:rsidRPr="00DA5DED">
              <w:rPr>
                <w:rFonts w:ascii="Arial Narrow" w:hAnsi="Arial Narrow"/>
                <w:i/>
                <w:iCs/>
                <w:sz w:val="22"/>
                <w:szCs w:val="22"/>
              </w:rPr>
              <w:t xml:space="preserve">PRÍLOHA II </w:t>
            </w:r>
          </w:p>
          <w:p w:rsidR="00DA5DED" w:rsidRPr="00DA5DED" w:rsidP="00DA5DED">
            <w:pPr>
              <w:pStyle w:val="Normlny"/>
              <w:bidi w:val="0"/>
              <w:spacing w:after="0" w:line="240" w:lineRule="auto"/>
              <w:rPr>
                <w:rFonts w:ascii="Arial Narrow" w:hAnsi="Arial Narrow"/>
                <w:sz w:val="22"/>
                <w:szCs w:val="22"/>
              </w:rPr>
            </w:pPr>
            <w:r w:rsidRPr="00DA5DED">
              <w:rPr>
                <w:rFonts w:ascii="Arial Narrow" w:hAnsi="Arial Narrow"/>
                <w:b/>
                <w:bCs/>
                <w:sz w:val="22"/>
                <w:szCs w:val="22"/>
              </w:rPr>
              <w:t xml:space="preserve">POLITIKA ODMEŇOVANIA </w:t>
            </w:r>
          </w:p>
          <w:p w:rsidR="00DA5DED" w:rsidP="00DA5DED">
            <w:pPr>
              <w:pStyle w:val="Normlny"/>
              <w:bidi w:val="0"/>
              <w:spacing w:after="0" w:line="240" w:lineRule="auto"/>
              <w:rPr>
                <w:rFonts w:ascii="Arial Narrow" w:hAnsi="Arial Narrow"/>
                <w:sz w:val="22"/>
                <w:szCs w:val="22"/>
              </w:rPr>
            </w:pPr>
            <w:r w:rsidRPr="00DA5DED">
              <w:rPr>
                <w:rFonts w:ascii="Arial Narrow" w:hAnsi="Arial Narrow"/>
                <w:sz w:val="22"/>
                <w:szCs w:val="22"/>
              </w:rPr>
              <w:t xml:space="preserve">1. Správcovia AIF dodržiavajú pri zavádzaní a uplatňovaní politík celkového odmeňovania zahŕňajúceho mzdy a dobrovoľné platby dôchodkového zabezpečenia pre tie kategórie pracovníkov vrátane vrcholového manažmentu, zamestnancov, ktorí prijímajú riziká, zamestnancov v kontrolných funkciách a akýchkoľvek zamestnancov poberajúcich celkové odmeny, ktoré ich radia do rovnakej triedy odmeňovania ako vrcholový manažment a zamestnanci, ktorí prijímajú riziká, ktorých pracovné činnosti majú materiálny vplyv na rizikový profil správcov AIF alebo rizikový profil AIF, ktoré spravujú, spôsobom a v rozsahu, ktorý je primeraný ich veľkosti, vnútornej organizácii, ako aj povahe, rozsahu a komplexnosti ich činností, tieto zásady: </w:t>
            </w:r>
          </w:p>
          <w:p w:rsidR="00DA5DED" w:rsidP="00DA5DED">
            <w:pPr>
              <w:pStyle w:val="Normlny"/>
              <w:bidi w:val="0"/>
              <w:spacing w:after="0" w:line="240" w:lineRule="auto"/>
              <w:rPr>
                <w:rFonts w:ascii="Arial Narrow" w:hAnsi="Arial Narrow"/>
                <w:sz w:val="22"/>
                <w:szCs w:val="22"/>
              </w:rPr>
            </w:pPr>
          </w:p>
          <w:p w:rsidR="00DA5DED" w:rsidP="00DA5DED">
            <w:pPr>
              <w:pStyle w:val="Normlny"/>
              <w:bidi w:val="0"/>
              <w:spacing w:after="0" w:line="240" w:lineRule="auto"/>
              <w:rPr>
                <w:rFonts w:ascii="Arial Narrow" w:hAnsi="Arial Narrow"/>
                <w:sz w:val="22"/>
                <w:szCs w:val="22"/>
              </w:rPr>
            </w:pPr>
          </w:p>
          <w:p w:rsidR="00DA5DED" w:rsidP="00DA5DED">
            <w:pPr>
              <w:pStyle w:val="Normlny"/>
              <w:bidi w:val="0"/>
              <w:spacing w:after="0" w:line="240" w:lineRule="auto"/>
              <w:rPr>
                <w:rFonts w:ascii="Arial Narrow" w:hAnsi="Arial Narrow"/>
                <w:sz w:val="22"/>
                <w:szCs w:val="22"/>
              </w:rPr>
            </w:pPr>
          </w:p>
          <w:p w:rsidR="00DA5DED" w:rsidP="00DA5DED">
            <w:pPr>
              <w:pStyle w:val="Normlny"/>
              <w:bidi w:val="0"/>
              <w:spacing w:after="0" w:line="240" w:lineRule="auto"/>
              <w:rPr>
                <w:rFonts w:ascii="Arial Narrow" w:hAnsi="Arial Narrow"/>
                <w:sz w:val="22"/>
                <w:szCs w:val="22"/>
              </w:rPr>
            </w:pPr>
          </w:p>
          <w:p w:rsidR="00DA5DED" w:rsidP="00DA5DED">
            <w:pPr>
              <w:pStyle w:val="Normlny"/>
              <w:bidi w:val="0"/>
              <w:spacing w:after="0" w:line="240" w:lineRule="auto"/>
              <w:rPr>
                <w:rFonts w:ascii="Arial Narrow" w:hAnsi="Arial Narrow"/>
                <w:sz w:val="22"/>
                <w:szCs w:val="22"/>
              </w:rPr>
            </w:pPr>
          </w:p>
          <w:p w:rsidR="00DA5DED" w:rsidP="00DA5DED">
            <w:pPr>
              <w:pStyle w:val="Normlny"/>
              <w:bidi w:val="0"/>
              <w:spacing w:after="0" w:line="240" w:lineRule="auto"/>
              <w:rPr>
                <w:rFonts w:ascii="Arial Narrow" w:hAnsi="Arial Narrow"/>
                <w:sz w:val="22"/>
                <w:szCs w:val="22"/>
              </w:rPr>
            </w:pPr>
          </w:p>
          <w:p w:rsidR="00DA5DED" w:rsidP="00DA5DED">
            <w:pPr>
              <w:pStyle w:val="Normlny"/>
              <w:bidi w:val="0"/>
              <w:spacing w:after="0" w:line="240" w:lineRule="auto"/>
              <w:rPr>
                <w:rFonts w:ascii="Arial Narrow" w:hAnsi="Arial Narrow"/>
                <w:sz w:val="22"/>
                <w:szCs w:val="22"/>
              </w:rPr>
            </w:pPr>
          </w:p>
          <w:p w:rsidR="00DA5DED" w:rsidP="00DA5DED">
            <w:pPr>
              <w:pStyle w:val="Normlny"/>
              <w:bidi w:val="0"/>
              <w:spacing w:after="0" w:line="240" w:lineRule="auto"/>
              <w:rPr>
                <w:rFonts w:ascii="Arial Narrow" w:hAnsi="Arial Narrow"/>
                <w:sz w:val="22"/>
                <w:szCs w:val="22"/>
              </w:rPr>
            </w:pPr>
          </w:p>
          <w:p w:rsidR="00DA5DED" w:rsidP="00DA5DED">
            <w:pPr>
              <w:pStyle w:val="Normlny"/>
              <w:bidi w:val="0"/>
              <w:spacing w:after="0" w:line="240" w:lineRule="auto"/>
              <w:rPr>
                <w:rFonts w:ascii="Arial Narrow" w:hAnsi="Arial Narrow"/>
                <w:sz w:val="22"/>
                <w:szCs w:val="22"/>
              </w:rPr>
            </w:pPr>
          </w:p>
          <w:p w:rsidR="00DA5DED" w:rsidP="00DA5DED">
            <w:pPr>
              <w:pStyle w:val="Normlny"/>
              <w:bidi w:val="0"/>
              <w:spacing w:after="0" w:line="240" w:lineRule="auto"/>
              <w:rPr>
                <w:rFonts w:ascii="Arial Narrow" w:hAnsi="Arial Narrow"/>
                <w:sz w:val="22"/>
                <w:szCs w:val="22"/>
              </w:rPr>
            </w:pPr>
          </w:p>
          <w:p w:rsidR="00DA5DED" w:rsidP="00DA5DED">
            <w:pPr>
              <w:pStyle w:val="Normlny"/>
              <w:bidi w:val="0"/>
              <w:spacing w:after="0" w:line="240" w:lineRule="auto"/>
              <w:rPr>
                <w:rFonts w:ascii="Arial Narrow" w:hAnsi="Arial Narrow"/>
                <w:sz w:val="22"/>
                <w:szCs w:val="22"/>
              </w:rPr>
            </w:pPr>
          </w:p>
          <w:p w:rsidR="00DA5DED" w:rsidP="00DA5DED">
            <w:pPr>
              <w:pStyle w:val="Normlny"/>
              <w:bidi w:val="0"/>
              <w:spacing w:after="0" w:line="240" w:lineRule="auto"/>
              <w:rPr>
                <w:rFonts w:ascii="Arial Narrow" w:hAnsi="Arial Narrow"/>
                <w:sz w:val="22"/>
                <w:szCs w:val="22"/>
              </w:rPr>
            </w:pPr>
          </w:p>
          <w:p w:rsidR="00DA5DED" w:rsidP="00DA5DED">
            <w:pPr>
              <w:pStyle w:val="Normlny"/>
              <w:bidi w:val="0"/>
              <w:spacing w:after="0" w:line="240" w:lineRule="auto"/>
              <w:rPr>
                <w:rFonts w:ascii="Arial Narrow" w:hAnsi="Arial Narrow"/>
                <w:sz w:val="22"/>
                <w:szCs w:val="22"/>
              </w:rPr>
            </w:pPr>
          </w:p>
          <w:p w:rsidR="00DA5DED" w:rsidP="00DA5DED">
            <w:pPr>
              <w:pStyle w:val="Normlny"/>
              <w:bidi w:val="0"/>
              <w:spacing w:after="0" w:line="240" w:lineRule="auto"/>
              <w:rPr>
                <w:rFonts w:ascii="Arial Narrow" w:hAnsi="Arial Narrow"/>
                <w:sz w:val="22"/>
                <w:szCs w:val="22"/>
              </w:rPr>
            </w:pPr>
          </w:p>
          <w:p w:rsidR="00DA5DED" w:rsidP="00DA5DED">
            <w:pPr>
              <w:pStyle w:val="Normlny"/>
              <w:bidi w:val="0"/>
              <w:spacing w:after="0" w:line="240" w:lineRule="auto"/>
              <w:rPr>
                <w:rFonts w:ascii="Arial Narrow" w:hAnsi="Arial Narrow"/>
                <w:sz w:val="22"/>
                <w:szCs w:val="22"/>
              </w:rPr>
            </w:pPr>
          </w:p>
          <w:p w:rsidR="00DA5DED" w:rsidP="00DA5DED">
            <w:pPr>
              <w:pStyle w:val="Normlny"/>
              <w:bidi w:val="0"/>
              <w:spacing w:after="0" w:line="240" w:lineRule="auto"/>
              <w:rPr>
                <w:rFonts w:ascii="Arial Narrow" w:hAnsi="Arial Narrow"/>
                <w:sz w:val="22"/>
                <w:szCs w:val="22"/>
              </w:rPr>
            </w:pPr>
          </w:p>
          <w:p w:rsidR="00DA5DED" w:rsidP="00DA5DED">
            <w:pPr>
              <w:pStyle w:val="Normlny"/>
              <w:bidi w:val="0"/>
              <w:spacing w:after="0" w:line="240" w:lineRule="auto"/>
              <w:rPr>
                <w:rFonts w:ascii="Arial Narrow" w:hAnsi="Arial Narrow"/>
                <w:sz w:val="22"/>
                <w:szCs w:val="22"/>
              </w:rPr>
            </w:pPr>
          </w:p>
          <w:p w:rsidR="00DA5DED" w:rsidP="00DA5DED">
            <w:pPr>
              <w:pStyle w:val="Normlny"/>
              <w:bidi w:val="0"/>
              <w:spacing w:after="0" w:line="240" w:lineRule="auto"/>
              <w:rPr>
                <w:rFonts w:ascii="Arial Narrow" w:hAnsi="Arial Narrow"/>
                <w:sz w:val="22"/>
                <w:szCs w:val="22"/>
              </w:rPr>
            </w:pPr>
          </w:p>
          <w:p w:rsidR="00DA5DED" w:rsidP="00DA5DED">
            <w:pPr>
              <w:pStyle w:val="Normlny"/>
              <w:bidi w:val="0"/>
              <w:spacing w:after="0" w:line="240" w:lineRule="auto"/>
              <w:rPr>
                <w:rFonts w:ascii="Arial Narrow" w:hAnsi="Arial Narrow"/>
                <w:sz w:val="22"/>
                <w:szCs w:val="22"/>
              </w:rPr>
            </w:pPr>
          </w:p>
          <w:p w:rsidR="00DA5DED" w:rsidP="00DA5DED">
            <w:pPr>
              <w:pStyle w:val="Normlny"/>
              <w:bidi w:val="0"/>
              <w:spacing w:after="0" w:line="240" w:lineRule="auto"/>
              <w:rPr>
                <w:rFonts w:ascii="Arial Narrow" w:hAnsi="Arial Narrow"/>
                <w:sz w:val="22"/>
                <w:szCs w:val="22"/>
              </w:rPr>
            </w:pPr>
          </w:p>
          <w:p w:rsidR="00DA5DED" w:rsidP="00DA5DED">
            <w:pPr>
              <w:pStyle w:val="Normlny"/>
              <w:bidi w:val="0"/>
              <w:spacing w:after="0" w:line="240" w:lineRule="auto"/>
              <w:rPr>
                <w:rFonts w:ascii="Arial Narrow" w:hAnsi="Arial Narrow"/>
                <w:sz w:val="22"/>
                <w:szCs w:val="22"/>
              </w:rPr>
            </w:pPr>
          </w:p>
          <w:p w:rsidR="00DA5DED" w:rsidP="00DA5DED">
            <w:pPr>
              <w:pStyle w:val="Normlny"/>
              <w:bidi w:val="0"/>
              <w:spacing w:after="0" w:line="240" w:lineRule="auto"/>
              <w:rPr>
                <w:rFonts w:ascii="Arial Narrow" w:hAnsi="Arial Narrow"/>
                <w:sz w:val="22"/>
                <w:szCs w:val="22"/>
              </w:rPr>
            </w:pPr>
          </w:p>
          <w:p w:rsidR="00DA5DED" w:rsidP="00DA5DED">
            <w:pPr>
              <w:pStyle w:val="Normlny"/>
              <w:bidi w:val="0"/>
              <w:spacing w:after="0" w:line="240" w:lineRule="auto"/>
              <w:rPr>
                <w:rFonts w:ascii="Arial Narrow" w:hAnsi="Arial Narrow"/>
                <w:sz w:val="22"/>
                <w:szCs w:val="22"/>
              </w:rPr>
            </w:pPr>
          </w:p>
          <w:p w:rsidR="00DA5DED" w:rsidP="00DA5DED">
            <w:pPr>
              <w:pStyle w:val="Normlny"/>
              <w:bidi w:val="0"/>
              <w:spacing w:after="0" w:line="240" w:lineRule="auto"/>
              <w:rPr>
                <w:rFonts w:ascii="Arial Narrow" w:hAnsi="Arial Narrow"/>
                <w:sz w:val="22"/>
                <w:szCs w:val="22"/>
              </w:rPr>
            </w:pPr>
          </w:p>
          <w:p w:rsidR="004760F7" w:rsidP="00DA5DED">
            <w:pPr>
              <w:pStyle w:val="Normlny"/>
              <w:bidi w:val="0"/>
              <w:spacing w:after="0" w:line="240" w:lineRule="auto"/>
              <w:rPr>
                <w:rFonts w:ascii="Arial Narrow" w:hAnsi="Arial Narrow"/>
                <w:sz w:val="22"/>
                <w:szCs w:val="22"/>
              </w:rPr>
            </w:pPr>
          </w:p>
          <w:p w:rsidR="00DA5DED" w:rsidP="00DA5DED">
            <w:pPr>
              <w:pStyle w:val="Normlny"/>
              <w:bidi w:val="0"/>
              <w:spacing w:after="0" w:line="240" w:lineRule="auto"/>
              <w:rPr>
                <w:rFonts w:ascii="Arial Narrow" w:hAnsi="Arial Narrow"/>
                <w:sz w:val="22"/>
                <w:szCs w:val="22"/>
              </w:rPr>
            </w:pPr>
          </w:p>
          <w:p w:rsidR="00DA5DED" w:rsidRPr="00DA5DED" w:rsidP="00DA5DED">
            <w:pPr>
              <w:pStyle w:val="Normlny"/>
              <w:bidi w:val="0"/>
              <w:spacing w:after="0" w:line="240" w:lineRule="auto"/>
              <w:rPr>
                <w:rFonts w:ascii="Arial Narrow" w:hAnsi="Arial Narrow"/>
                <w:sz w:val="22"/>
                <w:szCs w:val="22"/>
              </w:rPr>
            </w:pPr>
            <w:r w:rsidRPr="00DA5DED">
              <w:rPr>
                <w:rFonts w:ascii="Arial Narrow" w:hAnsi="Arial Narrow"/>
                <w:sz w:val="22"/>
                <w:szCs w:val="22"/>
              </w:rPr>
              <w:t xml:space="preserve">a) politika odmeňovania je v súlade s riadnym a účinným riadením rizík a podporuje ho, pričom nepodnecuje k prijímaniu rizika, ktoré nie je v súlade s rizikovými profilmi, štatútom ani zakladajúcimi dokumentmi spravovaných AIF; </w:t>
            </w:r>
          </w:p>
          <w:p w:rsidR="00DA5DED" w:rsidRPr="00DA5DED" w:rsidP="00DA5DED">
            <w:pPr>
              <w:pStyle w:val="Normlny"/>
              <w:bidi w:val="0"/>
              <w:spacing w:after="0" w:line="240" w:lineRule="auto"/>
              <w:rPr>
                <w:rFonts w:ascii="Arial Narrow" w:hAnsi="Arial Narrow"/>
                <w:sz w:val="22"/>
                <w:szCs w:val="22"/>
              </w:rPr>
            </w:pPr>
            <w:r w:rsidRPr="00DA5DED">
              <w:rPr>
                <w:rFonts w:ascii="Arial Narrow" w:hAnsi="Arial Narrow"/>
                <w:sz w:val="22"/>
                <w:szCs w:val="22"/>
              </w:rPr>
              <w:t xml:space="preserve">b) politika odmeňovania je v súlade s obchodnou stratégiou, cieľmi, hodnotami a záujmami správcu AIF a AIF, ktoré spravuje, alebo investorov takýchto AIF a zahŕňa opatrenia na zabránenie konfliktu záujmov; </w:t>
            </w:r>
          </w:p>
          <w:p w:rsidR="00DA5DED" w:rsidRPr="00DA5DED" w:rsidP="00DA5DED">
            <w:pPr>
              <w:pStyle w:val="Normlny"/>
              <w:bidi w:val="0"/>
              <w:spacing w:after="0" w:line="240" w:lineRule="auto"/>
              <w:rPr>
                <w:rFonts w:ascii="Arial Narrow" w:hAnsi="Arial Narrow"/>
                <w:sz w:val="22"/>
                <w:szCs w:val="22"/>
              </w:rPr>
            </w:pPr>
            <w:r w:rsidRPr="00DA5DED">
              <w:rPr>
                <w:rFonts w:ascii="Arial Narrow" w:hAnsi="Arial Narrow"/>
                <w:sz w:val="22"/>
                <w:szCs w:val="22"/>
              </w:rPr>
              <w:t xml:space="preserve">c) riadiaci orgán správcu AIF v rámci svojej funkcie dohľadu prijíma a pravidelne skúma všeobecné zásady politiky odmeňovania a zodpovedá za jej uplatňovanie; </w:t>
            </w:r>
          </w:p>
          <w:p w:rsidR="00DA5DED" w:rsidP="00DA5DED">
            <w:pPr>
              <w:pStyle w:val="Normlny"/>
              <w:bidi w:val="0"/>
              <w:spacing w:after="0" w:line="240" w:lineRule="auto"/>
              <w:rPr>
                <w:rFonts w:ascii="Arial Narrow" w:hAnsi="Arial Narrow"/>
                <w:sz w:val="22"/>
                <w:szCs w:val="22"/>
              </w:rPr>
            </w:pPr>
            <w:r w:rsidRPr="00DA5DED">
              <w:rPr>
                <w:rFonts w:ascii="Arial Narrow" w:hAnsi="Arial Narrow"/>
                <w:sz w:val="22"/>
                <w:szCs w:val="22"/>
              </w:rPr>
              <w:t xml:space="preserve">d) vykonávanie politiky odmeňovania sa aspoň raz ročne podrobuje ústrednému a nezávislému vnútornému preskúmaniu dodržiavania politík a postupov odmeňovania prijatých riadiacim orgánom v rámci jeho funkcie dohľadu; </w:t>
            </w:r>
          </w:p>
          <w:p w:rsidR="003A74AE" w:rsidP="00DA5DED">
            <w:pPr>
              <w:pStyle w:val="Normlny"/>
              <w:bidi w:val="0"/>
              <w:spacing w:after="0" w:line="240" w:lineRule="auto"/>
              <w:rPr>
                <w:rFonts w:ascii="Arial Narrow" w:hAnsi="Arial Narrow"/>
                <w:sz w:val="22"/>
                <w:szCs w:val="22"/>
              </w:rPr>
            </w:pPr>
          </w:p>
          <w:p w:rsidR="00DA5DED" w:rsidP="00DA5DED">
            <w:pPr>
              <w:pStyle w:val="Normlny"/>
              <w:bidi w:val="0"/>
              <w:spacing w:after="0" w:line="240" w:lineRule="auto"/>
              <w:rPr>
                <w:rFonts w:ascii="Arial Narrow" w:hAnsi="Arial Narrow"/>
                <w:sz w:val="22"/>
                <w:szCs w:val="22"/>
              </w:rPr>
            </w:pPr>
            <w:r w:rsidRPr="00DA5DED">
              <w:rPr>
                <w:rFonts w:ascii="Arial Narrow" w:hAnsi="Arial Narrow"/>
                <w:sz w:val="22"/>
                <w:szCs w:val="22"/>
              </w:rPr>
              <w:t xml:space="preserve">e) pracovníci zodpovední za kontrolné funkcie sú odmeňovaní na základe plnenia cieľov súvisiacich s ich funkciami bez ohľadu na výkonnosť oblastí podnikania, ktoré kontrolujú; </w:t>
            </w:r>
          </w:p>
          <w:p w:rsidR="003A74AE" w:rsidP="00DA5DED">
            <w:pPr>
              <w:pStyle w:val="Normlny"/>
              <w:bidi w:val="0"/>
              <w:spacing w:after="0" w:line="240" w:lineRule="auto"/>
              <w:rPr>
                <w:rFonts w:ascii="Arial Narrow" w:hAnsi="Arial Narrow"/>
                <w:sz w:val="22"/>
                <w:szCs w:val="22"/>
              </w:rPr>
            </w:pPr>
          </w:p>
          <w:p w:rsidR="003A74AE" w:rsidRPr="00DA5DED" w:rsidP="00DA5DED">
            <w:pPr>
              <w:pStyle w:val="Normlny"/>
              <w:bidi w:val="0"/>
              <w:spacing w:after="0" w:line="240" w:lineRule="auto"/>
              <w:rPr>
                <w:rFonts w:ascii="Arial Narrow" w:hAnsi="Arial Narrow"/>
                <w:sz w:val="22"/>
                <w:szCs w:val="22"/>
              </w:rPr>
            </w:pPr>
          </w:p>
          <w:p w:rsidR="003A74AE" w:rsidP="00DA5DED">
            <w:pPr>
              <w:pStyle w:val="Normlny"/>
              <w:bidi w:val="0"/>
              <w:spacing w:after="0" w:line="240" w:lineRule="auto"/>
              <w:rPr>
                <w:rFonts w:ascii="Arial Narrow" w:hAnsi="Arial Narrow"/>
                <w:sz w:val="22"/>
                <w:szCs w:val="22"/>
              </w:rPr>
            </w:pPr>
            <w:r w:rsidRPr="00DA5DED" w:rsidR="00DA5DED">
              <w:rPr>
                <w:rFonts w:ascii="Arial Narrow" w:hAnsi="Arial Narrow"/>
                <w:sz w:val="22"/>
                <w:szCs w:val="22"/>
              </w:rPr>
              <w:t>f) odmeňovanie vrcholových pracovníkov vo funkciách riadenia rizík a dodržiavania súladu je priamo podriadené dohľadu výboru pre odmeňovanie;</w:t>
            </w:r>
          </w:p>
          <w:p w:rsidR="003A74AE" w:rsidP="00DA5DED">
            <w:pPr>
              <w:pStyle w:val="Normlny"/>
              <w:bidi w:val="0"/>
              <w:spacing w:after="0" w:line="240" w:lineRule="auto"/>
              <w:rPr>
                <w:rFonts w:ascii="Arial Narrow" w:hAnsi="Arial Narrow"/>
                <w:sz w:val="22"/>
                <w:szCs w:val="22"/>
              </w:rPr>
            </w:pPr>
          </w:p>
          <w:p w:rsidR="00DA5DED" w:rsidP="00DA5DED">
            <w:pPr>
              <w:pStyle w:val="Normlny"/>
              <w:bidi w:val="0"/>
              <w:spacing w:after="0" w:line="240" w:lineRule="auto"/>
              <w:rPr>
                <w:rFonts w:ascii="Arial Narrow" w:hAnsi="Arial Narrow"/>
                <w:sz w:val="22"/>
                <w:szCs w:val="22"/>
              </w:rPr>
            </w:pPr>
            <w:r w:rsidRPr="00DA5DED">
              <w:rPr>
                <w:rFonts w:ascii="Arial Narrow" w:hAnsi="Arial Narrow"/>
                <w:sz w:val="22"/>
                <w:szCs w:val="22"/>
              </w:rPr>
              <w:t xml:space="preserve"> g) ak je odmeňovanie závislé od výkonnosti, celková výška odmeny sa zakladá na kombinácii hodnotenia výkonnosti príslušného pracovníka a príslušného organizačného útvaru alebo dotknutého AIF a hodnotenia celkových výsledkov správcu AIF, pričom sa pri hodnotení výkonnosti jednotlivca berú do úvahy finančné aj nefinančné kritériá; </w:t>
            </w:r>
          </w:p>
          <w:p w:rsidR="003A74AE" w:rsidP="00DA5DED">
            <w:pPr>
              <w:pStyle w:val="Normlny"/>
              <w:bidi w:val="0"/>
              <w:spacing w:after="0" w:line="240" w:lineRule="auto"/>
              <w:rPr>
                <w:rFonts w:ascii="Arial Narrow" w:hAnsi="Arial Narrow"/>
                <w:sz w:val="22"/>
                <w:szCs w:val="22"/>
              </w:rPr>
            </w:pPr>
          </w:p>
          <w:p w:rsidR="003A74AE" w:rsidRPr="00DA5DED" w:rsidP="00DA5DED">
            <w:pPr>
              <w:pStyle w:val="Normlny"/>
              <w:bidi w:val="0"/>
              <w:spacing w:after="0" w:line="240" w:lineRule="auto"/>
              <w:rPr>
                <w:rFonts w:ascii="Arial Narrow" w:hAnsi="Arial Narrow"/>
                <w:sz w:val="22"/>
                <w:szCs w:val="22"/>
              </w:rPr>
            </w:pPr>
          </w:p>
          <w:p w:rsidR="00DA5DED" w:rsidP="00DA5DED">
            <w:pPr>
              <w:pStyle w:val="Normlny"/>
              <w:bidi w:val="0"/>
              <w:spacing w:after="0" w:line="240" w:lineRule="auto"/>
              <w:rPr>
                <w:rFonts w:ascii="Arial Narrow" w:hAnsi="Arial Narrow"/>
                <w:sz w:val="22"/>
                <w:szCs w:val="22"/>
              </w:rPr>
            </w:pPr>
            <w:r w:rsidRPr="00DA5DED">
              <w:rPr>
                <w:rFonts w:ascii="Arial Narrow" w:hAnsi="Arial Narrow"/>
                <w:sz w:val="22"/>
                <w:szCs w:val="22"/>
              </w:rPr>
              <w:t xml:space="preserve">h) hodnotenie výkonnosti sa uskutočňuje vo viacročnom rámci, ktorý je primeraný z hľadiska životného cyklu AIF, ktoré tento správca AIF spravuje, s cieľom zabezpečiť, aby sa proces hodnotenia zakladal na dlhodobej výkonnosti a aby sa skutočná výplata výkonnostných zložiek odmeňovania rozložila na obdobie zohľadňujúce politiku vyplácania spravovaných AIF a ich investičné riziká; </w:t>
            </w:r>
          </w:p>
          <w:p w:rsidR="003A74AE" w:rsidP="00DA5DED">
            <w:pPr>
              <w:pStyle w:val="Normlny"/>
              <w:bidi w:val="0"/>
              <w:spacing w:after="0" w:line="240" w:lineRule="auto"/>
              <w:rPr>
                <w:rFonts w:ascii="Arial Narrow" w:hAnsi="Arial Narrow"/>
                <w:sz w:val="22"/>
                <w:szCs w:val="22"/>
              </w:rPr>
            </w:pPr>
          </w:p>
          <w:p w:rsidR="00DA5DED" w:rsidP="00DA5DED">
            <w:pPr>
              <w:pStyle w:val="Normlny"/>
              <w:bidi w:val="0"/>
              <w:spacing w:after="0" w:line="240" w:lineRule="auto"/>
              <w:rPr>
                <w:rFonts w:ascii="Arial Narrow" w:hAnsi="Arial Narrow"/>
                <w:sz w:val="22"/>
                <w:szCs w:val="22"/>
              </w:rPr>
            </w:pPr>
            <w:r w:rsidRPr="00DA5DED">
              <w:rPr>
                <w:rFonts w:ascii="Arial Narrow" w:hAnsi="Arial Narrow"/>
                <w:sz w:val="22"/>
                <w:szCs w:val="22"/>
              </w:rPr>
              <w:t xml:space="preserve">i) garantované pohyblivé odmeňovanie je výnimočné a používa sa len v súvislosti s prijímaním nových pracovníkov a obmedzuje sa na prvý rok; </w:t>
            </w:r>
          </w:p>
          <w:p w:rsidR="003A74AE" w:rsidRPr="00DA5DED" w:rsidP="00DA5DED">
            <w:pPr>
              <w:pStyle w:val="Normlny"/>
              <w:bidi w:val="0"/>
              <w:spacing w:after="0" w:line="240" w:lineRule="auto"/>
              <w:rPr>
                <w:rFonts w:ascii="Arial Narrow" w:hAnsi="Arial Narrow"/>
                <w:sz w:val="22"/>
                <w:szCs w:val="22"/>
              </w:rPr>
            </w:pPr>
          </w:p>
          <w:p w:rsidR="00DA5DED" w:rsidP="00DA5DED">
            <w:pPr>
              <w:pStyle w:val="Normlny"/>
              <w:bidi w:val="0"/>
              <w:spacing w:after="0" w:line="240" w:lineRule="auto"/>
              <w:rPr>
                <w:rFonts w:ascii="Arial Narrow" w:hAnsi="Arial Narrow"/>
                <w:sz w:val="22"/>
                <w:szCs w:val="22"/>
              </w:rPr>
            </w:pPr>
            <w:r w:rsidRPr="00DA5DED">
              <w:rPr>
                <w:rFonts w:ascii="Arial Narrow" w:hAnsi="Arial Narrow"/>
                <w:sz w:val="22"/>
                <w:szCs w:val="22"/>
              </w:rPr>
              <w:t xml:space="preserve">j) fixná a pohyblivá zložka celkového odmeňovania sú primerane vyvážené a fixná zložka predstavuje dostatočne vysoký podiel celkového odmeňovania, aby bolo možné uplatňovať plne pružnú politiku v oblasti pohyblivých zložiek odmeňovania vrátane možnosti nevyplatiť žiadnu pohyblivú zložku; </w:t>
            </w:r>
          </w:p>
          <w:p w:rsidR="003A74AE" w:rsidP="00DA5DED">
            <w:pPr>
              <w:pStyle w:val="Normlny"/>
              <w:bidi w:val="0"/>
              <w:spacing w:after="0" w:line="240" w:lineRule="auto"/>
              <w:rPr>
                <w:rFonts w:ascii="Arial Narrow" w:hAnsi="Arial Narrow"/>
                <w:sz w:val="22"/>
                <w:szCs w:val="22"/>
              </w:rPr>
            </w:pPr>
          </w:p>
          <w:p w:rsidR="00DA5DED" w:rsidRPr="00DA5DED" w:rsidP="00DA5DED">
            <w:pPr>
              <w:pStyle w:val="Normlny"/>
              <w:bidi w:val="0"/>
              <w:spacing w:after="0" w:line="240" w:lineRule="auto"/>
              <w:rPr>
                <w:rFonts w:ascii="Arial Narrow" w:hAnsi="Arial Narrow"/>
                <w:sz w:val="22"/>
                <w:szCs w:val="22"/>
              </w:rPr>
            </w:pPr>
            <w:r w:rsidRPr="00DA5DED">
              <w:rPr>
                <w:rFonts w:ascii="Arial Narrow" w:hAnsi="Arial Narrow"/>
                <w:sz w:val="22"/>
                <w:szCs w:val="22"/>
              </w:rPr>
              <w:t xml:space="preserve">k) platby spojené s predčasným ukončením zmluvy odrážajú dosiahnuté výsledky za dlhšie obdobie a sú navrhnuté tak, aby sa neodmeňovalo zlyhanie; </w:t>
            </w:r>
          </w:p>
          <w:p w:rsidR="00DA5DED" w:rsidP="00DA5DED">
            <w:pPr>
              <w:pStyle w:val="Normlny"/>
              <w:bidi w:val="0"/>
              <w:spacing w:after="0" w:line="240" w:lineRule="auto"/>
              <w:rPr>
                <w:rFonts w:ascii="Arial Narrow" w:hAnsi="Arial Narrow"/>
                <w:sz w:val="22"/>
                <w:szCs w:val="22"/>
              </w:rPr>
            </w:pPr>
            <w:r w:rsidRPr="00DA5DED">
              <w:rPr>
                <w:rFonts w:ascii="Arial Narrow" w:hAnsi="Arial Narrow"/>
                <w:sz w:val="22"/>
                <w:szCs w:val="22"/>
              </w:rPr>
              <w:t xml:space="preserve">l) meranie výkonnosti používané na výpočet pohyblivých zložiek odmeňovania alebo zoskupení pohyblivých zložiek odmeňovania zahŕňa komplexný mechanizmus úpravy na integráciu všetkých relevantných typov súčasných a budúcich rizík; </w:t>
            </w:r>
          </w:p>
          <w:p w:rsidR="00DA5DED" w:rsidRPr="00DA5DED" w:rsidP="00DA5DED">
            <w:pPr>
              <w:pStyle w:val="Normlny"/>
              <w:bidi w:val="0"/>
              <w:spacing w:after="0" w:line="240" w:lineRule="auto"/>
              <w:rPr>
                <w:rFonts w:ascii="Arial Narrow" w:hAnsi="Arial Narrow"/>
                <w:sz w:val="22"/>
                <w:szCs w:val="22"/>
              </w:rPr>
            </w:pPr>
            <w:r w:rsidRPr="00DA5DED">
              <w:rPr>
                <w:rFonts w:ascii="Arial Narrow" w:hAnsi="Arial Narrow"/>
                <w:sz w:val="22"/>
                <w:szCs w:val="22"/>
              </w:rPr>
              <w:t xml:space="preserve">m) v závislosti od právnej štruktúry AIF a jeho štatútu alebo zakladajúcich dokumentov významná časť predstavujúca minimálne 50 % akejkoľvek pohyblivej odmeny pozostáva z podielových listov alebo akcií dotknutého AIF, alebo rovnocenných vlastníckych podielov, alebo nástrojov, ktoré s akciami súvisia, alebo rovnocenných nehotovostných nástrojov, okrem prípadov, ak správa AIF predstavuje menej ako 50 % z celkového portfólia, ktoré správca AIF spravuje, pričom v tomto prípade sa minimum 50 % neuplatňuje. </w:t>
            </w:r>
          </w:p>
          <w:p w:rsidR="00CB2E5D" w:rsidP="00DA5DED">
            <w:pPr>
              <w:pStyle w:val="Normlny"/>
              <w:bidi w:val="0"/>
              <w:spacing w:after="0" w:line="240" w:lineRule="auto"/>
              <w:rPr>
                <w:rFonts w:ascii="Arial Narrow" w:hAnsi="Arial Narrow"/>
                <w:sz w:val="22"/>
                <w:szCs w:val="22"/>
              </w:rPr>
            </w:pPr>
            <w:r w:rsidRPr="00DA5DED" w:rsidR="00DA5DED">
              <w:rPr>
                <w:rFonts w:ascii="Arial Narrow" w:hAnsi="Arial Narrow"/>
                <w:sz w:val="22"/>
                <w:szCs w:val="22"/>
              </w:rPr>
              <w:t>Nástroje uvedené v tomto písmene podliehajú náležitej vernostnej politike, ktorá je zameraná na zosúladenie stimulov so záujmami správcu AIF a AIF, ktorý spravuje, a investorov takých AIF. Členské štáty alebo ich príslušné orgány môžu v náležitých prípadoch zaviesť obmedzenia druhov a foriem týchto nástrojov alebo zakázať niektoré nástroje. Toto písmeno sa uplatňuje na časť pohyblivej zložky odmeňovania odloženú v súlade s písmenom n) a neodloženú časť pohyblivej zložky;</w:t>
            </w:r>
          </w:p>
          <w:p w:rsidR="003A74AE" w:rsidP="00DA5DED">
            <w:pPr>
              <w:pStyle w:val="Normlny"/>
              <w:bidi w:val="0"/>
              <w:spacing w:after="0" w:line="240" w:lineRule="auto"/>
              <w:rPr>
                <w:rFonts w:ascii="Arial Narrow" w:hAnsi="Arial Narrow"/>
                <w:sz w:val="22"/>
                <w:szCs w:val="22"/>
              </w:rPr>
            </w:pPr>
          </w:p>
          <w:p w:rsidR="003A74AE" w:rsidP="00DA5DED">
            <w:pPr>
              <w:pStyle w:val="Normlny"/>
              <w:bidi w:val="0"/>
              <w:spacing w:after="0" w:line="240" w:lineRule="auto"/>
              <w:rPr>
                <w:rFonts w:ascii="Arial Narrow" w:hAnsi="Arial Narrow"/>
                <w:sz w:val="22"/>
                <w:szCs w:val="22"/>
              </w:rPr>
            </w:pPr>
          </w:p>
          <w:p w:rsidR="003A74AE" w:rsidP="00DA5DED">
            <w:pPr>
              <w:pStyle w:val="Normlny"/>
              <w:bidi w:val="0"/>
              <w:spacing w:after="0" w:line="240" w:lineRule="auto"/>
              <w:rPr>
                <w:rFonts w:ascii="Arial Narrow" w:hAnsi="Arial Narrow"/>
                <w:sz w:val="22"/>
                <w:szCs w:val="22"/>
              </w:rPr>
            </w:pPr>
          </w:p>
          <w:p w:rsidR="003A74AE" w:rsidP="00DA5DED">
            <w:pPr>
              <w:pStyle w:val="Normlny"/>
              <w:bidi w:val="0"/>
              <w:spacing w:after="0" w:line="240" w:lineRule="auto"/>
              <w:rPr>
                <w:rFonts w:ascii="Arial Narrow" w:hAnsi="Arial Narrow"/>
                <w:sz w:val="22"/>
                <w:szCs w:val="22"/>
              </w:rPr>
            </w:pPr>
          </w:p>
          <w:p w:rsidR="003A74AE" w:rsidP="00DA5DED">
            <w:pPr>
              <w:pStyle w:val="Normlny"/>
              <w:bidi w:val="0"/>
              <w:spacing w:after="0" w:line="240" w:lineRule="auto"/>
              <w:rPr>
                <w:rFonts w:ascii="Arial Narrow" w:hAnsi="Arial Narrow"/>
                <w:sz w:val="22"/>
                <w:szCs w:val="22"/>
              </w:rPr>
            </w:pPr>
          </w:p>
          <w:p w:rsidR="00DA5DED" w:rsidRPr="00DA5DED" w:rsidP="00DA5DED">
            <w:pPr>
              <w:pStyle w:val="Normlny"/>
              <w:bidi w:val="0"/>
              <w:spacing w:after="0" w:line="240" w:lineRule="auto"/>
              <w:rPr>
                <w:rFonts w:ascii="Arial Narrow" w:hAnsi="Arial Narrow"/>
                <w:sz w:val="22"/>
                <w:szCs w:val="22"/>
              </w:rPr>
            </w:pPr>
            <w:r w:rsidRPr="00DA5DED">
              <w:rPr>
                <w:rFonts w:ascii="Arial Narrow" w:hAnsi="Arial Narrow"/>
                <w:sz w:val="22"/>
                <w:szCs w:val="22"/>
              </w:rPr>
              <w:t xml:space="preserve">n) významná časť, ktorá tvorí minimálne 40 % pohyblivej zložky odmeňovania, sa odkladá na obdobie, ktoré je primerané z hľadiska životného cyklu a politiky vyplácania dotknutého AIF, a je náležite zosúladená s charakterom rizík daného AIF. </w:t>
            </w:r>
          </w:p>
          <w:p w:rsidR="00DA5DED" w:rsidP="00DA5DED">
            <w:pPr>
              <w:pStyle w:val="Normlny"/>
              <w:bidi w:val="0"/>
              <w:spacing w:after="0" w:line="240" w:lineRule="auto"/>
              <w:rPr>
                <w:rFonts w:ascii="Arial Narrow" w:hAnsi="Arial Narrow"/>
                <w:sz w:val="22"/>
                <w:szCs w:val="22"/>
              </w:rPr>
            </w:pPr>
            <w:r w:rsidRPr="00DA5DED">
              <w:rPr>
                <w:rFonts w:ascii="Arial Narrow" w:hAnsi="Arial Narrow"/>
                <w:sz w:val="22"/>
                <w:szCs w:val="22"/>
              </w:rPr>
              <w:t xml:space="preserve">Doba uvedená v tomto písmene je minimálne tri až päť rokov, pokiaľ nie je životný cyklus dotknutého AIF kratší. Splatná odložená odmena sa neprideľuje rýchlejšie ako na pomernom základe. V prípade variabilnej zložky odmeňovania, ktorá je obzvlášť vysoká, sa odkladá minimálne 60 % sumy; </w:t>
            </w:r>
          </w:p>
          <w:p w:rsidR="003A74AE" w:rsidP="00DA5DED">
            <w:pPr>
              <w:pStyle w:val="Normlny"/>
              <w:bidi w:val="0"/>
              <w:spacing w:after="0" w:line="240" w:lineRule="auto"/>
              <w:rPr>
                <w:rFonts w:ascii="Arial Narrow" w:hAnsi="Arial Narrow"/>
                <w:sz w:val="22"/>
                <w:szCs w:val="22"/>
              </w:rPr>
            </w:pPr>
          </w:p>
          <w:p w:rsidR="003A74AE" w:rsidP="00DA5DED">
            <w:pPr>
              <w:pStyle w:val="Normlny"/>
              <w:bidi w:val="0"/>
              <w:spacing w:after="0" w:line="240" w:lineRule="auto"/>
              <w:rPr>
                <w:rFonts w:ascii="Arial Narrow" w:hAnsi="Arial Narrow"/>
                <w:sz w:val="22"/>
                <w:szCs w:val="22"/>
              </w:rPr>
            </w:pPr>
          </w:p>
          <w:p w:rsidR="003A74AE" w:rsidRPr="00DA5DED" w:rsidP="00DA5DED">
            <w:pPr>
              <w:pStyle w:val="Normlny"/>
              <w:bidi w:val="0"/>
              <w:spacing w:after="0" w:line="240" w:lineRule="auto"/>
              <w:rPr>
                <w:rFonts w:ascii="Arial Narrow" w:hAnsi="Arial Narrow"/>
                <w:sz w:val="22"/>
                <w:szCs w:val="22"/>
              </w:rPr>
            </w:pPr>
          </w:p>
          <w:p w:rsidR="00DA5DED" w:rsidRPr="00DA5DED" w:rsidP="00DA5DED">
            <w:pPr>
              <w:pStyle w:val="Normlny"/>
              <w:bidi w:val="0"/>
              <w:spacing w:after="0" w:line="240" w:lineRule="auto"/>
              <w:rPr>
                <w:rFonts w:ascii="Arial Narrow" w:hAnsi="Arial Narrow"/>
                <w:sz w:val="22"/>
                <w:szCs w:val="22"/>
              </w:rPr>
            </w:pPr>
            <w:r w:rsidRPr="00DA5DED">
              <w:rPr>
                <w:rFonts w:ascii="Arial Narrow" w:hAnsi="Arial Narrow"/>
                <w:sz w:val="22"/>
                <w:szCs w:val="22"/>
              </w:rPr>
              <w:t xml:space="preserve">o) pohyblivá zložka odmeňovania vrátane odloženej časti sa vypláca alebo prideľuje, len ak to umožňuje finančná situácia správcu AIF ako celku a je to odôvodnené na základe výkonnosti organizačného útvaru, AIF a dotknutého jednotlivca. </w:t>
            </w:r>
          </w:p>
          <w:p w:rsidR="00DA5DED" w:rsidP="00DA5DED">
            <w:pPr>
              <w:pStyle w:val="Normlny"/>
              <w:bidi w:val="0"/>
              <w:spacing w:after="0" w:line="240" w:lineRule="auto"/>
              <w:rPr>
                <w:rFonts w:ascii="Arial Narrow" w:hAnsi="Arial Narrow"/>
                <w:sz w:val="22"/>
                <w:szCs w:val="22"/>
              </w:rPr>
            </w:pPr>
            <w:r w:rsidRPr="00DA5DED">
              <w:rPr>
                <w:rFonts w:ascii="Arial Narrow" w:hAnsi="Arial Narrow"/>
                <w:sz w:val="22"/>
                <w:szCs w:val="22"/>
              </w:rPr>
              <w:t xml:space="preserve">Celková pohyblivá zložka odmeňovania sa vo všeobecnosti výrazne skráti, ak sa finančné výsledky dotknutého správcu AIF alebo samotných AIF zhoršia alebo dosiahnu záporné hodnoty, pričom sa zohľadňuje aktuálna odmena, ako aj zníženie vyplácania súm zarobených skôr, a to aj prostredníctvom malusu alebo dohôd o vrátení (clawback arrangements); </w:t>
            </w:r>
          </w:p>
          <w:p w:rsidR="003A74AE" w:rsidP="00DA5DED">
            <w:pPr>
              <w:pStyle w:val="Normlny"/>
              <w:bidi w:val="0"/>
              <w:spacing w:after="0" w:line="240" w:lineRule="auto"/>
              <w:rPr>
                <w:rFonts w:ascii="Arial Narrow" w:hAnsi="Arial Narrow"/>
                <w:sz w:val="22"/>
                <w:szCs w:val="22"/>
              </w:rPr>
            </w:pPr>
          </w:p>
          <w:p w:rsidR="003A74AE" w:rsidP="00DA5DED">
            <w:pPr>
              <w:pStyle w:val="Normlny"/>
              <w:bidi w:val="0"/>
              <w:spacing w:after="0" w:line="240" w:lineRule="auto"/>
              <w:rPr>
                <w:rFonts w:ascii="Arial Narrow" w:hAnsi="Arial Narrow"/>
                <w:sz w:val="22"/>
                <w:szCs w:val="22"/>
              </w:rPr>
            </w:pPr>
          </w:p>
          <w:p w:rsidR="00DA5DED" w:rsidRPr="00DA5DED" w:rsidP="00DA5DED">
            <w:pPr>
              <w:pStyle w:val="Normlny"/>
              <w:bidi w:val="0"/>
              <w:spacing w:after="0" w:line="240" w:lineRule="auto"/>
              <w:rPr>
                <w:rFonts w:ascii="Arial Narrow" w:hAnsi="Arial Narrow"/>
                <w:sz w:val="22"/>
                <w:szCs w:val="22"/>
              </w:rPr>
            </w:pPr>
            <w:r w:rsidRPr="00DA5DED">
              <w:rPr>
                <w:rFonts w:ascii="Arial Narrow" w:hAnsi="Arial Narrow"/>
                <w:sz w:val="22"/>
                <w:szCs w:val="22"/>
              </w:rPr>
              <w:t xml:space="preserve">p) politika dôchodkového zabezpečenia je v súlade s obchodnou stratégiou, cieľmi, hodnotami a dlhodobými záujmami správcu AIF a AIF, ktorý spravuje. </w:t>
            </w:r>
          </w:p>
          <w:p w:rsidR="003A74AE" w:rsidP="00DA5DED">
            <w:pPr>
              <w:pStyle w:val="Normlny"/>
              <w:bidi w:val="0"/>
              <w:spacing w:after="0" w:line="240" w:lineRule="auto"/>
              <w:rPr>
                <w:rFonts w:ascii="Arial Narrow" w:hAnsi="Arial Narrow"/>
                <w:sz w:val="22"/>
                <w:szCs w:val="22"/>
              </w:rPr>
            </w:pPr>
            <w:r w:rsidRPr="00DA5DED" w:rsidR="00DA5DED">
              <w:rPr>
                <w:rFonts w:ascii="Arial Narrow" w:hAnsi="Arial Narrow"/>
                <w:sz w:val="22"/>
                <w:szCs w:val="22"/>
              </w:rPr>
              <w:t>Ak zamestnanec odíde od správcu AIF pred odchodom do dôchodku, dobrovoľné platby dôchodkového zabezpečenia správca AIF zadrží počas obdobia piatich rokov vo forme nástrojov vymedzených v písmene m). V prípade zamestnanca, ktorý dosiahne dôchodkový vek, sa dobrovoľné platby dôchodkového zabezpečenia vyplácajú zamestnancovi formou nástrojov vymedzených v písmene m) a podliehajú päťročnému obdobiu zadržania;</w:t>
            </w:r>
          </w:p>
          <w:p w:rsidR="003A74AE" w:rsidP="00DA5DED">
            <w:pPr>
              <w:pStyle w:val="Normlny"/>
              <w:bidi w:val="0"/>
              <w:spacing w:after="0" w:line="240" w:lineRule="auto"/>
              <w:rPr>
                <w:rFonts w:ascii="Arial Narrow" w:hAnsi="Arial Narrow"/>
                <w:sz w:val="22"/>
                <w:szCs w:val="22"/>
              </w:rPr>
            </w:pPr>
          </w:p>
          <w:p w:rsidR="003A74AE" w:rsidP="00DA5DED">
            <w:pPr>
              <w:pStyle w:val="Normlny"/>
              <w:bidi w:val="0"/>
              <w:spacing w:after="0" w:line="240" w:lineRule="auto"/>
              <w:rPr>
                <w:rFonts w:ascii="Arial Narrow" w:hAnsi="Arial Narrow"/>
                <w:sz w:val="22"/>
                <w:szCs w:val="22"/>
              </w:rPr>
            </w:pPr>
          </w:p>
          <w:p w:rsidR="003A74AE" w:rsidP="00DA5DED">
            <w:pPr>
              <w:pStyle w:val="Normlny"/>
              <w:bidi w:val="0"/>
              <w:spacing w:after="0" w:line="240" w:lineRule="auto"/>
              <w:rPr>
                <w:rFonts w:ascii="Arial Narrow" w:hAnsi="Arial Narrow"/>
                <w:sz w:val="22"/>
                <w:szCs w:val="22"/>
              </w:rPr>
            </w:pPr>
          </w:p>
          <w:p w:rsidR="003A74AE" w:rsidP="00DA5DED">
            <w:pPr>
              <w:pStyle w:val="Normlny"/>
              <w:bidi w:val="0"/>
              <w:spacing w:after="0" w:line="240" w:lineRule="auto"/>
              <w:rPr>
                <w:rFonts w:ascii="Arial Narrow" w:hAnsi="Arial Narrow"/>
                <w:sz w:val="22"/>
                <w:szCs w:val="22"/>
              </w:rPr>
            </w:pPr>
          </w:p>
          <w:p w:rsidR="00DA5DED" w:rsidP="00DA5DED">
            <w:pPr>
              <w:pStyle w:val="Normlny"/>
              <w:bidi w:val="0"/>
              <w:spacing w:after="0" w:line="240" w:lineRule="auto"/>
              <w:rPr>
                <w:rFonts w:ascii="Arial Narrow" w:hAnsi="Arial Narrow"/>
                <w:sz w:val="22"/>
                <w:szCs w:val="22"/>
              </w:rPr>
            </w:pPr>
            <w:r w:rsidRPr="00DA5DED">
              <w:rPr>
                <w:rFonts w:ascii="Arial Narrow" w:hAnsi="Arial Narrow"/>
                <w:sz w:val="22"/>
                <w:szCs w:val="22"/>
              </w:rPr>
              <w:t xml:space="preserve"> q) od pracovníkov sa požaduje, aby sa zaviazali, že nebudú využívať stratégie osobného zaistenia ani poistenia odmeňovania a zodpovednosti, ktorými by oslabovali účinky ovplyvňujúce primeranosť rizík vyplývajúce z dojednaného spôsobu ich odmeňovania; </w:t>
            </w:r>
          </w:p>
          <w:p w:rsidR="00DA5DED" w:rsidP="00DA5DED">
            <w:pPr>
              <w:pStyle w:val="Normlny"/>
              <w:bidi w:val="0"/>
              <w:spacing w:after="0" w:line="240" w:lineRule="auto"/>
              <w:rPr>
                <w:rFonts w:ascii="Arial Narrow" w:hAnsi="Arial Narrow"/>
                <w:sz w:val="22"/>
                <w:szCs w:val="22"/>
              </w:rPr>
            </w:pPr>
            <w:r w:rsidRPr="00DA5DED">
              <w:rPr>
                <w:rFonts w:ascii="Arial Narrow" w:hAnsi="Arial Narrow"/>
                <w:sz w:val="22"/>
                <w:szCs w:val="22"/>
              </w:rPr>
              <w:t xml:space="preserve">r) pohyblivá zložka odmeňovania sa nevypláca prostredníctvom nástrojov ani metód, ktoré napomáhajú vyhýbaniu sa plnenia požiadaviek tejto smernice. </w:t>
            </w:r>
          </w:p>
          <w:p w:rsidR="003A74AE" w:rsidP="00DA5DED">
            <w:pPr>
              <w:pStyle w:val="Normlny"/>
              <w:bidi w:val="0"/>
              <w:spacing w:after="0" w:line="240" w:lineRule="auto"/>
              <w:rPr>
                <w:rFonts w:ascii="Arial Narrow" w:hAnsi="Arial Narrow"/>
                <w:sz w:val="22"/>
                <w:szCs w:val="22"/>
              </w:rPr>
            </w:pPr>
          </w:p>
          <w:p w:rsidR="003A74AE" w:rsidRPr="00DA5DED" w:rsidP="00DA5DED">
            <w:pPr>
              <w:pStyle w:val="Normlny"/>
              <w:bidi w:val="0"/>
              <w:spacing w:after="0" w:line="240" w:lineRule="auto"/>
              <w:rPr>
                <w:rFonts w:ascii="Arial Narrow" w:hAnsi="Arial Narrow"/>
                <w:sz w:val="22"/>
                <w:szCs w:val="22"/>
              </w:rPr>
            </w:pPr>
          </w:p>
          <w:p w:rsidR="00DA5DED" w:rsidRPr="00DA5DED" w:rsidP="00DA5DED">
            <w:pPr>
              <w:pStyle w:val="Normlny"/>
              <w:bidi w:val="0"/>
              <w:spacing w:after="0" w:line="240" w:lineRule="auto"/>
              <w:rPr>
                <w:rFonts w:ascii="Arial Narrow" w:hAnsi="Arial Narrow"/>
                <w:sz w:val="22"/>
                <w:szCs w:val="22"/>
              </w:rPr>
            </w:pPr>
            <w:r w:rsidRPr="00DA5DED">
              <w:rPr>
                <w:rFonts w:ascii="Arial Narrow" w:hAnsi="Arial Narrow"/>
                <w:sz w:val="22"/>
                <w:szCs w:val="22"/>
              </w:rPr>
              <w:t xml:space="preserve">2. Zásady stanovené v odseku 1 sa uplatňujú na všetky druhy odmeňovania vyplácaného správcom AIF, na každú sumu, ktorú priamo vypláca AIF vrátane kapitalizovaného úroku a na každý prevod podielových listov alebo akcií AIF v prospech týchto kategórií pracovníkov vrátane vrcholového manažmentu, zamestnancov, ktorí prijímajú riziká, zamestnancov v kontrolných funkciách a akýchkoľvek zamestnancov poberajúcich celkové odmeny, ktoré ich radia do rovnakej triedy odmeňovania ako vrcholový manažment a zamestnanci, ktorí prijímajú riziká, ktorých pracovné činnosti majú materiálny vplyv na ich rizikový profil alebo rizikové profily AIF, ktoré spravujú. </w:t>
            </w:r>
          </w:p>
          <w:p w:rsidR="00DA5DED" w:rsidRPr="00DA5DED" w:rsidP="00DA5DED">
            <w:pPr>
              <w:pStyle w:val="Normlny"/>
              <w:bidi w:val="0"/>
              <w:spacing w:after="0" w:line="240" w:lineRule="auto"/>
              <w:rPr>
                <w:rFonts w:ascii="Arial Narrow" w:hAnsi="Arial Narrow"/>
                <w:sz w:val="22"/>
                <w:szCs w:val="22"/>
              </w:rPr>
            </w:pPr>
            <w:r w:rsidRPr="00DA5DED">
              <w:rPr>
                <w:rFonts w:ascii="Arial Narrow" w:hAnsi="Arial Narrow"/>
                <w:sz w:val="22"/>
                <w:szCs w:val="22"/>
              </w:rPr>
              <w:t xml:space="preserve">3. Správcovia AIF, ktorí sú významní z hľadiska svojej veľkosti alebo veľkosti AIF, ktoré spravujú, svojej vnútornej organizácie a charakteru, rozsahu a komplexnosti svojich činností, zriadia výbor pre odmeňovanie. Výbor pre odmeňovanie sa zriadi takým spôsobom, aby bol spôsobilý kompetentne a nezávisle posudzovať politiky a postupy odmeňovania a stimuly vytvorené na riadenie rizika. </w:t>
            </w:r>
          </w:p>
          <w:p w:rsidR="00DA5DED" w:rsidRPr="00DA5DED" w:rsidP="00DA5DED">
            <w:pPr>
              <w:pStyle w:val="Normlny"/>
              <w:bidi w:val="0"/>
              <w:spacing w:after="0" w:line="240" w:lineRule="auto"/>
              <w:rPr>
                <w:rFonts w:ascii="Arial Narrow" w:hAnsi="Arial Narrow"/>
                <w:sz w:val="22"/>
                <w:szCs w:val="22"/>
              </w:rPr>
            </w:pPr>
            <w:r w:rsidRPr="00DA5DED">
              <w:rPr>
                <w:rFonts w:ascii="Arial Narrow" w:hAnsi="Arial Narrow"/>
                <w:sz w:val="22"/>
                <w:szCs w:val="22"/>
              </w:rPr>
              <w:t>Výbor pre odmeňovanie zodpovedá za vypracovanie rozhodnutí týkajúcich sa odmeňovania vrátane tých, ktoré majú dôsledky na riziká a riadenie rizík dotknutého správcu AIF alebo AIF a ktoré má prijímať riadiaci orgán v rámci svojej funkcie dohľadu. Výboru pre odmeňovanie predsedá člen riadiaceho orgánu, ktorý v dotknutom správcovi AIF nemá žiadne výkonné funkcie. Členovia výboru pre odmeňovanie sú členmi riadiaceho orgánu, ktorí v dotknutom správcovi AIF nemajú žiadne výkonné funkcie.</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A9063F" w:rsidRPr="00DA5DED">
            <w:pPr>
              <w:bidi w:val="0"/>
              <w:spacing w:after="0" w:line="240" w:lineRule="auto"/>
              <w:jc w:val="center"/>
              <w:rPr>
                <w:rFonts w:ascii="Arial Narrow" w:hAnsi="Arial Narrow"/>
                <w:sz w:val="22"/>
                <w:szCs w:val="22"/>
              </w:rPr>
            </w:pPr>
            <w:r w:rsidR="00DA5DED">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A9063F" w:rsidRPr="00DA5DED">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A5DED" w:rsidP="004577EC">
            <w:pPr>
              <w:bidi w:val="0"/>
              <w:spacing w:after="0" w:line="240" w:lineRule="auto"/>
              <w:jc w:val="center"/>
              <w:rPr>
                <w:rFonts w:ascii="Arial Narrow" w:hAnsi="Arial Narrow"/>
                <w:sz w:val="22"/>
                <w:szCs w:val="22"/>
              </w:rPr>
            </w:pPr>
            <w:r>
              <w:rPr>
                <w:rFonts w:ascii="Arial Narrow" w:hAnsi="Arial Narrow"/>
                <w:sz w:val="22"/>
                <w:szCs w:val="22"/>
              </w:rPr>
              <w:t xml:space="preserve">§ 33 ods.8 </w:t>
            </w:r>
          </w:p>
          <w:p w:rsidR="00DA5DED" w:rsidP="004577EC">
            <w:pPr>
              <w:bidi w:val="0"/>
              <w:spacing w:after="0" w:line="240" w:lineRule="auto"/>
              <w:jc w:val="center"/>
              <w:rPr>
                <w:rFonts w:ascii="Arial Narrow" w:hAnsi="Arial Narrow"/>
                <w:sz w:val="22"/>
                <w:szCs w:val="22"/>
              </w:rPr>
            </w:pPr>
          </w:p>
          <w:p w:rsidR="00DA5DED" w:rsidP="004577EC">
            <w:pPr>
              <w:bidi w:val="0"/>
              <w:spacing w:after="0" w:line="240" w:lineRule="auto"/>
              <w:jc w:val="center"/>
              <w:rPr>
                <w:rFonts w:ascii="Arial Narrow" w:hAnsi="Arial Narrow"/>
                <w:sz w:val="22"/>
                <w:szCs w:val="22"/>
              </w:rPr>
            </w:pPr>
          </w:p>
          <w:p w:rsidR="00DA5DED" w:rsidP="004577EC">
            <w:pPr>
              <w:bidi w:val="0"/>
              <w:spacing w:after="0" w:line="240" w:lineRule="auto"/>
              <w:jc w:val="center"/>
              <w:rPr>
                <w:rFonts w:ascii="Arial Narrow" w:hAnsi="Arial Narrow"/>
                <w:sz w:val="22"/>
                <w:szCs w:val="22"/>
              </w:rPr>
            </w:pPr>
          </w:p>
          <w:p w:rsidR="00DA5DED" w:rsidP="004577EC">
            <w:pPr>
              <w:bidi w:val="0"/>
              <w:spacing w:after="0" w:line="240" w:lineRule="auto"/>
              <w:jc w:val="center"/>
              <w:rPr>
                <w:rFonts w:ascii="Arial Narrow" w:hAnsi="Arial Narrow"/>
                <w:sz w:val="22"/>
                <w:szCs w:val="22"/>
              </w:rPr>
            </w:pPr>
          </w:p>
          <w:p w:rsidR="00DA5DED" w:rsidP="004577EC">
            <w:pPr>
              <w:bidi w:val="0"/>
              <w:spacing w:after="0" w:line="240" w:lineRule="auto"/>
              <w:jc w:val="center"/>
              <w:rPr>
                <w:rFonts w:ascii="Arial Narrow" w:hAnsi="Arial Narrow"/>
                <w:sz w:val="22"/>
                <w:szCs w:val="22"/>
              </w:rPr>
            </w:pPr>
            <w:r>
              <w:rPr>
                <w:rFonts w:ascii="Arial Narrow" w:hAnsi="Arial Narrow"/>
                <w:sz w:val="22"/>
                <w:szCs w:val="22"/>
              </w:rPr>
              <w:t xml:space="preserve">ods.9 </w:t>
            </w:r>
          </w:p>
          <w:p w:rsidR="00DA5DED" w:rsidP="004577EC">
            <w:pPr>
              <w:bidi w:val="0"/>
              <w:spacing w:after="0" w:line="240" w:lineRule="auto"/>
              <w:jc w:val="center"/>
              <w:rPr>
                <w:rFonts w:ascii="Arial Narrow" w:hAnsi="Arial Narrow"/>
                <w:sz w:val="22"/>
                <w:szCs w:val="22"/>
              </w:rPr>
            </w:pPr>
          </w:p>
          <w:p w:rsidR="00DA5DED" w:rsidP="004577EC">
            <w:pPr>
              <w:bidi w:val="0"/>
              <w:spacing w:after="0" w:line="240" w:lineRule="auto"/>
              <w:jc w:val="center"/>
              <w:rPr>
                <w:rFonts w:ascii="Arial Narrow" w:hAnsi="Arial Narrow"/>
                <w:sz w:val="22"/>
                <w:szCs w:val="22"/>
              </w:rPr>
            </w:pPr>
          </w:p>
          <w:p w:rsidR="00DA5DED" w:rsidP="004577EC">
            <w:pPr>
              <w:bidi w:val="0"/>
              <w:spacing w:after="0" w:line="240" w:lineRule="auto"/>
              <w:jc w:val="center"/>
              <w:rPr>
                <w:rFonts w:ascii="Arial Narrow" w:hAnsi="Arial Narrow"/>
                <w:sz w:val="22"/>
                <w:szCs w:val="22"/>
              </w:rPr>
            </w:pPr>
          </w:p>
          <w:p w:rsidR="00DA5DED" w:rsidP="004577EC">
            <w:pPr>
              <w:bidi w:val="0"/>
              <w:spacing w:after="0" w:line="240" w:lineRule="auto"/>
              <w:jc w:val="center"/>
              <w:rPr>
                <w:rFonts w:ascii="Arial Narrow" w:hAnsi="Arial Narrow"/>
                <w:sz w:val="22"/>
                <w:szCs w:val="22"/>
              </w:rPr>
            </w:pPr>
          </w:p>
          <w:p w:rsidR="00DA5DED" w:rsidP="004577EC">
            <w:pPr>
              <w:bidi w:val="0"/>
              <w:spacing w:after="0" w:line="240" w:lineRule="auto"/>
              <w:jc w:val="center"/>
              <w:rPr>
                <w:rFonts w:ascii="Arial Narrow" w:hAnsi="Arial Narrow"/>
                <w:sz w:val="22"/>
                <w:szCs w:val="22"/>
              </w:rPr>
            </w:pPr>
          </w:p>
          <w:p w:rsidR="00DA5DED" w:rsidP="004577EC">
            <w:pPr>
              <w:bidi w:val="0"/>
              <w:spacing w:after="0" w:line="240" w:lineRule="auto"/>
              <w:jc w:val="center"/>
              <w:rPr>
                <w:rFonts w:ascii="Arial Narrow" w:hAnsi="Arial Narrow"/>
                <w:sz w:val="22"/>
                <w:szCs w:val="22"/>
              </w:rPr>
            </w:pPr>
          </w:p>
          <w:p w:rsidR="00DA5DED" w:rsidP="004577EC">
            <w:pPr>
              <w:bidi w:val="0"/>
              <w:spacing w:after="0" w:line="240" w:lineRule="auto"/>
              <w:jc w:val="center"/>
              <w:rPr>
                <w:rFonts w:ascii="Arial Narrow" w:hAnsi="Arial Narrow"/>
                <w:sz w:val="22"/>
                <w:szCs w:val="22"/>
              </w:rPr>
            </w:pPr>
          </w:p>
          <w:p w:rsidR="00DA5DED" w:rsidP="004577EC">
            <w:pPr>
              <w:bidi w:val="0"/>
              <w:spacing w:after="0" w:line="240" w:lineRule="auto"/>
              <w:jc w:val="center"/>
              <w:rPr>
                <w:rFonts w:ascii="Arial Narrow" w:hAnsi="Arial Narrow"/>
                <w:sz w:val="22"/>
                <w:szCs w:val="22"/>
              </w:rPr>
            </w:pPr>
          </w:p>
          <w:p w:rsidR="00DA5DED" w:rsidP="004577EC">
            <w:pPr>
              <w:bidi w:val="0"/>
              <w:spacing w:after="0" w:line="240" w:lineRule="auto"/>
              <w:jc w:val="center"/>
              <w:rPr>
                <w:rFonts w:ascii="Arial Narrow" w:hAnsi="Arial Narrow"/>
                <w:sz w:val="22"/>
                <w:szCs w:val="22"/>
              </w:rPr>
            </w:pPr>
          </w:p>
          <w:p w:rsidR="00DA5DED" w:rsidP="004577EC">
            <w:pPr>
              <w:bidi w:val="0"/>
              <w:spacing w:after="0" w:line="240" w:lineRule="auto"/>
              <w:jc w:val="center"/>
              <w:rPr>
                <w:rFonts w:ascii="Arial Narrow" w:hAnsi="Arial Narrow"/>
                <w:sz w:val="22"/>
                <w:szCs w:val="22"/>
              </w:rPr>
            </w:pPr>
          </w:p>
          <w:p w:rsidR="00DA5DED" w:rsidP="004577EC">
            <w:pPr>
              <w:bidi w:val="0"/>
              <w:spacing w:after="0" w:line="240" w:lineRule="auto"/>
              <w:jc w:val="center"/>
              <w:rPr>
                <w:rFonts w:ascii="Arial Narrow" w:hAnsi="Arial Narrow"/>
                <w:sz w:val="22"/>
                <w:szCs w:val="22"/>
              </w:rPr>
            </w:pPr>
          </w:p>
          <w:p w:rsidR="00DA5DED" w:rsidP="004577EC">
            <w:pPr>
              <w:bidi w:val="0"/>
              <w:spacing w:after="0" w:line="240" w:lineRule="auto"/>
              <w:jc w:val="center"/>
              <w:rPr>
                <w:rFonts w:ascii="Arial Narrow" w:hAnsi="Arial Narrow"/>
                <w:sz w:val="22"/>
                <w:szCs w:val="22"/>
              </w:rPr>
            </w:pPr>
          </w:p>
          <w:p w:rsidR="00DA5DED" w:rsidP="004577EC">
            <w:pPr>
              <w:bidi w:val="0"/>
              <w:spacing w:after="0" w:line="240" w:lineRule="auto"/>
              <w:jc w:val="center"/>
              <w:rPr>
                <w:rFonts w:ascii="Arial Narrow" w:hAnsi="Arial Narrow"/>
                <w:sz w:val="22"/>
                <w:szCs w:val="22"/>
              </w:rPr>
            </w:pPr>
          </w:p>
          <w:p w:rsidR="00DA5DED" w:rsidP="004577EC">
            <w:pPr>
              <w:bidi w:val="0"/>
              <w:spacing w:after="0" w:line="240" w:lineRule="auto"/>
              <w:jc w:val="center"/>
              <w:rPr>
                <w:rFonts w:ascii="Arial Narrow" w:hAnsi="Arial Narrow"/>
                <w:sz w:val="22"/>
                <w:szCs w:val="22"/>
              </w:rPr>
            </w:pPr>
          </w:p>
          <w:p w:rsidR="00DA5DED" w:rsidP="004577EC">
            <w:pPr>
              <w:bidi w:val="0"/>
              <w:spacing w:after="0" w:line="240" w:lineRule="auto"/>
              <w:jc w:val="center"/>
              <w:rPr>
                <w:rFonts w:ascii="Arial Narrow" w:hAnsi="Arial Narrow"/>
                <w:sz w:val="22"/>
                <w:szCs w:val="22"/>
              </w:rPr>
            </w:pPr>
          </w:p>
          <w:p w:rsidR="00DA5DED" w:rsidP="004577EC">
            <w:pPr>
              <w:bidi w:val="0"/>
              <w:spacing w:after="0" w:line="240" w:lineRule="auto"/>
              <w:jc w:val="center"/>
              <w:rPr>
                <w:rFonts w:ascii="Arial Narrow" w:hAnsi="Arial Narrow"/>
                <w:sz w:val="22"/>
                <w:szCs w:val="22"/>
              </w:rPr>
            </w:pPr>
          </w:p>
          <w:p w:rsidR="00DA5DED" w:rsidP="004577EC">
            <w:pPr>
              <w:bidi w:val="0"/>
              <w:spacing w:after="0" w:line="240" w:lineRule="auto"/>
              <w:jc w:val="center"/>
              <w:rPr>
                <w:rFonts w:ascii="Arial Narrow" w:hAnsi="Arial Narrow"/>
                <w:sz w:val="22"/>
                <w:szCs w:val="22"/>
              </w:rPr>
            </w:pPr>
          </w:p>
          <w:p w:rsidR="00DA5DED" w:rsidP="004577EC">
            <w:pPr>
              <w:bidi w:val="0"/>
              <w:spacing w:after="0" w:line="240" w:lineRule="auto"/>
              <w:jc w:val="center"/>
              <w:rPr>
                <w:rFonts w:ascii="Arial Narrow" w:hAnsi="Arial Narrow"/>
                <w:sz w:val="22"/>
                <w:szCs w:val="22"/>
              </w:rPr>
            </w:pPr>
          </w:p>
          <w:p w:rsidR="00DA5DED" w:rsidP="004577EC">
            <w:pPr>
              <w:bidi w:val="0"/>
              <w:spacing w:after="0" w:line="240" w:lineRule="auto"/>
              <w:jc w:val="center"/>
              <w:rPr>
                <w:rFonts w:ascii="Arial Narrow" w:hAnsi="Arial Narrow"/>
                <w:sz w:val="22"/>
                <w:szCs w:val="22"/>
              </w:rPr>
            </w:pPr>
          </w:p>
          <w:p w:rsidR="00DA5DED" w:rsidP="004577EC">
            <w:pPr>
              <w:bidi w:val="0"/>
              <w:spacing w:after="0" w:line="240" w:lineRule="auto"/>
              <w:jc w:val="center"/>
              <w:rPr>
                <w:rFonts w:ascii="Arial Narrow" w:hAnsi="Arial Narrow"/>
                <w:sz w:val="22"/>
                <w:szCs w:val="22"/>
              </w:rPr>
            </w:pPr>
          </w:p>
          <w:p w:rsidR="00DA5DED" w:rsidP="004577EC">
            <w:pPr>
              <w:bidi w:val="0"/>
              <w:spacing w:after="0" w:line="240" w:lineRule="auto"/>
              <w:jc w:val="center"/>
              <w:rPr>
                <w:rFonts w:ascii="Arial Narrow" w:hAnsi="Arial Narrow"/>
                <w:sz w:val="22"/>
                <w:szCs w:val="22"/>
              </w:rPr>
            </w:pPr>
          </w:p>
          <w:p w:rsidR="00DA5DED" w:rsidP="004577EC">
            <w:pPr>
              <w:bidi w:val="0"/>
              <w:spacing w:after="0" w:line="240" w:lineRule="auto"/>
              <w:jc w:val="center"/>
              <w:rPr>
                <w:rFonts w:ascii="Arial Narrow" w:hAnsi="Arial Narrow"/>
                <w:sz w:val="22"/>
                <w:szCs w:val="22"/>
              </w:rPr>
            </w:pPr>
          </w:p>
          <w:p w:rsidR="00DA5DED" w:rsidP="004577EC">
            <w:pPr>
              <w:bidi w:val="0"/>
              <w:spacing w:after="0" w:line="240" w:lineRule="auto"/>
              <w:jc w:val="center"/>
              <w:rPr>
                <w:rFonts w:ascii="Arial Narrow" w:hAnsi="Arial Narrow"/>
                <w:sz w:val="22"/>
                <w:szCs w:val="22"/>
              </w:rPr>
            </w:pPr>
          </w:p>
          <w:p w:rsidR="00DA5DED" w:rsidP="004577EC">
            <w:pPr>
              <w:bidi w:val="0"/>
              <w:spacing w:after="0" w:line="240" w:lineRule="auto"/>
              <w:jc w:val="center"/>
              <w:rPr>
                <w:rFonts w:ascii="Arial Narrow" w:hAnsi="Arial Narrow"/>
                <w:sz w:val="22"/>
                <w:szCs w:val="22"/>
              </w:rPr>
            </w:pPr>
          </w:p>
          <w:p w:rsidR="004760F7" w:rsidP="004577EC">
            <w:pPr>
              <w:bidi w:val="0"/>
              <w:spacing w:after="0" w:line="240" w:lineRule="auto"/>
              <w:jc w:val="center"/>
              <w:rPr>
                <w:rFonts w:ascii="Arial Narrow" w:hAnsi="Arial Narrow"/>
                <w:sz w:val="22"/>
                <w:szCs w:val="22"/>
              </w:rPr>
            </w:pPr>
          </w:p>
          <w:p w:rsidR="00DA5DED" w:rsidP="004577EC">
            <w:pPr>
              <w:bidi w:val="0"/>
              <w:spacing w:after="0" w:line="240" w:lineRule="auto"/>
              <w:jc w:val="center"/>
              <w:rPr>
                <w:rFonts w:ascii="Arial Narrow" w:hAnsi="Arial Narrow"/>
                <w:sz w:val="22"/>
                <w:szCs w:val="22"/>
              </w:rPr>
            </w:pPr>
            <w:r>
              <w:rPr>
                <w:rFonts w:ascii="Arial Narrow" w:hAnsi="Arial Narrow"/>
                <w:sz w:val="22"/>
                <w:szCs w:val="22"/>
              </w:rPr>
              <w:t xml:space="preserve">ods.10 </w:t>
            </w:r>
          </w:p>
          <w:p w:rsidR="00DA5DED" w:rsidP="004577EC">
            <w:pPr>
              <w:bidi w:val="0"/>
              <w:spacing w:after="0" w:line="240" w:lineRule="auto"/>
              <w:jc w:val="center"/>
              <w:rPr>
                <w:rFonts w:ascii="Arial Narrow" w:hAnsi="Arial Narrow"/>
                <w:sz w:val="22"/>
                <w:szCs w:val="22"/>
              </w:rPr>
            </w:pPr>
          </w:p>
          <w:p w:rsidR="00DA5DED" w:rsidP="004577EC">
            <w:pPr>
              <w:bidi w:val="0"/>
              <w:spacing w:after="0" w:line="240" w:lineRule="auto"/>
              <w:jc w:val="center"/>
              <w:rPr>
                <w:rFonts w:ascii="Arial Narrow" w:hAnsi="Arial Narrow"/>
                <w:sz w:val="22"/>
                <w:szCs w:val="22"/>
              </w:rPr>
            </w:pPr>
          </w:p>
          <w:p w:rsidR="00DA5DED" w:rsidP="004577EC">
            <w:pPr>
              <w:bidi w:val="0"/>
              <w:spacing w:after="0" w:line="240" w:lineRule="auto"/>
              <w:jc w:val="center"/>
              <w:rPr>
                <w:rFonts w:ascii="Arial Narrow" w:hAnsi="Arial Narrow"/>
                <w:sz w:val="22"/>
                <w:szCs w:val="22"/>
              </w:rPr>
            </w:pPr>
            <w:r>
              <w:rPr>
                <w:rFonts w:ascii="Arial Narrow" w:hAnsi="Arial Narrow"/>
                <w:sz w:val="22"/>
                <w:szCs w:val="22"/>
              </w:rPr>
              <w:t xml:space="preserve">ods.11 </w:t>
            </w:r>
          </w:p>
          <w:p w:rsidR="00DA5DED" w:rsidP="004577EC">
            <w:pPr>
              <w:bidi w:val="0"/>
              <w:spacing w:after="0" w:line="240" w:lineRule="auto"/>
              <w:jc w:val="center"/>
              <w:rPr>
                <w:rFonts w:ascii="Arial Narrow" w:hAnsi="Arial Narrow"/>
                <w:sz w:val="22"/>
                <w:szCs w:val="22"/>
              </w:rPr>
            </w:pPr>
          </w:p>
          <w:p w:rsidR="00DA5DED" w:rsidP="004577EC">
            <w:pPr>
              <w:bidi w:val="0"/>
              <w:spacing w:after="0" w:line="240" w:lineRule="auto"/>
              <w:jc w:val="center"/>
              <w:rPr>
                <w:rFonts w:ascii="Arial Narrow" w:hAnsi="Arial Narrow"/>
                <w:sz w:val="22"/>
                <w:szCs w:val="22"/>
              </w:rPr>
            </w:pPr>
          </w:p>
          <w:p w:rsidR="00DA5DED" w:rsidP="004577EC">
            <w:pPr>
              <w:bidi w:val="0"/>
              <w:spacing w:after="0" w:line="240" w:lineRule="auto"/>
              <w:jc w:val="center"/>
              <w:rPr>
                <w:rFonts w:ascii="Arial Narrow" w:hAnsi="Arial Narrow"/>
                <w:sz w:val="22"/>
                <w:szCs w:val="22"/>
              </w:rPr>
            </w:pPr>
          </w:p>
          <w:p w:rsidR="00DA5DED" w:rsidP="004577EC">
            <w:pPr>
              <w:bidi w:val="0"/>
              <w:spacing w:after="0" w:line="240" w:lineRule="auto"/>
              <w:jc w:val="center"/>
              <w:rPr>
                <w:rFonts w:ascii="Arial Narrow" w:hAnsi="Arial Narrow"/>
                <w:sz w:val="22"/>
                <w:szCs w:val="22"/>
              </w:rPr>
            </w:pPr>
          </w:p>
          <w:p w:rsidR="00DA5DED" w:rsidP="004577EC">
            <w:pPr>
              <w:bidi w:val="0"/>
              <w:spacing w:after="0" w:line="240" w:lineRule="auto"/>
              <w:jc w:val="center"/>
              <w:rPr>
                <w:rFonts w:ascii="Arial Narrow" w:hAnsi="Arial Narrow"/>
                <w:sz w:val="22"/>
                <w:szCs w:val="22"/>
              </w:rPr>
            </w:pPr>
          </w:p>
          <w:p w:rsidR="00DA5DED"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DA5DED"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4760F7" w:rsidP="004577EC">
            <w:pPr>
              <w:bidi w:val="0"/>
              <w:spacing w:after="0" w:line="240" w:lineRule="auto"/>
              <w:jc w:val="center"/>
              <w:rPr>
                <w:rFonts w:ascii="Arial Narrow" w:hAnsi="Arial Narrow"/>
                <w:sz w:val="22"/>
                <w:szCs w:val="22"/>
              </w:rPr>
            </w:pPr>
          </w:p>
          <w:p w:rsidR="004760F7" w:rsidP="004577EC">
            <w:pPr>
              <w:bidi w:val="0"/>
              <w:spacing w:after="0" w:line="240" w:lineRule="auto"/>
              <w:jc w:val="center"/>
              <w:rPr>
                <w:rFonts w:ascii="Arial Narrow" w:hAnsi="Arial Narrow"/>
                <w:sz w:val="22"/>
                <w:szCs w:val="22"/>
              </w:rPr>
            </w:pPr>
          </w:p>
          <w:p w:rsidR="004760F7" w:rsidP="004577EC">
            <w:pPr>
              <w:bidi w:val="0"/>
              <w:spacing w:after="0" w:line="240" w:lineRule="auto"/>
              <w:jc w:val="center"/>
              <w:rPr>
                <w:rFonts w:ascii="Arial Narrow" w:hAnsi="Arial Narrow"/>
                <w:sz w:val="22"/>
                <w:szCs w:val="22"/>
              </w:rPr>
            </w:pPr>
          </w:p>
          <w:p w:rsidR="004760F7" w:rsidP="004577EC">
            <w:pPr>
              <w:bidi w:val="0"/>
              <w:spacing w:after="0" w:line="240" w:lineRule="auto"/>
              <w:jc w:val="center"/>
              <w:rPr>
                <w:rFonts w:ascii="Arial Narrow" w:hAnsi="Arial Narrow"/>
                <w:sz w:val="22"/>
                <w:szCs w:val="22"/>
              </w:rPr>
            </w:pPr>
          </w:p>
          <w:p w:rsidR="003A74AE" w:rsidP="004577EC">
            <w:pPr>
              <w:bidi w:val="0"/>
              <w:spacing w:after="0" w:line="240" w:lineRule="auto"/>
              <w:jc w:val="center"/>
              <w:rPr>
                <w:rFonts w:ascii="Arial Narrow" w:hAnsi="Arial Narrow"/>
                <w:sz w:val="22"/>
                <w:szCs w:val="22"/>
              </w:rPr>
            </w:pPr>
          </w:p>
          <w:p w:rsidR="003A74AE" w:rsidP="003A74AE">
            <w:pPr>
              <w:bidi w:val="0"/>
              <w:spacing w:after="0" w:line="240" w:lineRule="auto"/>
              <w:jc w:val="center"/>
              <w:rPr>
                <w:rFonts w:ascii="Arial Narrow" w:hAnsi="Arial Narrow"/>
                <w:sz w:val="22"/>
                <w:szCs w:val="22"/>
              </w:rPr>
            </w:pPr>
            <w:r w:rsidR="00DA5DED">
              <w:rPr>
                <w:rFonts w:ascii="Arial Narrow" w:hAnsi="Arial Narrow"/>
                <w:sz w:val="22"/>
                <w:szCs w:val="22"/>
              </w:rPr>
              <w:t xml:space="preserve">ods.12 </w:t>
            </w:r>
          </w:p>
          <w:p w:rsidR="004760F7" w:rsidP="003A74AE">
            <w:pPr>
              <w:bidi w:val="0"/>
              <w:spacing w:after="0" w:line="240" w:lineRule="auto"/>
              <w:jc w:val="center"/>
              <w:rPr>
                <w:rFonts w:ascii="Arial Narrow" w:hAnsi="Arial Narrow"/>
                <w:sz w:val="22"/>
                <w:szCs w:val="22"/>
              </w:rPr>
            </w:pPr>
          </w:p>
          <w:p w:rsidR="004760F7" w:rsidP="003A74AE">
            <w:pPr>
              <w:bidi w:val="0"/>
              <w:spacing w:after="0" w:line="240" w:lineRule="auto"/>
              <w:jc w:val="center"/>
              <w:rPr>
                <w:rFonts w:ascii="Arial Narrow" w:hAnsi="Arial Narrow"/>
                <w:sz w:val="22"/>
                <w:szCs w:val="22"/>
              </w:rPr>
            </w:pPr>
          </w:p>
          <w:p w:rsidR="004760F7" w:rsidP="003A74AE">
            <w:pPr>
              <w:bidi w:val="0"/>
              <w:spacing w:after="0" w:line="240" w:lineRule="auto"/>
              <w:jc w:val="center"/>
              <w:rPr>
                <w:rFonts w:ascii="Arial Narrow" w:hAnsi="Arial Narrow"/>
                <w:sz w:val="22"/>
                <w:szCs w:val="22"/>
              </w:rPr>
            </w:pPr>
          </w:p>
          <w:p w:rsidR="004760F7" w:rsidP="003A74AE">
            <w:pPr>
              <w:bidi w:val="0"/>
              <w:spacing w:after="0" w:line="240" w:lineRule="auto"/>
              <w:jc w:val="center"/>
              <w:rPr>
                <w:rFonts w:ascii="Arial Narrow" w:hAnsi="Arial Narrow"/>
                <w:sz w:val="22"/>
                <w:szCs w:val="22"/>
              </w:rPr>
            </w:pPr>
          </w:p>
          <w:p w:rsidR="004760F7" w:rsidP="003A74AE">
            <w:pPr>
              <w:bidi w:val="0"/>
              <w:spacing w:after="0" w:line="240" w:lineRule="auto"/>
              <w:jc w:val="center"/>
              <w:rPr>
                <w:rFonts w:ascii="Arial Narrow" w:hAnsi="Arial Narrow"/>
                <w:sz w:val="22"/>
                <w:szCs w:val="22"/>
              </w:rPr>
            </w:pPr>
          </w:p>
          <w:p w:rsidR="004760F7" w:rsidP="003A74AE">
            <w:pPr>
              <w:bidi w:val="0"/>
              <w:spacing w:after="0" w:line="240" w:lineRule="auto"/>
              <w:jc w:val="center"/>
              <w:rPr>
                <w:rFonts w:ascii="Arial Narrow" w:hAnsi="Arial Narrow"/>
                <w:sz w:val="22"/>
                <w:szCs w:val="22"/>
              </w:rPr>
            </w:pPr>
          </w:p>
          <w:p w:rsidR="004760F7" w:rsidP="003A74AE">
            <w:pPr>
              <w:bidi w:val="0"/>
              <w:spacing w:after="0" w:line="240" w:lineRule="auto"/>
              <w:jc w:val="center"/>
              <w:rPr>
                <w:rFonts w:ascii="Arial Narrow" w:hAnsi="Arial Narrow"/>
                <w:sz w:val="22"/>
                <w:szCs w:val="22"/>
              </w:rPr>
            </w:pPr>
          </w:p>
          <w:p w:rsidR="003A74AE" w:rsidP="003A74AE">
            <w:pPr>
              <w:bidi w:val="0"/>
              <w:spacing w:after="0" w:line="240" w:lineRule="auto"/>
              <w:jc w:val="center"/>
              <w:rPr>
                <w:rFonts w:ascii="Arial Narrow" w:hAnsi="Arial Narrow"/>
                <w:sz w:val="22"/>
                <w:szCs w:val="22"/>
              </w:rPr>
            </w:pPr>
            <w:r>
              <w:rPr>
                <w:rFonts w:ascii="Arial Narrow" w:hAnsi="Arial Narrow"/>
                <w:sz w:val="22"/>
                <w:szCs w:val="22"/>
              </w:rPr>
              <w:t>o</w:t>
            </w:r>
            <w:r w:rsidR="00DA5DED">
              <w:rPr>
                <w:rFonts w:ascii="Arial Narrow" w:hAnsi="Arial Narrow"/>
                <w:sz w:val="22"/>
                <w:szCs w:val="22"/>
              </w:rPr>
              <w:t xml:space="preserve">ds.13 </w:t>
            </w:r>
          </w:p>
          <w:p w:rsidR="004760F7" w:rsidP="003A74AE">
            <w:pPr>
              <w:bidi w:val="0"/>
              <w:spacing w:after="0" w:line="240" w:lineRule="auto"/>
              <w:jc w:val="center"/>
              <w:rPr>
                <w:rFonts w:ascii="Arial Narrow" w:hAnsi="Arial Narrow"/>
                <w:sz w:val="22"/>
                <w:szCs w:val="22"/>
              </w:rPr>
            </w:pPr>
          </w:p>
          <w:p w:rsidR="004760F7" w:rsidP="003A74AE">
            <w:pPr>
              <w:bidi w:val="0"/>
              <w:spacing w:after="0" w:line="240" w:lineRule="auto"/>
              <w:jc w:val="center"/>
              <w:rPr>
                <w:rFonts w:ascii="Arial Narrow" w:hAnsi="Arial Narrow"/>
                <w:sz w:val="22"/>
                <w:szCs w:val="22"/>
              </w:rPr>
            </w:pPr>
          </w:p>
          <w:p w:rsidR="004760F7" w:rsidP="003A74AE">
            <w:pPr>
              <w:bidi w:val="0"/>
              <w:spacing w:after="0" w:line="240" w:lineRule="auto"/>
              <w:jc w:val="center"/>
              <w:rPr>
                <w:rFonts w:ascii="Arial Narrow" w:hAnsi="Arial Narrow"/>
                <w:sz w:val="22"/>
                <w:szCs w:val="22"/>
              </w:rPr>
            </w:pPr>
          </w:p>
          <w:p w:rsidR="004760F7" w:rsidP="003A74AE">
            <w:pPr>
              <w:bidi w:val="0"/>
              <w:spacing w:after="0" w:line="240" w:lineRule="auto"/>
              <w:jc w:val="center"/>
              <w:rPr>
                <w:rFonts w:ascii="Arial Narrow" w:hAnsi="Arial Narrow"/>
                <w:sz w:val="22"/>
                <w:szCs w:val="22"/>
              </w:rPr>
            </w:pPr>
          </w:p>
          <w:p w:rsidR="004760F7" w:rsidP="003A74AE">
            <w:pPr>
              <w:bidi w:val="0"/>
              <w:spacing w:after="0" w:line="240" w:lineRule="auto"/>
              <w:jc w:val="center"/>
              <w:rPr>
                <w:rFonts w:ascii="Arial Narrow" w:hAnsi="Arial Narrow"/>
                <w:sz w:val="22"/>
                <w:szCs w:val="22"/>
              </w:rPr>
            </w:pPr>
          </w:p>
          <w:p w:rsidR="004760F7" w:rsidP="003A74AE">
            <w:pPr>
              <w:bidi w:val="0"/>
              <w:spacing w:after="0" w:line="240" w:lineRule="auto"/>
              <w:jc w:val="center"/>
              <w:rPr>
                <w:rFonts w:ascii="Arial Narrow" w:hAnsi="Arial Narrow"/>
                <w:sz w:val="22"/>
                <w:szCs w:val="22"/>
              </w:rPr>
            </w:pPr>
          </w:p>
          <w:p w:rsidR="004760F7" w:rsidP="003A74AE">
            <w:pPr>
              <w:bidi w:val="0"/>
              <w:spacing w:after="0" w:line="240" w:lineRule="auto"/>
              <w:jc w:val="center"/>
              <w:rPr>
                <w:rFonts w:ascii="Arial Narrow" w:hAnsi="Arial Narrow"/>
                <w:sz w:val="22"/>
                <w:szCs w:val="22"/>
              </w:rPr>
            </w:pPr>
          </w:p>
          <w:p w:rsidR="004760F7" w:rsidP="003A74AE">
            <w:pPr>
              <w:bidi w:val="0"/>
              <w:spacing w:after="0" w:line="240" w:lineRule="auto"/>
              <w:jc w:val="center"/>
              <w:rPr>
                <w:rFonts w:ascii="Arial Narrow" w:hAnsi="Arial Narrow"/>
                <w:sz w:val="22"/>
                <w:szCs w:val="22"/>
              </w:rPr>
            </w:pPr>
          </w:p>
          <w:p w:rsidR="004760F7" w:rsidP="003A74AE">
            <w:pPr>
              <w:bidi w:val="0"/>
              <w:spacing w:after="0" w:line="240" w:lineRule="auto"/>
              <w:jc w:val="center"/>
              <w:rPr>
                <w:rFonts w:ascii="Arial Narrow" w:hAnsi="Arial Narrow"/>
                <w:sz w:val="22"/>
                <w:szCs w:val="22"/>
              </w:rPr>
            </w:pPr>
          </w:p>
          <w:p w:rsidR="004760F7" w:rsidP="003A74AE">
            <w:pPr>
              <w:bidi w:val="0"/>
              <w:spacing w:after="0" w:line="240" w:lineRule="auto"/>
              <w:jc w:val="center"/>
              <w:rPr>
                <w:rFonts w:ascii="Arial Narrow" w:hAnsi="Arial Narrow"/>
                <w:sz w:val="22"/>
                <w:szCs w:val="22"/>
              </w:rPr>
            </w:pPr>
          </w:p>
          <w:p w:rsidR="004760F7" w:rsidP="003A74AE">
            <w:pPr>
              <w:bidi w:val="0"/>
              <w:spacing w:after="0" w:line="240" w:lineRule="auto"/>
              <w:jc w:val="center"/>
              <w:rPr>
                <w:rFonts w:ascii="Arial Narrow" w:hAnsi="Arial Narrow"/>
                <w:sz w:val="22"/>
                <w:szCs w:val="22"/>
              </w:rPr>
            </w:pPr>
          </w:p>
          <w:p w:rsidR="004760F7" w:rsidP="003A74AE">
            <w:pPr>
              <w:bidi w:val="0"/>
              <w:spacing w:after="0" w:line="240" w:lineRule="auto"/>
              <w:jc w:val="center"/>
              <w:rPr>
                <w:rFonts w:ascii="Arial Narrow" w:hAnsi="Arial Narrow"/>
                <w:sz w:val="22"/>
                <w:szCs w:val="22"/>
              </w:rPr>
            </w:pPr>
          </w:p>
          <w:p w:rsidR="004760F7" w:rsidP="003A74AE">
            <w:pPr>
              <w:bidi w:val="0"/>
              <w:spacing w:after="0" w:line="240" w:lineRule="auto"/>
              <w:jc w:val="center"/>
              <w:rPr>
                <w:rFonts w:ascii="Arial Narrow" w:hAnsi="Arial Narrow"/>
                <w:sz w:val="22"/>
                <w:szCs w:val="22"/>
              </w:rPr>
            </w:pPr>
          </w:p>
          <w:p w:rsidR="00A9063F" w:rsidRPr="00DA5DED" w:rsidP="003A74AE">
            <w:pPr>
              <w:bidi w:val="0"/>
              <w:spacing w:after="0" w:line="240" w:lineRule="auto"/>
              <w:jc w:val="center"/>
              <w:rPr>
                <w:rFonts w:ascii="Arial Narrow" w:hAnsi="Arial Narrow"/>
                <w:sz w:val="22"/>
                <w:szCs w:val="22"/>
              </w:rPr>
            </w:pPr>
            <w:r w:rsidR="00DA5DED">
              <w:rPr>
                <w:rFonts w:ascii="Arial Narrow" w:hAnsi="Arial Narrow"/>
                <w:sz w:val="22"/>
                <w:szCs w:val="22"/>
              </w:rPr>
              <w:t>ods.14</w:t>
            </w:r>
          </w:p>
        </w:tc>
        <w:tc>
          <w:tcPr>
            <w:tcW w:w="6379" w:type="dxa"/>
            <w:tcBorders>
              <w:top w:val="single" w:sz="4" w:space="0" w:color="auto"/>
              <w:left w:val="single" w:sz="4" w:space="0" w:color="auto"/>
              <w:bottom w:val="single" w:sz="4" w:space="0" w:color="auto"/>
              <w:right w:val="single" w:sz="4" w:space="0" w:color="auto"/>
            </w:tcBorders>
            <w:textDirection w:val="lrTb"/>
            <w:vAlign w:val="top"/>
          </w:tcPr>
          <w:p w:rsidR="00DA5DED" w:rsidRPr="00DA5DED" w:rsidP="00DA5DED">
            <w:pPr>
              <w:bidi w:val="0"/>
              <w:spacing w:after="0" w:line="240" w:lineRule="auto"/>
              <w:jc w:val="both"/>
              <w:rPr>
                <w:rFonts w:ascii="Arial Narrow" w:hAnsi="Arial Narrow"/>
                <w:b/>
                <w:i/>
                <w:iCs/>
                <w:sz w:val="22"/>
                <w:szCs w:val="22"/>
              </w:rPr>
            </w:pPr>
            <w:r w:rsidRPr="00DA5DED">
              <w:rPr>
                <w:rFonts w:ascii="Arial Narrow" w:hAnsi="Arial Narrow"/>
                <w:b/>
                <w:sz w:val="22"/>
                <w:szCs w:val="22"/>
              </w:rPr>
              <w:t xml:space="preserve">Správcovská  spoločnosť  je povinná zahrnúť do stanov zásady odmeňovania osôb podľa odseku 9, ktoré podporujú spoľahlivé a účinné riadenie rizík a obmedzujú podstupovanie rizík nezlučiteľných s rizikovým profilom, štatútom alebo zakladajúcimi dokumentmi alternatívnych investičných fondov a zahraničných alternatívnych investičných fondov. </w:t>
            </w:r>
          </w:p>
          <w:p w:rsidR="00DA5DED" w:rsidRPr="00DA5DED" w:rsidP="00DA5DED">
            <w:pPr>
              <w:bidi w:val="0"/>
              <w:spacing w:after="0" w:line="240" w:lineRule="auto"/>
              <w:jc w:val="both"/>
              <w:rPr>
                <w:rFonts w:ascii="Arial Narrow" w:hAnsi="Arial Narrow"/>
                <w:b/>
                <w:sz w:val="22"/>
                <w:szCs w:val="22"/>
              </w:rPr>
            </w:pPr>
            <w:r w:rsidRPr="00DA5DED">
              <w:rPr>
                <w:rFonts w:ascii="Arial Narrow" w:hAnsi="Arial Narrow"/>
                <w:b/>
                <w:sz w:val="22"/>
                <w:szCs w:val="22"/>
              </w:rPr>
              <w:t xml:space="preserve"> Správcovská spoločnosť s povolením podľa § 28a, je povinná uplatňovať zásady odmeňovania  u</w:t>
            </w:r>
          </w:p>
          <w:p w:rsidR="00DA5DED" w:rsidRPr="00DA5DED" w:rsidP="00DA5DED">
            <w:pPr>
              <w:numPr>
                <w:numId w:val="17"/>
              </w:numPr>
              <w:autoSpaceDE/>
              <w:autoSpaceDN/>
              <w:bidi w:val="0"/>
              <w:spacing w:after="0" w:line="240" w:lineRule="auto"/>
              <w:ind w:left="0" w:firstLine="705"/>
              <w:jc w:val="both"/>
              <w:rPr>
                <w:rFonts w:ascii="Arial Narrow" w:hAnsi="Arial Narrow"/>
                <w:b/>
                <w:sz w:val="22"/>
                <w:szCs w:val="22"/>
              </w:rPr>
            </w:pPr>
            <w:r w:rsidRPr="00DA5DED">
              <w:rPr>
                <w:rFonts w:ascii="Arial Narrow" w:hAnsi="Arial Narrow"/>
                <w:b/>
                <w:sz w:val="22"/>
                <w:szCs w:val="22"/>
              </w:rPr>
              <w:t>všetkých členov predstavenstva a dozornej rady správcovskej spoločnosti,</w:t>
            </w:r>
          </w:p>
          <w:p w:rsidR="00DA5DED" w:rsidRPr="00DA5DED" w:rsidP="00DA5DED">
            <w:pPr>
              <w:numPr>
                <w:numId w:val="17"/>
              </w:numPr>
              <w:autoSpaceDE/>
              <w:autoSpaceDN/>
              <w:bidi w:val="0"/>
              <w:spacing w:after="0" w:line="240" w:lineRule="auto"/>
              <w:ind w:left="0" w:firstLine="705"/>
              <w:jc w:val="both"/>
              <w:rPr>
                <w:rFonts w:ascii="Arial Narrow" w:hAnsi="Arial Narrow"/>
                <w:b/>
                <w:sz w:val="22"/>
                <w:szCs w:val="22"/>
              </w:rPr>
            </w:pPr>
            <w:r w:rsidRPr="00DA5DED">
              <w:rPr>
                <w:rFonts w:ascii="Arial Narrow" w:hAnsi="Arial Narrow"/>
                <w:b/>
                <w:sz w:val="22"/>
                <w:szCs w:val="22"/>
              </w:rPr>
              <w:t>všetkých členov vrcholového manažmentu správcovskej spoločnosti, iných ako podľa písmena a),</w:t>
            </w:r>
          </w:p>
          <w:p w:rsidR="00DA5DED" w:rsidRPr="00DA5DED" w:rsidP="00DA5DED">
            <w:pPr>
              <w:numPr>
                <w:numId w:val="17"/>
              </w:numPr>
              <w:autoSpaceDE/>
              <w:autoSpaceDN/>
              <w:bidi w:val="0"/>
              <w:spacing w:after="0" w:line="240" w:lineRule="auto"/>
              <w:ind w:left="0" w:firstLine="705"/>
              <w:jc w:val="both"/>
              <w:rPr>
                <w:rFonts w:ascii="Arial Narrow" w:hAnsi="Arial Narrow"/>
                <w:b/>
                <w:sz w:val="22"/>
                <w:szCs w:val="22"/>
              </w:rPr>
            </w:pPr>
            <w:r w:rsidRPr="00DA5DED">
              <w:rPr>
                <w:rFonts w:ascii="Arial Narrow" w:hAnsi="Arial Narrow"/>
                <w:b/>
                <w:sz w:val="22"/>
                <w:szCs w:val="22"/>
              </w:rPr>
              <w:t xml:space="preserve">zamestnancov, ktorí z dôvodu svojej funkcie alebo pracovnej náplne  môžu, individuálne alebo ako členovia organizačného útvaru, uplatňovať podstatný vplyv na riziká správcovskej spoločnosti alebo riziká v majetku spravovaných subjektoch kolektívneho investovania, vrátane osôb, ktoré môžu uzatvárať zmluvy alebo nakladať s majetkom fondu a prijímať rozhodnutia, ktoré podstatne ovplyvňujú riziká správcovskej spoločnosti alebo riziká v majetku spravovaných subjektoch kolektívneho investovania, </w:t>
            </w:r>
          </w:p>
          <w:p w:rsidR="00DA5DED" w:rsidRPr="00DA5DED" w:rsidP="00DA5DED">
            <w:pPr>
              <w:numPr>
                <w:numId w:val="17"/>
              </w:numPr>
              <w:autoSpaceDE/>
              <w:autoSpaceDN/>
              <w:bidi w:val="0"/>
              <w:spacing w:after="0" w:line="240" w:lineRule="auto"/>
              <w:ind w:left="0" w:firstLine="705"/>
              <w:jc w:val="both"/>
              <w:rPr>
                <w:rFonts w:ascii="Arial Narrow" w:hAnsi="Arial Narrow"/>
                <w:b/>
                <w:sz w:val="22"/>
                <w:szCs w:val="22"/>
              </w:rPr>
            </w:pPr>
            <w:r w:rsidRPr="00DA5DED">
              <w:rPr>
                <w:rFonts w:ascii="Arial Narrow" w:hAnsi="Arial Narrow"/>
                <w:b/>
                <w:sz w:val="22"/>
                <w:szCs w:val="22"/>
              </w:rPr>
              <w:t>zamestnancov zodpovedných za alebo vykonávajúcich funkciu dodržiavania, funkciu riadenia rizík, funkciu vnútorného auditu alebo inú kontrolnú funkciu,</w:t>
            </w:r>
          </w:p>
          <w:p w:rsidR="00DA5DED" w:rsidRPr="00DA5DED" w:rsidP="00DA5DED">
            <w:pPr>
              <w:numPr>
                <w:numId w:val="17"/>
              </w:numPr>
              <w:autoSpaceDE/>
              <w:autoSpaceDN/>
              <w:bidi w:val="0"/>
              <w:spacing w:after="0" w:line="240" w:lineRule="auto"/>
              <w:ind w:left="0" w:firstLine="705"/>
              <w:jc w:val="both"/>
              <w:rPr>
                <w:rFonts w:ascii="Arial Narrow" w:hAnsi="Arial Narrow"/>
                <w:b/>
                <w:sz w:val="22"/>
                <w:szCs w:val="22"/>
              </w:rPr>
            </w:pPr>
            <w:r w:rsidRPr="00DA5DED">
              <w:rPr>
                <w:rFonts w:ascii="Arial Narrow" w:hAnsi="Arial Narrow"/>
                <w:b/>
                <w:sz w:val="22"/>
                <w:szCs w:val="22"/>
              </w:rPr>
              <w:t xml:space="preserve">vedúcich zamestnancov zodpovedných za riadenie investícií, administratívne činnosti podľa § 27 ods. 5, marketing alebo distribúciu alebo za riadenie ľudských zdrojov, </w:t>
            </w:r>
          </w:p>
          <w:p w:rsidR="00DA5DED" w:rsidRPr="00DA5DED" w:rsidP="00DA5DED">
            <w:pPr>
              <w:numPr>
                <w:numId w:val="17"/>
              </w:numPr>
              <w:autoSpaceDE/>
              <w:autoSpaceDN/>
              <w:bidi w:val="0"/>
              <w:spacing w:after="0" w:line="240" w:lineRule="auto"/>
              <w:ind w:left="0" w:firstLine="705"/>
              <w:jc w:val="both"/>
              <w:rPr>
                <w:rFonts w:ascii="Arial Narrow" w:hAnsi="Arial Narrow"/>
                <w:b/>
                <w:i/>
                <w:iCs/>
                <w:sz w:val="22"/>
                <w:szCs w:val="22"/>
              </w:rPr>
            </w:pPr>
            <w:r w:rsidRPr="00DA5DED">
              <w:rPr>
                <w:rFonts w:ascii="Arial Narrow" w:hAnsi="Arial Narrow"/>
                <w:b/>
                <w:color w:val="000000"/>
                <w:sz w:val="22"/>
                <w:szCs w:val="22"/>
              </w:rPr>
              <w:t xml:space="preserve"> ostatných zamestnancov, iných ako podľa písmen a) až e), ktorých celkové odmeňovanie ich radí do rovnakej triedy odmeňovania ako osoby podľa písmen a) a b), ktorých funkcia alebo pracovná náplň má významný vplyv na rizikové profily správcovskej spoločnosti alebo spravovaných </w:t>
            </w:r>
            <w:r w:rsidRPr="00DA5DED">
              <w:rPr>
                <w:rFonts w:ascii="Arial Narrow" w:hAnsi="Arial Narrow"/>
                <w:b/>
                <w:sz w:val="22"/>
                <w:szCs w:val="22"/>
              </w:rPr>
              <w:t>subjektov kolektívneho investovania</w:t>
            </w:r>
            <w:r w:rsidRPr="00DA5DED">
              <w:rPr>
                <w:rFonts w:ascii="Arial Narrow" w:hAnsi="Arial Narrow"/>
                <w:b/>
                <w:color w:val="000000"/>
                <w:sz w:val="22"/>
                <w:szCs w:val="22"/>
              </w:rPr>
              <w:t xml:space="preserve">. </w:t>
            </w:r>
          </w:p>
          <w:p w:rsidR="004760F7" w:rsidP="004760F7">
            <w:pPr>
              <w:pStyle w:val="CM1"/>
              <w:bidi w:val="0"/>
              <w:spacing w:after="0" w:line="240" w:lineRule="auto"/>
              <w:jc w:val="both"/>
              <w:rPr>
                <w:rFonts w:ascii="Arial Narrow" w:hAnsi="Arial Narrow"/>
                <w:b/>
                <w:color w:val="000000"/>
                <w:sz w:val="22"/>
                <w:szCs w:val="22"/>
              </w:rPr>
            </w:pPr>
          </w:p>
          <w:p w:rsidR="00DA5DED" w:rsidRPr="00DA5DED" w:rsidP="00DA5DED">
            <w:pPr>
              <w:pStyle w:val="CM1"/>
              <w:bidi w:val="0"/>
              <w:spacing w:after="0" w:line="240" w:lineRule="auto"/>
              <w:jc w:val="both"/>
              <w:rPr>
                <w:rFonts w:ascii="Arial Narrow" w:hAnsi="Arial Narrow"/>
                <w:b/>
                <w:sz w:val="22"/>
                <w:szCs w:val="22"/>
              </w:rPr>
            </w:pPr>
            <w:r w:rsidRPr="00DA5DED">
              <w:rPr>
                <w:rFonts w:ascii="Arial Narrow" w:hAnsi="Arial Narrow"/>
                <w:b/>
                <w:color w:val="000000"/>
                <w:sz w:val="22"/>
                <w:szCs w:val="22"/>
              </w:rPr>
              <w:t>Správcovská spoločnosť je povinná na žiadosť Národnej banky Slovenska jej preukázať výber osôb podľa odseku 9 a jeho zdôvodnenie.</w:t>
            </w:r>
            <w:r w:rsidRPr="00DA5DED">
              <w:rPr>
                <w:rFonts w:ascii="Arial Narrow" w:hAnsi="Arial Narrow"/>
                <w:b/>
                <w:sz w:val="22"/>
                <w:szCs w:val="22"/>
              </w:rPr>
              <w:t xml:space="preserve"> </w:t>
            </w:r>
          </w:p>
          <w:p w:rsidR="004760F7" w:rsidP="004760F7">
            <w:pPr>
              <w:bidi w:val="0"/>
              <w:spacing w:after="0" w:line="240" w:lineRule="auto"/>
              <w:jc w:val="both"/>
              <w:rPr>
                <w:rFonts w:ascii="Arial Narrow" w:hAnsi="Arial Narrow"/>
                <w:b/>
                <w:color w:val="000000"/>
                <w:sz w:val="22"/>
                <w:szCs w:val="22"/>
              </w:rPr>
            </w:pPr>
          </w:p>
          <w:p w:rsidR="00DA5DED" w:rsidRPr="00DA5DED" w:rsidP="00DA5DED">
            <w:pPr>
              <w:bidi w:val="0"/>
              <w:spacing w:after="0" w:line="240" w:lineRule="auto"/>
              <w:jc w:val="both"/>
              <w:rPr>
                <w:rFonts w:ascii="Arial Narrow" w:hAnsi="Arial Narrow"/>
                <w:b/>
                <w:color w:val="000000"/>
                <w:sz w:val="22"/>
                <w:szCs w:val="22"/>
              </w:rPr>
            </w:pPr>
            <w:r w:rsidRPr="00DA5DED">
              <w:rPr>
                <w:rFonts w:ascii="Arial Narrow" w:hAnsi="Arial Narrow"/>
                <w:b/>
                <w:color w:val="000000"/>
                <w:sz w:val="22"/>
                <w:szCs w:val="22"/>
              </w:rPr>
              <w:t>Správcovská spoločnosť je povinná upraviť zásady odmeňovania podľa odseku 8 spôsobom a v rozsahu, ktorý je primeraný jej veľkosti, vnútornej organizácii, ako aj povahe, rozsahu a zložitosti jej činností v súlade s týmito princípmi:</w:t>
            </w:r>
          </w:p>
          <w:p w:rsidR="00DA5DED" w:rsidRPr="00DA5DED" w:rsidP="00DA5DED">
            <w:pPr>
              <w:numPr>
                <w:numId w:val="18"/>
              </w:numPr>
              <w:tabs>
                <w:tab w:val="num" w:pos="0"/>
                <w:tab w:val="clear" w:pos="720"/>
              </w:tabs>
              <w:autoSpaceDE/>
              <w:autoSpaceDN/>
              <w:bidi w:val="0"/>
              <w:spacing w:after="0" w:line="240" w:lineRule="auto"/>
              <w:ind w:left="0" w:firstLine="720"/>
              <w:jc w:val="both"/>
              <w:rPr>
                <w:rFonts w:ascii="Arial Narrow" w:hAnsi="Arial Narrow"/>
                <w:b/>
                <w:sz w:val="22"/>
                <w:szCs w:val="22"/>
              </w:rPr>
            </w:pPr>
            <w:r w:rsidRPr="00DA5DED">
              <w:rPr>
                <w:rFonts w:ascii="Arial Narrow" w:hAnsi="Arial Narrow"/>
                <w:b/>
                <w:sz w:val="22"/>
                <w:szCs w:val="22"/>
              </w:rPr>
              <w:t>zásady odmeňovania sú v súlade s riadnym a účinným riadením rizík a podporujú ho, pričom nepodnecujú k prijímaniu rizika, ktoré nie je v súlade s rizikovými profilmi, štatútmi alebo zakladajúcimi dokumentmi spravovaných subjektov kolektívneho investovania (ďalej len „princíp zosúladenia rizík“),</w:t>
            </w:r>
          </w:p>
          <w:p w:rsidR="00DA5DED" w:rsidRPr="00DA5DED" w:rsidP="00DA5DED">
            <w:pPr>
              <w:numPr>
                <w:numId w:val="18"/>
              </w:numPr>
              <w:tabs>
                <w:tab w:val="num" w:pos="0"/>
                <w:tab w:val="clear" w:pos="720"/>
              </w:tabs>
              <w:autoSpaceDE/>
              <w:autoSpaceDN/>
              <w:bidi w:val="0"/>
              <w:spacing w:after="0" w:line="240" w:lineRule="auto"/>
              <w:ind w:left="0" w:firstLine="720"/>
              <w:jc w:val="both"/>
              <w:rPr>
                <w:rFonts w:ascii="Arial Narrow" w:hAnsi="Arial Narrow"/>
                <w:b/>
                <w:sz w:val="22"/>
                <w:szCs w:val="22"/>
              </w:rPr>
            </w:pPr>
            <w:r w:rsidRPr="00DA5DED">
              <w:rPr>
                <w:rFonts w:ascii="Arial Narrow" w:hAnsi="Arial Narrow"/>
                <w:b/>
                <w:sz w:val="22"/>
                <w:szCs w:val="22"/>
              </w:rPr>
              <w:t>zásady odmeňovania sú v súlade s obchodnou stratégiou, cieľmi, hodnotami a záujmami správcovskej spoločnosti a subjektov kolektívneho investovania, ktoré spravuje, a ich investorov a zahŕňajú opatrenia na zabránenie konfliktu záujmov,</w:t>
            </w:r>
          </w:p>
          <w:p w:rsidR="00DA5DED" w:rsidRPr="00DA5DED" w:rsidP="00DA5DED">
            <w:pPr>
              <w:numPr>
                <w:numId w:val="18"/>
              </w:numPr>
              <w:tabs>
                <w:tab w:val="num" w:pos="0"/>
                <w:tab w:val="clear" w:pos="720"/>
              </w:tabs>
              <w:autoSpaceDE/>
              <w:autoSpaceDN/>
              <w:bidi w:val="0"/>
              <w:spacing w:after="0" w:line="240" w:lineRule="auto"/>
              <w:ind w:left="0" w:firstLine="720"/>
              <w:jc w:val="both"/>
              <w:rPr>
                <w:rFonts w:ascii="Arial Narrow" w:hAnsi="Arial Narrow"/>
                <w:b/>
                <w:sz w:val="22"/>
                <w:szCs w:val="22"/>
              </w:rPr>
            </w:pPr>
            <w:r w:rsidRPr="00DA5DED">
              <w:rPr>
                <w:rFonts w:ascii="Arial Narrow" w:hAnsi="Arial Narrow"/>
                <w:b/>
                <w:sz w:val="22"/>
                <w:szCs w:val="22"/>
              </w:rPr>
              <w:t>dozorná rada správcovskej spoločnosti prijíma a pravidelne preskúmava všeobecné princípy zásad odmeňovania a zodpovedá za ich uplatňovanie,</w:t>
            </w:r>
          </w:p>
          <w:p w:rsidR="00DA5DED" w:rsidRPr="00DA5DED" w:rsidP="00DA5DED">
            <w:pPr>
              <w:numPr>
                <w:numId w:val="18"/>
              </w:numPr>
              <w:tabs>
                <w:tab w:val="num" w:pos="0"/>
                <w:tab w:val="clear" w:pos="720"/>
              </w:tabs>
              <w:autoSpaceDE/>
              <w:autoSpaceDN/>
              <w:bidi w:val="0"/>
              <w:spacing w:after="0" w:line="240" w:lineRule="auto"/>
              <w:ind w:left="0" w:firstLine="720"/>
              <w:jc w:val="both"/>
              <w:rPr>
                <w:rFonts w:ascii="Arial Narrow" w:hAnsi="Arial Narrow"/>
                <w:b/>
                <w:sz w:val="22"/>
                <w:szCs w:val="22"/>
              </w:rPr>
            </w:pPr>
            <w:r w:rsidRPr="00DA5DED">
              <w:rPr>
                <w:rFonts w:ascii="Arial Narrow" w:hAnsi="Arial Narrow"/>
                <w:b/>
                <w:sz w:val="22"/>
                <w:szCs w:val="22"/>
              </w:rPr>
              <w:t>dozorná rada správcovskej spoločnosti aspoň raz ročne nezávisle preskúma uplatňovanie zásad odmeňovania v správcovskej spoločnosti,</w:t>
            </w:r>
          </w:p>
          <w:p w:rsidR="00DA5DED" w:rsidRPr="00DA5DED" w:rsidP="00DA5DED">
            <w:pPr>
              <w:numPr>
                <w:numId w:val="18"/>
              </w:numPr>
              <w:tabs>
                <w:tab w:val="num" w:pos="0"/>
                <w:tab w:val="clear" w:pos="720"/>
              </w:tabs>
              <w:autoSpaceDE/>
              <w:autoSpaceDN/>
              <w:bidi w:val="0"/>
              <w:spacing w:after="0" w:line="240" w:lineRule="auto"/>
              <w:ind w:left="0" w:firstLine="720"/>
              <w:jc w:val="both"/>
              <w:rPr>
                <w:rFonts w:ascii="Arial Narrow" w:hAnsi="Arial Narrow"/>
                <w:b/>
                <w:sz w:val="22"/>
                <w:szCs w:val="22"/>
              </w:rPr>
            </w:pPr>
            <w:r w:rsidRPr="00DA5DED">
              <w:rPr>
                <w:rFonts w:ascii="Arial Narrow" w:hAnsi="Arial Narrow"/>
                <w:b/>
                <w:sz w:val="22"/>
                <w:szCs w:val="22"/>
              </w:rPr>
              <w:t>zamestnanci zodpovední alebo vykonávajúci funkciu dodržiavania, funkciu riadenia rizík, funkciu vnútorného auditu alebo inú kontrolnú funkciu sú odmeňovaní na základe plnenia cieľov súvisiacich s ich funkciami bez ohľadu na výkonnosť činností správcovskej spoločnosti, ktoré kontrolujú,</w:t>
            </w:r>
          </w:p>
          <w:p w:rsidR="00DA5DED" w:rsidRPr="00DA5DED" w:rsidP="00DA5DED">
            <w:pPr>
              <w:numPr>
                <w:numId w:val="18"/>
              </w:numPr>
              <w:tabs>
                <w:tab w:val="num" w:pos="0"/>
                <w:tab w:val="clear" w:pos="720"/>
              </w:tabs>
              <w:autoSpaceDE/>
              <w:autoSpaceDN/>
              <w:bidi w:val="0"/>
              <w:spacing w:after="0" w:line="240" w:lineRule="auto"/>
              <w:ind w:left="0" w:firstLine="720"/>
              <w:jc w:val="both"/>
              <w:rPr>
                <w:rFonts w:ascii="Arial Narrow" w:hAnsi="Arial Narrow"/>
                <w:b/>
                <w:sz w:val="22"/>
                <w:szCs w:val="22"/>
              </w:rPr>
            </w:pPr>
            <w:r w:rsidRPr="00DA5DED">
              <w:rPr>
                <w:rFonts w:ascii="Arial Narrow" w:hAnsi="Arial Narrow"/>
                <w:b/>
                <w:sz w:val="22"/>
                <w:szCs w:val="22"/>
              </w:rPr>
              <w:t>odmeňovanie vedúcich zamestnancov zodpovedných za funkciu riadenia rizík a funkciu dodržiavania je priamo podriadené dohľadu výboru pre odmeňovanie, ak sa zriaďuje,</w:t>
            </w:r>
          </w:p>
          <w:p w:rsidR="00DA5DED" w:rsidRPr="00DA5DED" w:rsidP="00DA5DED">
            <w:pPr>
              <w:numPr>
                <w:numId w:val="18"/>
              </w:numPr>
              <w:tabs>
                <w:tab w:val="num" w:pos="0"/>
                <w:tab w:val="clear" w:pos="720"/>
              </w:tabs>
              <w:autoSpaceDE/>
              <w:autoSpaceDN/>
              <w:bidi w:val="0"/>
              <w:spacing w:after="0" w:line="240" w:lineRule="auto"/>
              <w:ind w:left="0" w:firstLine="720"/>
              <w:jc w:val="both"/>
              <w:rPr>
                <w:rFonts w:ascii="Arial Narrow" w:hAnsi="Arial Narrow"/>
                <w:b/>
                <w:sz w:val="22"/>
                <w:szCs w:val="22"/>
              </w:rPr>
            </w:pPr>
            <w:r w:rsidRPr="00DA5DED">
              <w:rPr>
                <w:rFonts w:ascii="Arial Narrow" w:hAnsi="Arial Narrow"/>
                <w:b/>
                <w:sz w:val="22"/>
                <w:szCs w:val="22"/>
              </w:rPr>
              <w:t>ak je odmeňovanie závislé od výkonnosti, celková výška odmeny sa zakladá na kombinácii hodnotenia výkonnosti príslušného zamestnanca a príslušného organizačného útvaru alebo príslušného spravovaného subjektu kolektívneho investovania a hodnotenia celkových výsledkov správcovskej spoločnosti, pričom sa pri hodnotení výkonnosti príslušného zamestnanca berú do úvahy finančné aj nefinančné kritériá,</w:t>
            </w:r>
          </w:p>
          <w:p w:rsidR="00DA5DED" w:rsidRPr="00DA5DED" w:rsidP="00DA5DED">
            <w:pPr>
              <w:numPr>
                <w:numId w:val="18"/>
              </w:numPr>
              <w:tabs>
                <w:tab w:val="num" w:pos="0"/>
                <w:tab w:val="clear" w:pos="720"/>
              </w:tabs>
              <w:autoSpaceDE/>
              <w:autoSpaceDN/>
              <w:bidi w:val="0"/>
              <w:spacing w:after="0" w:line="240" w:lineRule="auto"/>
              <w:ind w:left="0" w:firstLine="720"/>
              <w:jc w:val="both"/>
              <w:rPr>
                <w:rFonts w:ascii="Arial Narrow" w:hAnsi="Arial Narrow"/>
                <w:b/>
                <w:sz w:val="22"/>
                <w:szCs w:val="22"/>
              </w:rPr>
            </w:pPr>
            <w:r w:rsidRPr="00DA5DED">
              <w:rPr>
                <w:rFonts w:ascii="Arial Narrow" w:hAnsi="Arial Narrow"/>
                <w:b/>
                <w:sz w:val="22"/>
                <w:szCs w:val="22"/>
              </w:rPr>
              <w:t>hodnotenie výkonnosti sa uskutočňuje na viacročnom základe, ktorý je primeraný z hľadiska životného cyklu spravovaných subjektov kolektívneho investovania, s cieľom zabezpečiť, aby sa proces hodnotenia zakladal na dlhodobej výkonnosti a aby sa skutočná výplata výkonnostných zložiek odmeňovania rozložila na obdobie zohľadňujúce vyplácanie cenných papierov alebo majetkových účastí spravovaných subjektov kolektívneho investovania a ich investičné riziká,</w:t>
            </w:r>
          </w:p>
          <w:p w:rsidR="00DA5DED" w:rsidRPr="00DA5DED" w:rsidP="00DA5DED">
            <w:pPr>
              <w:numPr>
                <w:numId w:val="18"/>
              </w:numPr>
              <w:tabs>
                <w:tab w:val="num" w:pos="0"/>
                <w:tab w:val="clear" w:pos="720"/>
              </w:tabs>
              <w:autoSpaceDE/>
              <w:autoSpaceDN/>
              <w:bidi w:val="0"/>
              <w:spacing w:after="0" w:line="240" w:lineRule="auto"/>
              <w:ind w:left="0" w:firstLine="720"/>
              <w:jc w:val="both"/>
              <w:rPr>
                <w:rFonts w:ascii="Arial Narrow" w:hAnsi="Arial Narrow"/>
                <w:b/>
                <w:sz w:val="22"/>
                <w:szCs w:val="22"/>
              </w:rPr>
            </w:pPr>
            <w:r w:rsidRPr="00DA5DED">
              <w:rPr>
                <w:rFonts w:ascii="Arial Narrow" w:hAnsi="Arial Narrow"/>
                <w:b/>
                <w:sz w:val="22"/>
                <w:szCs w:val="22"/>
              </w:rPr>
              <w:t>garantovaná pohyblivá zložka odmeňovania sa používa len výnimočne a len v súvislosti s prijímaním nových zamestnancov a obmedzuje sa na prvý rok,</w:t>
            </w:r>
          </w:p>
          <w:p w:rsidR="00DA5DED" w:rsidRPr="00DA5DED" w:rsidP="00DA5DED">
            <w:pPr>
              <w:numPr>
                <w:numId w:val="18"/>
              </w:numPr>
              <w:tabs>
                <w:tab w:val="num" w:pos="0"/>
                <w:tab w:val="clear" w:pos="720"/>
              </w:tabs>
              <w:autoSpaceDE/>
              <w:autoSpaceDN/>
              <w:bidi w:val="0"/>
              <w:spacing w:after="0" w:line="240" w:lineRule="auto"/>
              <w:ind w:left="0" w:firstLine="720"/>
              <w:jc w:val="both"/>
              <w:rPr>
                <w:rFonts w:ascii="Arial Narrow" w:hAnsi="Arial Narrow"/>
                <w:b/>
                <w:sz w:val="22"/>
                <w:szCs w:val="22"/>
              </w:rPr>
            </w:pPr>
            <w:r w:rsidRPr="00DA5DED">
              <w:rPr>
                <w:rFonts w:ascii="Arial Narrow" w:hAnsi="Arial Narrow"/>
                <w:b/>
                <w:sz w:val="22"/>
                <w:szCs w:val="22"/>
              </w:rPr>
              <w:t>pevná a pohyblivá zložka celkového odmeňovania sú primerane vyvážené a pevná zložka predstavuje dostatočne vysoký podiel celkového odmeňovania, aby bolo možné uplatňovať plne pružnú politiku v oblasti pohyblivých zložiek odmeňovania vrátane možnosti nevyplatiť žiadnu pohyblivú zložku,</w:t>
            </w:r>
          </w:p>
          <w:p w:rsidR="00DA5DED" w:rsidRPr="00DA5DED" w:rsidP="00DA5DED">
            <w:pPr>
              <w:numPr>
                <w:numId w:val="18"/>
              </w:numPr>
              <w:tabs>
                <w:tab w:val="num" w:pos="0"/>
                <w:tab w:val="clear" w:pos="720"/>
              </w:tabs>
              <w:autoSpaceDE/>
              <w:autoSpaceDN/>
              <w:bidi w:val="0"/>
              <w:spacing w:after="0" w:line="240" w:lineRule="auto"/>
              <w:ind w:left="0" w:firstLine="720"/>
              <w:jc w:val="both"/>
              <w:rPr>
                <w:rFonts w:ascii="Arial Narrow" w:hAnsi="Arial Narrow"/>
                <w:b/>
                <w:sz w:val="22"/>
                <w:szCs w:val="22"/>
              </w:rPr>
            </w:pPr>
            <w:r w:rsidRPr="00DA5DED">
              <w:rPr>
                <w:rFonts w:ascii="Arial Narrow" w:hAnsi="Arial Narrow"/>
                <w:b/>
                <w:sz w:val="22"/>
                <w:szCs w:val="22"/>
              </w:rPr>
              <w:t>platby spojené s predčasným ukončením pracovného pomeru odrážajú dosiahnuté výsledky za dlhšie obdobie a sú navrhnuté tak, aby sa neodmeňovalo zlyhanie,</w:t>
            </w:r>
          </w:p>
          <w:p w:rsidR="00DA5DED" w:rsidRPr="00DA5DED" w:rsidP="00DA5DED">
            <w:pPr>
              <w:numPr>
                <w:numId w:val="18"/>
              </w:numPr>
              <w:tabs>
                <w:tab w:val="num" w:pos="0"/>
                <w:tab w:val="clear" w:pos="720"/>
              </w:tabs>
              <w:autoSpaceDE/>
              <w:autoSpaceDN/>
              <w:bidi w:val="0"/>
              <w:spacing w:after="0" w:line="240" w:lineRule="auto"/>
              <w:ind w:left="0" w:firstLine="720"/>
              <w:jc w:val="both"/>
              <w:rPr>
                <w:rFonts w:ascii="Arial Narrow" w:hAnsi="Arial Narrow"/>
                <w:b/>
                <w:sz w:val="22"/>
                <w:szCs w:val="22"/>
              </w:rPr>
            </w:pPr>
            <w:r w:rsidRPr="00DA5DED">
              <w:rPr>
                <w:rFonts w:ascii="Arial Narrow" w:hAnsi="Arial Narrow"/>
                <w:b/>
                <w:sz w:val="22"/>
                <w:szCs w:val="22"/>
              </w:rPr>
              <w:t>meranie výkonnosti používané na výpočet pohyblivých zložiek odmeňovania alebo súborov pohyblivých zložiek odmeňovania obsahuje všeobecný mechanizmus úpravy zahŕňajúci všetky relevantné typy súčasných a budúcich rizík,</w:t>
            </w:r>
          </w:p>
          <w:p w:rsidR="00DA5DED" w:rsidRPr="00DA5DED" w:rsidP="00DA5DED">
            <w:pPr>
              <w:numPr>
                <w:numId w:val="18"/>
              </w:numPr>
              <w:tabs>
                <w:tab w:val="num" w:pos="0"/>
                <w:tab w:val="clear" w:pos="720"/>
              </w:tabs>
              <w:autoSpaceDE/>
              <w:autoSpaceDN/>
              <w:bidi w:val="0"/>
              <w:spacing w:after="0" w:line="240" w:lineRule="auto"/>
              <w:ind w:left="0" w:firstLine="720"/>
              <w:jc w:val="both"/>
              <w:rPr>
                <w:rFonts w:ascii="Arial Narrow" w:hAnsi="Arial Narrow"/>
                <w:b/>
                <w:sz w:val="22"/>
                <w:szCs w:val="22"/>
              </w:rPr>
            </w:pPr>
            <w:r w:rsidRPr="00DA5DED">
              <w:rPr>
                <w:rFonts w:ascii="Arial Narrow" w:hAnsi="Arial Narrow"/>
                <w:b/>
                <w:sz w:val="22"/>
                <w:szCs w:val="22"/>
              </w:rPr>
              <w:t>v závislosti od právnej formy subjektu kolektívneho investovania, jeho štatútu alebo zakladajúcich dokumentov, významná časť, predstavujúca minimálne 50 % akejkoľvek pohyblivej odmeny sa skladá z podielových listov, akcií alebo majetkových účastí príslušného subjektu kolektívneho investovania, alebo nástrojov, ktoré sú na podielové listy, akcie alebo majetkové účasti viazané alebo rovnocenných bezhotovostných nástrojov, pričom</w:t>
            </w:r>
          </w:p>
          <w:p w:rsidR="00DA5DED" w:rsidRPr="00DA5DED" w:rsidP="003A74AE">
            <w:pPr>
              <w:numPr>
                <w:ilvl w:val="1"/>
                <w:numId w:val="18"/>
              </w:numPr>
              <w:tabs>
                <w:tab w:val="clear" w:pos="1440"/>
              </w:tabs>
              <w:autoSpaceDE/>
              <w:autoSpaceDN/>
              <w:bidi w:val="0"/>
              <w:spacing w:after="0" w:line="240" w:lineRule="auto"/>
              <w:ind w:left="0" w:firstLine="0"/>
              <w:jc w:val="both"/>
              <w:rPr>
                <w:rFonts w:ascii="Arial Narrow" w:hAnsi="Arial Narrow"/>
                <w:b/>
                <w:sz w:val="22"/>
                <w:szCs w:val="22"/>
              </w:rPr>
            </w:pPr>
            <w:r w:rsidRPr="00DA5DED">
              <w:rPr>
                <w:rFonts w:ascii="Arial Narrow" w:hAnsi="Arial Narrow"/>
                <w:b/>
                <w:sz w:val="22"/>
                <w:szCs w:val="22"/>
              </w:rPr>
              <w:t>ak správa subjektov kolektívneho investovania predstavuje menej ako 50 % z celkového objemu aktív pod správou správcovskej spoločnosti, limit 50 % sa neuplatňuje,</w:t>
            </w:r>
          </w:p>
          <w:p w:rsidR="00DA5DED" w:rsidRPr="00DA5DED" w:rsidP="003A74AE">
            <w:pPr>
              <w:numPr>
                <w:ilvl w:val="1"/>
                <w:numId w:val="18"/>
              </w:numPr>
              <w:tabs>
                <w:tab w:val="clear" w:pos="1440"/>
              </w:tabs>
              <w:autoSpaceDE/>
              <w:autoSpaceDN/>
              <w:bidi w:val="0"/>
              <w:spacing w:after="0" w:line="240" w:lineRule="auto"/>
              <w:ind w:left="0" w:firstLine="0"/>
              <w:jc w:val="both"/>
              <w:rPr>
                <w:rFonts w:ascii="Arial Narrow" w:hAnsi="Arial Narrow"/>
                <w:b/>
                <w:sz w:val="22"/>
                <w:szCs w:val="22"/>
              </w:rPr>
            </w:pPr>
            <w:r w:rsidRPr="00DA5DED">
              <w:rPr>
                <w:rFonts w:ascii="Arial Narrow" w:hAnsi="Arial Narrow"/>
                <w:b/>
                <w:sz w:val="22"/>
                <w:szCs w:val="22"/>
              </w:rPr>
              <w:t>nástroje uvedené v tomto písmene podliehajú náležitým podmienkam zadržania, ktoré sú zamerané na zosúladenie motivácie so záujmami správcovskej spoločnosti a subjektov kolektívneho investovania, ktoré spravuje a ich investorov,</w:t>
            </w:r>
          </w:p>
          <w:p w:rsidR="00DA5DED" w:rsidRPr="00DA5DED" w:rsidP="003A74AE">
            <w:pPr>
              <w:numPr>
                <w:ilvl w:val="1"/>
                <w:numId w:val="18"/>
              </w:numPr>
              <w:tabs>
                <w:tab w:val="clear" w:pos="1440"/>
              </w:tabs>
              <w:autoSpaceDE/>
              <w:autoSpaceDN/>
              <w:bidi w:val="0"/>
              <w:spacing w:after="0" w:line="240" w:lineRule="auto"/>
              <w:ind w:left="0" w:firstLine="0"/>
              <w:jc w:val="both"/>
              <w:rPr>
                <w:rFonts w:ascii="Arial Narrow" w:hAnsi="Arial Narrow"/>
                <w:b/>
                <w:sz w:val="22"/>
                <w:szCs w:val="22"/>
              </w:rPr>
            </w:pPr>
            <w:r w:rsidRPr="00DA5DED">
              <w:rPr>
                <w:rFonts w:ascii="Arial Narrow" w:hAnsi="Arial Narrow"/>
                <w:b/>
                <w:sz w:val="22"/>
                <w:szCs w:val="22"/>
              </w:rPr>
              <w:t>Národná banka Slovenska je oprávnená rozhodnutím obmedziť druhy a formy nástrojov uvedených v tomto písmene alebo niektoré nástroje zakázať,</w:t>
            </w:r>
          </w:p>
          <w:p w:rsidR="00DA5DED" w:rsidRPr="00DA5DED" w:rsidP="003A74AE">
            <w:pPr>
              <w:numPr>
                <w:ilvl w:val="1"/>
                <w:numId w:val="18"/>
              </w:numPr>
              <w:tabs>
                <w:tab w:val="num" w:pos="0"/>
                <w:tab w:val="clear" w:pos="1440"/>
              </w:tabs>
              <w:autoSpaceDE/>
              <w:autoSpaceDN/>
              <w:bidi w:val="0"/>
              <w:spacing w:after="0" w:line="240" w:lineRule="auto"/>
              <w:ind w:left="0" w:firstLine="0"/>
              <w:jc w:val="both"/>
              <w:rPr>
                <w:rFonts w:ascii="Arial Narrow" w:hAnsi="Arial Narrow"/>
                <w:b/>
                <w:sz w:val="22"/>
                <w:szCs w:val="22"/>
              </w:rPr>
            </w:pPr>
            <w:r w:rsidRPr="00DA5DED">
              <w:rPr>
                <w:rFonts w:ascii="Arial Narrow" w:hAnsi="Arial Narrow"/>
                <w:b/>
                <w:sz w:val="22"/>
                <w:szCs w:val="22"/>
              </w:rPr>
              <w:t>sa to uplatňuje ako na časť pohyblivej zložky odmeňovania odloženú v súlade s písmenom n) a tak na neodloženú časť pohyblivej zložky,</w:t>
            </w:r>
          </w:p>
          <w:p w:rsidR="00DA5DED" w:rsidRPr="00DA5DED" w:rsidP="003A74AE">
            <w:pPr>
              <w:numPr>
                <w:numId w:val="18"/>
              </w:numPr>
              <w:tabs>
                <w:tab w:val="num" w:pos="0"/>
                <w:tab w:val="clear" w:pos="720"/>
              </w:tabs>
              <w:autoSpaceDE/>
              <w:autoSpaceDN/>
              <w:bidi w:val="0"/>
              <w:spacing w:after="0" w:line="240" w:lineRule="auto"/>
              <w:ind w:left="0" w:firstLine="0"/>
              <w:jc w:val="both"/>
              <w:rPr>
                <w:rFonts w:ascii="Arial Narrow" w:hAnsi="Arial Narrow"/>
                <w:b/>
                <w:sz w:val="22"/>
                <w:szCs w:val="22"/>
              </w:rPr>
            </w:pPr>
            <w:r w:rsidRPr="00DA5DED">
              <w:rPr>
                <w:rFonts w:ascii="Arial Narrow" w:hAnsi="Arial Narrow"/>
                <w:b/>
                <w:sz w:val="22"/>
                <w:szCs w:val="22"/>
              </w:rPr>
              <w:t>významná časť, ktorá tvorí minimálne 40 % pohyblivej zložky odmeňovania, sa odkladá na obdobie, ktoré je primerané z hľadiska životného cyklu a vyplácania príslušného subjektu kolektívneho investovania a je náležite zosúladená s povahou rizík príslušného subjektu kolektívneho investovania, pričom</w:t>
            </w:r>
          </w:p>
          <w:p w:rsidR="00DA5DED" w:rsidRPr="00DA5DED" w:rsidP="003A74AE">
            <w:pPr>
              <w:numPr>
                <w:ilvl w:val="1"/>
                <w:numId w:val="18"/>
              </w:numPr>
              <w:tabs>
                <w:tab w:val="num" w:pos="0"/>
                <w:tab w:val="clear" w:pos="1440"/>
              </w:tabs>
              <w:autoSpaceDE/>
              <w:autoSpaceDN/>
              <w:bidi w:val="0"/>
              <w:spacing w:after="0" w:line="240" w:lineRule="auto"/>
              <w:ind w:left="-43" w:firstLine="0"/>
              <w:jc w:val="both"/>
              <w:rPr>
                <w:rFonts w:ascii="Arial Narrow" w:hAnsi="Arial Narrow"/>
                <w:b/>
                <w:sz w:val="22"/>
                <w:szCs w:val="22"/>
              </w:rPr>
            </w:pPr>
            <w:r w:rsidRPr="00DA5DED">
              <w:rPr>
                <w:rFonts w:ascii="Arial Narrow" w:hAnsi="Arial Narrow"/>
                <w:b/>
                <w:sz w:val="22"/>
                <w:szCs w:val="22"/>
              </w:rPr>
              <w:t>obdobie uvedené v tomto písmene je minimálne tri až päť rokov, ak nie je životný cyklus príslušného subjektu kolektívneho investovania kratší,</w:t>
            </w:r>
          </w:p>
          <w:p w:rsidR="00DA5DED" w:rsidRPr="00DA5DED" w:rsidP="003A74AE">
            <w:pPr>
              <w:numPr>
                <w:ilvl w:val="1"/>
                <w:numId w:val="18"/>
              </w:numPr>
              <w:tabs>
                <w:tab w:val="num" w:pos="0"/>
                <w:tab w:val="clear" w:pos="1440"/>
              </w:tabs>
              <w:autoSpaceDE/>
              <w:autoSpaceDN/>
              <w:bidi w:val="0"/>
              <w:spacing w:after="0" w:line="240" w:lineRule="auto"/>
              <w:ind w:left="-43" w:firstLine="0"/>
              <w:jc w:val="both"/>
              <w:rPr>
                <w:rFonts w:ascii="Arial Narrow" w:hAnsi="Arial Narrow"/>
                <w:b/>
                <w:sz w:val="22"/>
                <w:szCs w:val="22"/>
              </w:rPr>
            </w:pPr>
            <w:r w:rsidRPr="00DA5DED">
              <w:rPr>
                <w:rFonts w:ascii="Arial Narrow" w:hAnsi="Arial Narrow"/>
                <w:b/>
                <w:sz w:val="22"/>
                <w:szCs w:val="22"/>
              </w:rPr>
              <w:t>splatná odložená odmena sa nepriznáva rýchlejšie ako keby bola vyplácaná na pomernom základe,</w:t>
            </w:r>
          </w:p>
          <w:p w:rsidR="00DA5DED" w:rsidRPr="00DA5DED" w:rsidP="003A74AE">
            <w:pPr>
              <w:numPr>
                <w:ilvl w:val="1"/>
                <w:numId w:val="18"/>
              </w:numPr>
              <w:tabs>
                <w:tab w:val="num" w:pos="0"/>
                <w:tab w:val="clear" w:pos="1440"/>
              </w:tabs>
              <w:autoSpaceDE/>
              <w:autoSpaceDN/>
              <w:bidi w:val="0"/>
              <w:spacing w:after="0" w:line="240" w:lineRule="auto"/>
              <w:ind w:left="-43" w:firstLine="0"/>
              <w:jc w:val="both"/>
              <w:rPr>
                <w:rFonts w:ascii="Arial Narrow" w:hAnsi="Arial Narrow"/>
                <w:b/>
                <w:sz w:val="22"/>
                <w:szCs w:val="22"/>
              </w:rPr>
            </w:pPr>
            <w:r w:rsidRPr="00DA5DED">
              <w:rPr>
                <w:rFonts w:ascii="Arial Narrow" w:hAnsi="Arial Narrow"/>
                <w:b/>
                <w:sz w:val="22"/>
                <w:szCs w:val="22"/>
              </w:rPr>
              <w:t>pri pohyblivej zložke odmeňovania, ktorá je obzvlášť vysoká, sa odkladá minimálne 60 % pohyblivej zložky odmeňovania,</w:t>
            </w:r>
          </w:p>
          <w:p w:rsidR="00DA5DED" w:rsidRPr="00DA5DED" w:rsidP="00DA5DED">
            <w:pPr>
              <w:numPr>
                <w:numId w:val="18"/>
              </w:numPr>
              <w:tabs>
                <w:tab w:val="num" w:pos="0"/>
                <w:tab w:val="clear" w:pos="720"/>
              </w:tabs>
              <w:autoSpaceDE/>
              <w:autoSpaceDN/>
              <w:bidi w:val="0"/>
              <w:spacing w:after="0" w:line="240" w:lineRule="auto"/>
              <w:ind w:left="0" w:firstLine="720"/>
              <w:jc w:val="both"/>
              <w:rPr>
                <w:rFonts w:ascii="Arial Narrow" w:hAnsi="Arial Narrow"/>
                <w:b/>
                <w:sz w:val="22"/>
                <w:szCs w:val="22"/>
              </w:rPr>
            </w:pPr>
            <w:r w:rsidRPr="00DA5DED">
              <w:rPr>
                <w:rFonts w:ascii="Arial Narrow" w:hAnsi="Arial Narrow"/>
                <w:b/>
                <w:sz w:val="22"/>
                <w:szCs w:val="22"/>
              </w:rPr>
              <w:t>pohyblivá zložka odmeňovania vrátane odloženej časti sa vypláca alebo priznáva, len ak je to udržateľné vo vzťahu k celkovej finančnej situácii správcovskej spoločnosti a je to odôvodnené na základe výkonnosti príslušného organizačného útvaru, príslušného subjektu kolektívneho investovania a príslušného zamestnanca; celková pohyblivá zložka odmeňovania sa výrazne zníži, ak sa finančné výsledky správcovskej spoločnosti alebo spravovaných subjektov kolektívneho investovania zhoršia alebo dosiahnu záporné hodnoty, pričom sa zohľadňuje odmena za súčasné obdobie, ako aj zníženie vyplácania súm zarobených skôr, napríklad prostredníctvom dohôd o maluse alebo dohôd o zrážkach,</w:t>
            </w:r>
          </w:p>
          <w:p w:rsidR="00DA5DED" w:rsidRPr="00DA5DED" w:rsidP="003A74AE">
            <w:pPr>
              <w:numPr>
                <w:numId w:val="18"/>
              </w:numPr>
              <w:tabs>
                <w:tab w:val="num" w:pos="0"/>
                <w:tab w:val="clear" w:pos="720"/>
              </w:tabs>
              <w:autoSpaceDE/>
              <w:autoSpaceDN/>
              <w:bidi w:val="0"/>
              <w:spacing w:after="0" w:line="240" w:lineRule="auto"/>
              <w:ind w:left="0" w:firstLine="0"/>
              <w:jc w:val="both"/>
              <w:rPr>
                <w:rFonts w:ascii="Arial Narrow" w:hAnsi="Arial Narrow"/>
                <w:b/>
                <w:sz w:val="22"/>
                <w:szCs w:val="22"/>
              </w:rPr>
            </w:pPr>
            <w:r w:rsidRPr="00DA5DED">
              <w:rPr>
                <w:rFonts w:ascii="Arial Narrow" w:hAnsi="Arial Narrow"/>
                <w:b/>
                <w:sz w:val="22"/>
                <w:szCs w:val="22"/>
              </w:rPr>
              <w:t>politika dôchodkového zabezpečenia je v súlade s obchodnou stratégiou, cieľmi, hodnotami a dlhodobými záujmami správcovskej spoločnosti a spravovaných subjektov kolektívneho investovania, pričom</w:t>
            </w:r>
          </w:p>
          <w:p w:rsidR="00DA5DED" w:rsidRPr="00DA5DED" w:rsidP="003A74AE">
            <w:pPr>
              <w:numPr>
                <w:ilvl w:val="1"/>
                <w:numId w:val="18"/>
              </w:numPr>
              <w:tabs>
                <w:tab w:val="num" w:pos="98"/>
                <w:tab w:val="clear" w:pos="1440"/>
              </w:tabs>
              <w:autoSpaceDE/>
              <w:autoSpaceDN/>
              <w:bidi w:val="0"/>
              <w:spacing w:after="0" w:line="240" w:lineRule="auto"/>
              <w:ind w:left="-43" w:firstLine="43"/>
              <w:jc w:val="both"/>
              <w:rPr>
                <w:rFonts w:ascii="Arial Narrow" w:hAnsi="Arial Narrow"/>
                <w:b/>
                <w:sz w:val="22"/>
                <w:szCs w:val="22"/>
              </w:rPr>
            </w:pPr>
            <w:r w:rsidRPr="00DA5DED">
              <w:rPr>
                <w:rFonts w:ascii="Arial Narrow" w:hAnsi="Arial Narrow"/>
                <w:b/>
                <w:sz w:val="22"/>
                <w:szCs w:val="22"/>
              </w:rPr>
              <w:t xml:space="preserve">ak zamestnanec rozviaže pracovný pomer so správcovskou spoločnosťou pred odchodom do dôchodku, dobrovoľné príspevky dôchodkového zabezpečenia správcovská spoločnosť zadrží počas obdobia piatich rokov vo forme nástrojov uvedených v písmene m), </w:t>
            </w:r>
          </w:p>
          <w:p w:rsidR="00DA5DED" w:rsidRPr="00DA5DED" w:rsidP="003A74AE">
            <w:pPr>
              <w:numPr>
                <w:ilvl w:val="1"/>
                <w:numId w:val="18"/>
              </w:numPr>
              <w:tabs>
                <w:tab w:val="num" w:pos="98"/>
                <w:tab w:val="clear" w:pos="1440"/>
              </w:tabs>
              <w:autoSpaceDE/>
              <w:autoSpaceDN/>
              <w:bidi w:val="0"/>
              <w:spacing w:after="0" w:line="240" w:lineRule="auto"/>
              <w:ind w:left="-43" w:firstLine="43"/>
              <w:jc w:val="both"/>
              <w:rPr>
                <w:rFonts w:ascii="Arial Narrow" w:hAnsi="Arial Narrow"/>
                <w:b/>
                <w:sz w:val="22"/>
                <w:szCs w:val="22"/>
              </w:rPr>
            </w:pPr>
            <w:r w:rsidRPr="00DA5DED">
              <w:rPr>
                <w:rFonts w:ascii="Arial Narrow" w:hAnsi="Arial Narrow"/>
                <w:b/>
                <w:sz w:val="22"/>
                <w:szCs w:val="22"/>
              </w:rPr>
              <w:t>u zamestnanca, ktorý dosiahne dôchodkový vek, sa dobrovoľné platby dôchodkového zabezpečenia vyplácajú zamestnancovi formou nástrojov uvedených v písmene m) a podliehajú päťročnému obdobiu zadržania,</w:t>
            </w:r>
          </w:p>
          <w:p w:rsidR="00DA5DED" w:rsidRPr="00DA5DED" w:rsidP="00DA5DED">
            <w:pPr>
              <w:numPr>
                <w:numId w:val="18"/>
              </w:numPr>
              <w:tabs>
                <w:tab w:val="num" w:pos="0"/>
                <w:tab w:val="clear" w:pos="720"/>
              </w:tabs>
              <w:autoSpaceDE/>
              <w:autoSpaceDN/>
              <w:bidi w:val="0"/>
              <w:spacing w:after="0" w:line="240" w:lineRule="auto"/>
              <w:ind w:left="0" w:firstLine="720"/>
              <w:jc w:val="both"/>
              <w:rPr>
                <w:rFonts w:ascii="Arial Narrow" w:hAnsi="Arial Narrow"/>
                <w:b/>
                <w:sz w:val="22"/>
                <w:szCs w:val="22"/>
              </w:rPr>
            </w:pPr>
            <w:r w:rsidRPr="00DA5DED">
              <w:rPr>
                <w:rFonts w:ascii="Arial Narrow" w:hAnsi="Arial Narrow"/>
                <w:b/>
                <w:sz w:val="22"/>
                <w:szCs w:val="22"/>
              </w:rPr>
              <w:t>od zamestnancov sa požaduje, aby sa zaviazali, že nebudú využívať stratégie osobného zaistenia ani poistenia odmeňovania a zodpovednosti, ktorými by oslabovali účinky zosúladenia rizík vyplývajúce zo spôsobu ich odmeňovania,</w:t>
            </w:r>
          </w:p>
          <w:p w:rsidR="00DA5DED" w:rsidRPr="00DA5DED" w:rsidP="00DA5DED">
            <w:pPr>
              <w:numPr>
                <w:numId w:val="18"/>
              </w:numPr>
              <w:tabs>
                <w:tab w:val="num" w:pos="0"/>
                <w:tab w:val="clear" w:pos="720"/>
              </w:tabs>
              <w:autoSpaceDE/>
              <w:autoSpaceDN/>
              <w:bidi w:val="0"/>
              <w:spacing w:after="0" w:line="240" w:lineRule="auto"/>
              <w:ind w:left="0" w:firstLine="720"/>
              <w:jc w:val="both"/>
              <w:rPr>
                <w:rFonts w:ascii="Arial Narrow" w:hAnsi="Arial Narrow"/>
                <w:b/>
                <w:sz w:val="22"/>
                <w:szCs w:val="22"/>
              </w:rPr>
            </w:pPr>
            <w:r w:rsidRPr="00DA5DED">
              <w:rPr>
                <w:rFonts w:ascii="Arial Narrow" w:hAnsi="Arial Narrow"/>
                <w:b/>
                <w:sz w:val="22"/>
                <w:szCs w:val="22"/>
              </w:rPr>
              <w:t>pohyblivá zložka odmeňovania sa nevypláca prostredníctvom nástrojov ani metód, ktoré napomáhajú obchádzaniu požiadaviek tohto zákona.</w:t>
            </w:r>
          </w:p>
          <w:p w:rsidR="00DA5DED" w:rsidRPr="00DA5DED" w:rsidP="00DA5DED">
            <w:pPr>
              <w:pStyle w:val="CM1"/>
              <w:bidi w:val="0"/>
              <w:spacing w:after="0" w:line="240" w:lineRule="auto"/>
              <w:jc w:val="both"/>
              <w:rPr>
                <w:rFonts w:ascii="Arial Narrow" w:hAnsi="Arial Narrow"/>
                <w:b/>
                <w:color w:val="000000"/>
                <w:sz w:val="22"/>
                <w:szCs w:val="22"/>
              </w:rPr>
            </w:pPr>
          </w:p>
          <w:p w:rsidR="00DA5DED" w:rsidRPr="00DA5DED" w:rsidP="003A74AE">
            <w:pPr>
              <w:bidi w:val="0"/>
              <w:spacing w:after="0" w:line="240" w:lineRule="auto"/>
              <w:jc w:val="both"/>
              <w:rPr>
                <w:rFonts w:ascii="Arial Narrow" w:hAnsi="Arial Narrow"/>
                <w:b/>
                <w:sz w:val="22"/>
                <w:szCs w:val="22"/>
              </w:rPr>
            </w:pPr>
            <w:r w:rsidRPr="00DA5DED">
              <w:rPr>
                <w:rFonts w:ascii="Arial Narrow" w:hAnsi="Arial Narrow"/>
                <w:b/>
                <w:sz w:val="22"/>
                <w:szCs w:val="22"/>
              </w:rPr>
              <w:t>Zásady odmeňovania podľa odseku 8 sa uplatňujú na všetky druhy odmeňovania vyplácaného správcovskou spoločnosťou v prospech osôb podľa odseku 9, na každú sumu, ktorú priamo vypláca spravovaný subjekt kolektívneho investovania, vrátane odplaty za zhodnotenie vyplácaného  v prospech osôb podľa odseku 9, a na každý prevod cenných papierov alebo majetkových účastí v prospech osôb podľa odseku 9.</w:t>
            </w:r>
          </w:p>
          <w:p w:rsidR="00DA5DED" w:rsidRPr="00DA5DED" w:rsidP="00DA5DED">
            <w:pPr>
              <w:bidi w:val="0"/>
              <w:spacing w:after="0" w:line="240" w:lineRule="auto"/>
              <w:ind w:firstLine="708"/>
              <w:jc w:val="both"/>
              <w:rPr>
                <w:rFonts w:ascii="Arial Narrow" w:hAnsi="Arial Narrow"/>
                <w:b/>
                <w:sz w:val="22"/>
                <w:szCs w:val="22"/>
              </w:rPr>
            </w:pPr>
          </w:p>
          <w:p w:rsidR="00DA5DED" w:rsidRPr="00DA5DED" w:rsidP="003A74AE">
            <w:pPr>
              <w:bidi w:val="0"/>
              <w:spacing w:after="0" w:line="240" w:lineRule="auto"/>
              <w:jc w:val="both"/>
              <w:rPr>
                <w:rFonts w:ascii="Arial Narrow" w:hAnsi="Arial Narrow"/>
                <w:b/>
                <w:sz w:val="22"/>
                <w:szCs w:val="22"/>
              </w:rPr>
            </w:pPr>
            <w:r w:rsidRPr="00DA5DED">
              <w:rPr>
                <w:rFonts w:ascii="Arial Narrow" w:hAnsi="Arial Narrow"/>
                <w:b/>
                <w:sz w:val="22"/>
                <w:szCs w:val="22"/>
              </w:rPr>
              <w:t>Ak je správcovská spoločnosť významná z hľadiska svojej veľkosti alebo veľkosti ňou spravovaných subjektov kolektívneho investovania alebo z hľadiska svojej vnútornej organizácie a charakteru, rozsahu a zložitosti svojich činností, je povinná zriadiť výbor pre odmeňovanie. Výbor pre odmeňovanie sa zriadi takým spôsobom, aby bol spôsobilý kompetentne a nezávisle posudzovať zásady a postupy odmeňovania a motivácie vytvorené na riadenie rizika. Výbor pre odmeňovanie zodpovedá za prípravu rozhodnutí týkajúcich sa odmeňovania vrátane tých, ktoré majú dôsledky na riziká a riadenie rizík správcovskej spoločnosti alebo spravovaných subjektov kolektívneho investovania a ktoré má prijímať dozorná rada správcovskej spoločnosti. Výboru pre odmeňovanie predsedá člen dozornej rady správcovskej spoločnosti. Členmi výboru pre odmeňovanie môžu byť len členovia dozornej rady správcovskej spoločnosti.</w:t>
            </w:r>
          </w:p>
          <w:p w:rsidR="00DA5DED" w:rsidRPr="00DA5DED" w:rsidP="003A74AE">
            <w:pPr>
              <w:bidi w:val="0"/>
              <w:spacing w:after="0" w:line="240" w:lineRule="auto"/>
              <w:jc w:val="both"/>
              <w:rPr>
                <w:rFonts w:ascii="Arial Narrow" w:hAnsi="Arial Narrow"/>
                <w:b/>
                <w:sz w:val="22"/>
                <w:szCs w:val="22"/>
              </w:rPr>
            </w:pPr>
            <w:r w:rsidRPr="00DA5DED">
              <w:rPr>
                <w:rFonts w:ascii="Arial Narrow" w:hAnsi="Arial Narrow"/>
                <w:b/>
                <w:sz w:val="22"/>
                <w:szCs w:val="22"/>
              </w:rPr>
              <w:t>Národná banka Slovenska môže ustanoviť opatrením, ktoré sa vyhlasuje v zbierke zákonov</w:t>
            </w:r>
          </w:p>
          <w:p w:rsidR="00DA5DED" w:rsidRPr="00DA5DED" w:rsidP="003A74AE">
            <w:pPr>
              <w:numPr>
                <w:numId w:val="19"/>
              </w:numPr>
              <w:tabs>
                <w:tab w:val="num" w:pos="0"/>
                <w:tab w:val="clear" w:pos="1065"/>
              </w:tabs>
              <w:autoSpaceDE/>
              <w:autoSpaceDN/>
              <w:bidi w:val="0"/>
              <w:spacing w:after="0" w:line="240" w:lineRule="auto"/>
              <w:ind w:left="0" w:firstLine="0"/>
              <w:jc w:val="both"/>
              <w:rPr>
                <w:rFonts w:ascii="Arial Narrow" w:hAnsi="Arial Narrow"/>
                <w:b/>
                <w:sz w:val="22"/>
                <w:szCs w:val="22"/>
              </w:rPr>
            </w:pPr>
            <w:r w:rsidRPr="00DA5DED">
              <w:rPr>
                <w:rFonts w:ascii="Arial Narrow" w:hAnsi="Arial Narrow"/>
                <w:b/>
                <w:sz w:val="22"/>
                <w:szCs w:val="22"/>
              </w:rPr>
              <w:t>formy odmeňovania, na ktoré sa vzťahujú zásady odmeňovania podľa odseku 8,</w:t>
            </w:r>
          </w:p>
          <w:p w:rsidR="00DA5DED" w:rsidRPr="00DA5DED" w:rsidP="003A74AE">
            <w:pPr>
              <w:numPr>
                <w:numId w:val="19"/>
              </w:numPr>
              <w:tabs>
                <w:tab w:val="num" w:pos="0"/>
                <w:tab w:val="clear" w:pos="1065"/>
              </w:tabs>
              <w:autoSpaceDE/>
              <w:autoSpaceDN/>
              <w:bidi w:val="0"/>
              <w:spacing w:after="0" w:line="240" w:lineRule="auto"/>
              <w:ind w:left="0" w:firstLine="0"/>
              <w:jc w:val="both"/>
              <w:rPr>
                <w:rFonts w:ascii="Arial Narrow" w:hAnsi="Arial Narrow"/>
                <w:b/>
                <w:sz w:val="22"/>
                <w:szCs w:val="22"/>
              </w:rPr>
            </w:pPr>
            <w:r w:rsidRPr="00DA5DED">
              <w:rPr>
                <w:rFonts w:ascii="Arial Narrow" w:hAnsi="Arial Narrow"/>
                <w:b/>
                <w:sz w:val="22"/>
                <w:szCs w:val="22"/>
              </w:rPr>
              <w:t>rozsah uplatňovania zásad odmeňovania podľa odseku 8,</w:t>
            </w:r>
          </w:p>
          <w:p w:rsidR="00DA5DED" w:rsidRPr="00DA5DED" w:rsidP="003A74AE">
            <w:pPr>
              <w:numPr>
                <w:numId w:val="19"/>
              </w:numPr>
              <w:tabs>
                <w:tab w:val="num" w:pos="0"/>
                <w:tab w:val="clear" w:pos="1065"/>
              </w:tabs>
              <w:autoSpaceDE/>
              <w:autoSpaceDN/>
              <w:bidi w:val="0"/>
              <w:spacing w:after="0" w:line="240" w:lineRule="auto"/>
              <w:ind w:left="0" w:firstLine="0"/>
              <w:jc w:val="both"/>
              <w:rPr>
                <w:rFonts w:ascii="Arial Narrow" w:hAnsi="Arial Narrow"/>
                <w:b/>
                <w:sz w:val="22"/>
                <w:szCs w:val="22"/>
              </w:rPr>
            </w:pPr>
            <w:r w:rsidRPr="00DA5DED">
              <w:rPr>
                <w:rFonts w:ascii="Arial Narrow" w:hAnsi="Arial Narrow"/>
                <w:b/>
                <w:sz w:val="22"/>
                <w:szCs w:val="22"/>
              </w:rPr>
              <w:t>spôsob uplatňovania zásad odmeňovania v prípade zverenia riadenia investícií alebo riadenia rizík správcovskou spoločnosťou,</w:t>
            </w:r>
          </w:p>
          <w:p w:rsidR="00DA5DED" w:rsidRPr="00DA5DED" w:rsidP="003A74AE">
            <w:pPr>
              <w:numPr>
                <w:numId w:val="19"/>
              </w:numPr>
              <w:tabs>
                <w:tab w:val="num" w:pos="0"/>
                <w:tab w:val="clear" w:pos="1065"/>
              </w:tabs>
              <w:autoSpaceDE/>
              <w:autoSpaceDN/>
              <w:bidi w:val="0"/>
              <w:spacing w:after="0" w:line="240" w:lineRule="auto"/>
              <w:ind w:left="0" w:firstLine="0"/>
              <w:jc w:val="both"/>
              <w:rPr>
                <w:rFonts w:ascii="Arial Narrow" w:hAnsi="Arial Narrow"/>
                <w:b/>
                <w:sz w:val="22"/>
                <w:szCs w:val="22"/>
              </w:rPr>
            </w:pPr>
            <w:r w:rsidRPr="00DA5DED">
              <w:rPr>
                <w:rFonts w:ascii="Arial Narrow" w:hAnsi="Arial Narrow"/>
                <w:b/>
                <w:sz w:val="22"/>
                <w:szCs w:val="22"/>
              </w:rPr>
              <w:t>spôsob uplatňovania princípu podľa odseku 11 vo vzťahu k zásadám odmeňovania,,</w:t>
            </w:r>
          </w:p>
          <w:p w:rsidR="00DA5DED" w:rsidRPr="00DA5DED" w:rsidP="003A74AE">
            <w:pPr>
              <w:numPr>
                <w:numId w:val="19"/>
              </w:numPr>
              <w:tabs>
                <w:tab w:val="num" w:pos="0"/>
                <w:tab w:val="clear" w:pos="1065"/>
              </w:tabs>
              <w:autoSpaceDE/>
              <w:autoSpaceDN/>
              <w:bidi w:val="0"/>
              <w:spacing w:after="0" w:line="240" w:lineRule="auto"/>
              <w:ind w:left="0" w:firstLine="0"/>
              <w:jc w:val="both"/>
              <w:rPr>
                <w:rFonts w:ascii="Arial Narrow" w:hAnsi="Arial Narrow"/>
                <w:b/>
                <w:sz w:val="22"/>
                <w:szCs w:val="22"/>
              </w:rPr>
            </w:pPr>
            <w:r w:rsidRPr="00DA5DED">
              <w:rPr>
                <w:rFonts w:ascii="Arial Narrow" w:hAnsi="Arial Narrow"/>
                <w:b/>
                <w:sz w:val="22"/>
                <w:szCs w:val="22"/>
              </w:rPr>
              <w:t>spôsob uplatňovania zásad odmeňovania u správcovských spoločností, ktoré sú členmi finančnej skupiny alebo finančného konglomerátu,</w:t>
            </w:r>
          </w:p>
          <w:p w:rsidR="00DA5DED" w:rsidRPr="00DA5DED" w:rsidP="003A74AE">
            <w:pPr>
              <w:numPr>
                <w:numId w:val="19"/>
              </w:numPr>
              <w:tabs>
                <w:tab w:val="num" w:pos="0"/>
                <w:tab w:val="clear" w:pos="1065"/>
              </w:tabs>
              <w:autoSpaceDE/>
              <w:autoSpaceDN/>
              <w:bidi w:val="0"/>
              <w:spacing w:after="0" w:line="240" w:lineRule="auto"/>
              <w:ind w:left="0" w:firstLine="0"/>
              <w:jc w:val="both"/>
              <w:rPr>
                <w:rFonts w:ascii="Arial Narrow" w:hAnsi="Arial Narrow"/>
                <w:b/>
                <w:sz w:val="22"/>
                <w:szCs w:val="22"/>
              </w:rPr>
            </w:pPr>
            <w:r w:rsidRPr="00DA5DED">
              <w:rPr>
                <w:rFonts w:ascii="Arial Narrow" w:hAnsi="Arial Narrow"/>
                <w:b/>
                <w:sz w:val="22"/>
                <w:szCs w:val="22"/>
              </w:rPr>
              <w:t>spôsob uplatňovania zásad odmeňovania na členov predstavenstva správcovskej spoločnosti a členov dozornej rady správcovskej spoločnosti,</w:t>
            </w:r>
          </w:p>
          <w:p w:rsidR="00DA5DED" w:rsidRPr="00DA5DED" w:rsidP="003A74AE">
            <w:pPr>
              <w:numPr>
                <w:numId w:val="19"/>
              </w:numPr>
              <w:tabs>
                <w:tab w:val="num" w:pos="0"/>
                <w:tab w:val="clear" w:pos="1065"/>
              </w:tabs>
              <w:autoSpaceDE/>
              <w:autoSpaceDN/>
              <w:bidi w:val="0"/>
              <w:spacing w:after="0" w:line="240" w:lineRule="auto"/>
              <w:ind w:left="0" w:firstLine="0"/>
              <w:jc w:val="both"/>
              <w:rPr>
                <w:rFonts w:ascii="Arial Narrow" w:hAnsi="Arial Narrow"/>
                <w:b/>
                <w:sz w:val="22"/>
                <w:szCs w:val="22"/>
              </w:rPr>
            </w:pPr>
            <w:r w:rsidRPr="00DA5DED">
              <w:rPr>
                <w:rFonts w:ascii="Arial Narrow" w:hAnsi="Arial Narrow"/>
                <w:b/>
                <w:sz w:val="22"/>
                <w:szCs w:val="22"/>
              </w:rPr>
              <w:t>skutočnosti, ktoré je potrebné posúdiť, pri vyhodnotení, či je správcovská spoločnosť významná z hľadiska svojej veľkosti alebo veľkosti ňou spravovaných subjektov kolektívneho investovania alebo z hľadiska svojej vnútornej organizácie a charakteru, rozsahu a zložitosti svojich činností podľa odseku 13,</w:t>
            </w:r>
          </w:p>
          <w:p w:rsidR="00DA5DED" w:rsidRPr="00DA5DED" w:rsidP="003A74AE">
            <w:pPr>
              <w:numPr>
                <w:numId w:val="19"/>
              </w:numPr>
              <w:tabs>
                <w:tab w:val="num" w:pos="0"/>
                <w:tab w:val="clear" w:pos="1065"/>
              </w:tabs>
              <w:autoSpaceDE/>
              <w:autoSpaceDN/>
              <w:bidi w:val="0"/>
              <w:spacing w:after="0" w:line="240" w:lineRule="auto"/>
              <w:ind w:left="0" w:firstLine="0"/>
              <w:jc w:val="both"/>
              <w:rPr>
                <w:rFonts w:ascii="Arial Narrow" w:hAnsi="Arial Narrow"/>
                <w:b/>
                <w:sz w:val="22"/>
                <w:szCs w:val="22"/>
              </w:rPr>
            </w:pPr>
            <w:r w:rsidRPr="00DA5DED">
              <w:rPr>
                <w:rFonts w:ascii="Arial Narrow" w:hAnsi="Arial Narrow"/>
                <w:b/>
                <w:sz w:val="22"/>
                <w:szCs w:val="22"/>
              </w:rPr>
              <w:t>spôsob uplatňovania zásad odmeňovania na zamestnancov zodpovedných alebo vykonávajúcich funkciu dodržiavania, funkciu riadenia rizík, funkciu vnútorného auditu alebo inú kontrolnú funkciu,</w:t>
            </w:r>
          </w:p>
          <w:p w:rsidR="00DA5DED" w:rsidRPr="00DA5DED" w:rsidP="003A74AE">
            <w:pPr>
              <w:numPr>
                <w:numId w:val="19"/>
              </w:numPr>
              <w:tabs>
                <w:tab w:val="num" w:pos="0"/>
                <w:tab w:val="clear" w:pos="1065"/>
              </w:tabs>
              <w:autoSpaceDE/>
              <w:autoSpaceDN/>
              <w:bidi w:val="0"/>
              <w:spacing w:after="0" w:line="240" w:lineRule="auto"/>
              <w:ind w:left="0" w:firstLine="0"/>
              <w:jc w:val="both"/>
              <w:rPr>
                <w:rFonts w:ascii="Arial Narrow" w:hAnsi="Arial Narrow"/>
                <w:b/>
                <w:sz w:val="22"/>
                <w:szCs w:val="22"/>
              </w:rPr>
            </w:pPr>
            <w:r w:rsidRPr="00DA5DED">
              <w:rPr>
                <w:rFonts w:ascii="Arial Narrow" w:hAnsi="Arial Narrow"/>
                <w:b/>
                <w:sz w:val="22"/>
                <w:szCs w:val="22"/>
              </w:rPr>
              <w:t>čo sa rozumie stratégiami osobného zaistenia a poistenia odmeňovania a zodpovednosti, ktoré oslabujú účinky zosúladenia rizík vyplývajúce zo spôsobu odmeňovania podľa odseku 11 písm. q),</w:t>
            </w:r>
          </w:p>
          <w:p w:rsidR="00DA5DED" w:rsidRPr="00DA5DED" w:rsidP="003A74AE">
            <w:pPr>
              <w:numPr>
                <w:numId w:val="19"/>
              </w:numPr>
              <w:tabs>
                <w:tab w:val="num" w:pos="0"/>
                <w:tab w:val="clear" w:pos="1065"/>
              </w:tabs>
              <w:autoSpaceDE/>
              <w:autoSpaceDN/>
              <w:bidi w:val="0"/>
              <w:spacing w:after="0" w:line="240" w:lineRule="auto"/>
              <w:ind w:left="0" w:firstLine="0"/>
              <w:jc w:val="both"/>
              <w:rPr>
                <w:rFonts w:ascii="Arial Narrow" w:hAnsi="Arial Narrow"/>
                <w:b/>
                <w:sz w:val="22"/>
                <w:szCs w:val="22"/>
              </w:rPr>
            </w:pPr>
            <w:r w:rsidRPr="00DA5DED">
              <w:rPr>
                <w:rFonts w:ascii="Arial Narrow" w:hAnsi="Arial Narrow"/>
                <w:b/>
                <w:sz w:val="22"/>
                <w:szCs w:val="22"/>
              </w:rPr>
              <w:t>spôsob uplatňovania princípu zosúladenia rizík,</w:t>
            </w:r>
          </w:p>
          <w:p w:rsidR="00DA5DED" w:rsidRPr="00DA5DED" w:rsidP="003A74AE">
            <w:pPr>
              <w:numPr>
                <w:numId w:val="19"/>
              </w:numPr>
              <w:tabs>
                <w:tab w:val="num" w:pos="0"/>
                <w:tab w:val="clear" w:pos="1065"/>
              </w:tabs>
              <w:autoSpaceDE/>
              <w:autoSpaceDN/>
              <w:bidi w:val="0"/>
              <w:spacing w:after="0" w:line="240" w:lineRule="auto"/>
              <w:ind w:left="0" w:firstLine="0"/>
              <w:jc w:val="both"/>
              <w:rPr>
                <w:rFonts w:ascii="Arial Narrow" w:hAnsi="Arial Narrow"/>
                <w:b/>
                <w:sz w:val="22"/>
                <w:szCs w:val="22"/>
              </w:rPr>
            </w:pPr>
            <w:r w:rsidRPr="00DA5DED">
              <w:rPr>
                <w:rFonts w:ascii="Arial Narrow" w:hAnsi="Arial Narrow"/>
                <w:b/>
                <w:sz w:val="22"/>
                <w:szCs w:val="22"/>
              </w:rPr>
              <w:t>spôsob hodnotenia výkonnosti podľa odseku 11 písm. g),</w:t>
            </w:r>
          </w:p>
          <w:p w:rsidR="00DA5DED" w:rsidRPr="00DA5DED" w:rsidP="003A74AE">
            <w:pPr>
              <w:numPr>
                <w:numId w:val="19"/>
              </w:numPr>
              <w:tabs>
                <w:tab w:val="num" w:pos="0"/>
                <w:tab w:val="clear" w:pos="1065"/>
              </w:tabs>
              <w:autoSpaceDE/>
              <w:autoSpaceDN/>
              <w:bidi w:val="0"/>
              <w:spacing w:after="0" w:line="240" w:lineRule="auto"/>
              <w:ind w:left="0" w:firstLine="0"/>
              <w:jc w:val="both"/>
              <w:rPr>
                <w:rFonts w:ascii="Arial Narrow" w:hAnsi="Arial Narrow"/>
                <w:b/>
                <w:sz w:val="22"/>
                <w:szCs w:val="22"/>
              </w:rPr>
            </w:pPr>
            <w:r w:rsidRPr="00DA5DED">
              <w:rPr>
                <w:rFonts w:ascii="Arial Narrow" w:hAnsi="Arial Narrow"/>
                <w:b/>
                <w:sz w:val="22"/>
                <w:szCs w:val="22"/>
              </w:rPr>
              <w:t>spôsob udeľovania pohyblivej zložky odmeňovania,</w:t>
            </w:r>
          </w:p>
          <w:p w:rsidR="00DA5DED" w:rsidRPr="00DA5DED" w:rsidP="003A74AE">
            <w:pPr>
              <w:numPr>
                <w:numId w:val="19"/>
              </w:numPr>
              <w:tabs>
                <w:tab w:val="num" w:pos="0"/>
                <w:tab w:val="clear" w:pos="1065"/>
              </w:tabs>
              <w:autoSpaceDE/>
              <w:autoSpaceDN/>
              <w:bidi w:val="0"/>
              <w:spacing w:after="0" w:line="240" w:lineRule="auto"/>
              <w:ind w:left="0" w:firstLine="0"/>
              <w:jc w:val="both"/>
              <w:rPr>
                <w:rFonts w:ascii="Arial Narrow" w:hAnsi="Arial Narrow"/>
                <w:b/>
                <w:sz w:val="22"/>
                <w:szCs w:val="22"/>
              </w:rPr>
            </w:pPr>
            <w:r w:rsidRPr="00DA5DED">
              <w:rPr>
                <w:rFonts w:ascii="Arial Narrow" w:hAnsi="Arial Narrow"/>
                <w:b/>
                <w:sz w:val="22"/>
                <w:szCs w:val="22"/>
              </w:rPr>
              <w:t>spôsob vyplácania pohyblivej zložky odmeňovania,</w:t>
            </w:r>
          </w:p>
          <w:p w:rsidR="00DA5DED" w:rsidRPr="00DA5DED" w:rsidP="003A74AE">
            <w:pPr>
              <w:numPr>
                <w:numId w:val="19"/>
              </w:numPr>
              <w:tabs>
                <w:tab w:val="num" w:pos="0"/>
                <w:tab w:val="clear" w:pos="1065"/>
              </w:tabs>
              <w:autoSpaceDE/>
              <w:autoSpaceDN/>
              <w:bidi w:val="0"/>
              <w:spacing w:after="0" w:line="240" w:lineRule="auto"/>
              <w:ind w:left="0" w:firstLine="0"/>
              <w:jc w:val="both"/>
              <w:rPr>
                <w:rFonts w:ascii="Arial Narrow" w:hAnsi="Arial Narrow"/>
                <w:b/>
                <w:sz w:val="22"/>
                <w:szCs w:val="22"/>
              </w:rPr>
            </w:pPr>
            <w:r w:rsidRPr="00DA5DED">
              <w:rPr>
                <w:rFonts w:ascii="Arial Narrow" w:hAnsi="Arial Narrow"/>
                <w:b/>
                <w:sz w:val="22"/>
                <w:szCs w:val="22"/>
              </w:rPr>
              <w:t>čo sa rozumie náležitými podmienkami zadržania podľa odseku 11 písm. m) druhého bodu,</w:t>
            </w:r>
          </w:p>
          <w:p w:rsidR="00A9063F" w:rsidRPr="00DA5DED" w:rsidP="004760F7">
            <w:pPr>
              <w:numPr>
                <w:numId w:val="19"/>
              </w:numPr>
              <w:tabs>
                <w:tab w:val="num" w:pos="0"/>
                <w:tab w:val="clear" w:pos="1065"/>
              </w:tabs>
              <w:autoSpaceDE/>
              <w:autoSpaceDN/>
              <w:bidi w:val="0"/>
              <w:spacing w:after="0" w:line="240" w:lineRule="auto"/>
              <w:ind w:left="0" w:firstLine="0"/>
              <w:jc w:val="both"/>
              <w:rPr>
                <w:rFonts w:ascii="Arial Narrow" w:hAnsi="Arial Narrow"/>
                <w:sz w:val="22"/>
                <w:szCs w:val="22"/>
              </w:rPr>
            </w:pPr>
            <w:r w:rsidRPr="00DA5DED" w:rsidR="00DA5DED">
              <w:rPr>
                <w:rFonts w:ascii="Arial Narrow" w:hAnsi="Arial Narrow"/>
                <w:b/>
                <w:sz w:val="22"/>
                <w:szCs w:val="22"/>
              </w:rPr>
              <w:t>spôsob znižovania pohyblivej zložky odmeňovania podľa odseku 11 písm. o).</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9063F" w:rsidRPr="00DA5DED">
            <w:pPr>
              <w:bidi w:val="0"/>
              <w:spacing w:after="0" w:line="240" w:lineRule="auto"/>
              <w:jc w:val="center"/>
              <w:rPr>
                <w:rFonts w:ascii="Arial Narrow" w:hAnsi="Arial Narrow"/>
                <w:sz w:val="22"/>
                <w:szCs w:val="22"/>
              </w:rPr>
            </w:pPr>
            <w:r w:rsidR="004760F7">
              <w:rPr>
                <w:rFonts w:ascii="Arial Narrow" w:hAnsi="Arial Narrow"/>
                <w:sz w:val="22"/>
                <w:szCs w:val="22"/>
              </w:rPr>
              <w:t>Ú</w:t>
            </w:r>
          </w:p>
        </w:tc>
        <w:tc>
          <w:tcPr>
            <w:tcW w:w="634" w:type="dxa"/>
            <w:tcBorders>
              <w:top w:val="single" w:sz="4" w:space="0" w:color="auto"/>
              <w:left w:val="single" w:sz="4" w:space="0" w:color="auto"/>
              <w:bottom w:val="single" w:sz="4" w:space="0" w:color="auto"/>
              <w:right w:val="single" w:sz="12" w:space="0" w:color="auto"/>
            </w:tcBorders>
            <w:textDirection w:val="lrTb"/>
            <w:vAlign w:val="top"/>
          </w:tcPr>
          <w:p w:rsidR="00A9063F" w:rsidRPr="00DA5DED">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DA5DED" w:rsidP="00DA5DED">
            <w:pPr>
              <w:bidi w:val="0"/>
              <w:spacing w:after="0" w:line="240" w:lineRule="auto"/>
              <w:rPr>
                <w:rFonts w:ascii="Arial Narrow" w:hAnsi="Arial Narrow"/>
                <w:sz w:val="22"/>
                <w:szCs w:val="22"/>
              </w:rPr>
            </w:pPr>
            <w:r w:rsidR="00DA5DED">
              <w:rPr>
                <w:rFonts w:ascii="Arial Narrow" w:hAnsi="Arial Narrow"/>
                <w:sz w:val="22"/>
                <w:szCs w:val="22"/>
              </w:rPr>
              <w:t>Príloha č.</w:t>
            </w:r>
            <w:r w:rsidRPr="00DA5DED" w:rsidR="002E1D16">
              <w:rPr>
                <w:rFonts w:ascii="Arial Narrow" w:hAnsi="Arial Narrow"/>
                <w:sz w:val="22"/>
                <w:szCs w:val="22"/>
              </w:rPr>
              <w:t>3</w:t>
            </w:r>
          </w:p>
        </w:tc>
        <w:tc>
          <w:tcPr>
            <w:tcW w:w="6237" w:type="dxa"/>
            <w:gridSpan w:val="2"/>
            <w:tcBorders>
              <w:top w:val="single" w:sz="4" w:space="0" w:color="auto"/>
              <w:left w:val="single" w:sz="4" w:space="0" w:color="auto"/>
              <w:bottom w:val="single" w:sz="4" w:space="0" w:color="auto"/>
              <w:right w:val="single" w:sz="4" w:space="0" w:color="auto"/>
            </w:tcBorders>
            <w:textDirection w:val="lrTb"/>
            <w:vAlign w:val="top"/>
          </w:tcPr>
          <w:p w:rsidR="00DA5DED" w:rsidRPr="00DA5DED" w:rsidP="00DA5DED">
            <w:pPr>
              <w:pStyle w:val="Normlny"/>
              <w:bidi w:val="0"/>
              <w:spacing w:after="0" w:line="240" w:lineRule="auto"/>
              <w:jc w:val="both"/>
              <w:rPr>
                <w:rFonts w:ascii="Arial Narrow" w:hAnsi="Arial Narrow"/>
                <w:sz w:val="22"/>
                <w:szCs w:val="22"/>
              </w:rPr>
            </w:pPr>
            <w:r w:rsidRPr="00DA5DED">
              <w:rPr>
                <w:rFonts w:ascii="Arial Narrow" w:hAnsi="Arial Narrow"/>
                <w:i/>
                <w:iCs/>
                <w:sz w:val="22"/>
                <w:szCs w:val="22"/>
              </w:rPr>
              <w:t xml:space="preserve">PRÍLOHA III </w:t>
            </w:r>
          </w:p>
          <w:p w:rsidR="00DA5DED" w:rsidRPr="00DA5DED" w:rsidP="00DA5DED">
            <w:pPr>
              <w:pStyle w:val="Normlny"/>
              <w:bidi w:val="0"/>
              <w:spacing w:after="0" w:line="240" w:lineRule="auto"/>
              <w:jc w:val="both"/>
              <w:rPr>
                <w:rFonts w:ascii="Arial Narrow" w:hAnsi="Arial Narrow"/>
                <w:sz w:val="22"/>
                <w:szCs w:val="22"/>
              </w:rPr>
            </w:pPr>
            <w:r w:rsidRPr="00DA5DED">
              <w:rPr>
                <w:rFonts w:ascii="Arial Narrow" w:hAnsi="Arial Narrow"/>
                <w:b/>
                <w:bCs/>
                <w:sz w:val="22"/>
                <w:szCs w:val="22"/>
              </w:rPr>
              <w:t xml:space="preserve">DOKUMENTÁCIA A INFORMÁCIE, KTORÉ SA POSKYTUJÚ V PRÍPADE ZAMÝŠĽANÉHO UVÁDZANIA NA TRH V DOMOVSKOM ČLENSKOM ŠTÁTE SPRÁVCU AIF </w:t>
            </w:r>
          </w:p>
          <w:p w:rsidR="00DA5DED" w:rsidRPr="00DA5DED" w:rsidP="00DA5DED">
            <w:pPr>
              <w:pStyle w:val="Normlny"/>
              <w:bidi w:val="0"/>
              <w:spacing w:after="0" w:line="240" w:lineRule="auto"/>
              <w:jc w:val="both"/>
              <w:rPr>
                <w:rFonts w:ascii="Arial Narrow" w:hAnsi="Arial Narrow"/>
                <w:sz w:val="22"/>
                <w:szCs w:val="22"/>
              </w:rPr>
            </w:pPr>
            <w:r w:rsidRPr="00DA5DED">
              <w:rPr>
                <w:rFonts w:ascii="Arial Narrow" w:hAnsi="Arial Narrow"/>
                <w:sz w:val="22"/>
                <w:szCs w:val="22"/>
              </w:rPr>
              <w:t xml:space="preserve">a) Oznámenie vrátane programu činností, v ktorom sa uvedú AIF, ktoré má správca AIF v úmysle uvádzať na trh, a informácie o tom, kde sú tieto AIF usadené; </w:t>
            </w:r>
          </w:p>
          <w:p w:rsidR="00DA5DED" w:rsidRPr="00DA5DED" w:rsidP="00DA5DED">
            <w:pPr>
              <w:pStyle w:val="Normlny"/>
              <w:bidi w:val="0"/>
              <w:spacing w:after="0" w:line="240" w:lineRule="auto"/>
              <w:jc w:val="both"/>
              <w:rPr>
                <w:rFonts w:ascii="Arial Narrow" w:hAnsi="Arial Narrow"/>
                <w:sz w:val="22"/>
                <w:szCs w:val="22"/>
              </w:rPr>
            </w:pPr>
            <w:r w:rsidRPr="00DA5DED">
              <w:rPr>
                <w:rFonts w:ascii="Arial Narrow" w:hAnsi="Arial Narrow"/>
                <w:sz w:val="22"/>
                <w:szCs w:val="22"/>
              </w:rPr>
              <w:t xml:space="preserve">b) štatút alebo zakladajúce dokumenty AIF; </w:t>
            </w:r>
          </w:p>
          <w:p w:rsidR="00DA5DED" w:rsidRPr="00DA5DED" w:rsidP="00DA5DED">
            <w:pPr>
              <w:pStyle w:val="Normlny"/>
              <w:bidi w:val="0"/>
              <w:spacing w:after="0" w:line="240" w:lineRule="auto"/>
              <w:jc w:val="both"/>
              <w:rPr>
                <w:rFonts w:ascii="Arial Narrow" w:hAnsi="Arial Narrow"/>
                <w:sz w:val="22"/>
                <w:szCs w:val="22"/>
              </w:rPr>
            </w:pPr>
            <w:r w:rsidRPr="00DA5DED">
              <w:rPr>
                <w:rFonts w:ascii="Arial Narrow" w:hAnsi="Arial Narrow"/>
                <w:sz w:val="22"/>
                <w:szCs w:val="22"/>
              </w:rPr>
              <w:t xml:space="preserve">c) údaje o totožnosti depozitára AIF; </w:t>
            </w:r>
          </w:p>
          <w:p w:rsidR="00DA5DED" w:rsidRPr="00DA5DED" w:rsidP="00DA5DED">
            <w:pPr>
              <w:pStyle w:val="Normlny"/>
              <w:bidi w:val="0"/>
              <w:spacing w:after="0" w:line="240" w:lineRule="auto"/>
              <w:jc w:val="both"/>
              <w:rPr>
                <w:rFonts w:ascii="Arial Narrow" w:hAnsi="Arial Narrow"/>
                <w:sz w:val="22"/>
                <w:szCs w:val="22"/>
              </w:rPr>
            </w:pPr>
            <w:r w:rsidRPr="00DA5DED">
              <w:rPr>
                <w:rFonts w:ascii="Arial Narrow" w:hAnsi="Arial Narrow"/>
                <w:sz w:val="22"/>
                <w:szCs w:val="22"/>
              </w:rPr>
              <w:t xml:space="preserve">d) opis AIF alebo akékoľvek informácie o AIF dostupné pre investorov; </w:t>
            </w:r>
          </w:p>
          <w:p w:rsidR="00DA5DED" w:rsidRPr="00DA5DED" w:rsidP="00DA5DED">
            <w:pPr>
              <w:pStyle w:val="Normlny"/>
              <w:bidi w:val="0"/>
              <w:spacing w:after="0" w:line="240" w:lineRule="auto"/>
              <w:jc w:val="both"/>
              <w:rPr>
                <w:rFonts w:ascii="Arial Narrow" w:hAnsi="Arial Narrow"/>
                <w:sz w:val="22"/>
                <w:szCs w:val="22"/>
              </w:rPr>
            </w:pPr>
            <w:r w:rsidRPr="00DA5DED">
              <w:rPr>
                <w:rFonts w:ascii="Arial Narrow" w:hAnsi="Arial Narrow"/>
                <w:sz w:val="22"/>
                <w:szCs w:val="22"/>
              </w:rPr>
              <w:t xml:space="preserve">e) informácie o mieste, kde je usadený hlavný AIF, ak je tento AIF zberným AIF; </w:t>
            </w:r>
          </w:p>
          <w:p w:rsidR="00DA5DED" w:rsidRPr="00DA5DED" w:rsidP="00DA5DED">
            <w:pPr>
              <w:pStyle w:val="Normlny"/>
              <w:bidi w:val="0"/>
              <w:spacing w:after="0" w:line="240" w:lineRule="auto"/>
              <w:jc w:val="both"/>
              <w:rPr>
                <w:rFonts w:ascii="Arial Narrow" w:hAnsi="Arial Narrow"/>
                <w:sz w:val="22"/>
                <w:szCs w:val="22"/>
              </w:rPr>
            </w:pPr>
            <w:r w:rsidRPr="00DA5DED">
              <w:rPr>
                <w:rFonts w:ascii="Arial Narrow" w:hAnsi="Arial Narrow"/>
                <w:sz w:val="22"/>
                <w:szCs w:val="22"/>
              </w:rPr>
              <w:t xml:space="preserve">f) akékoľvek ďalšie informácie uvedené v článku 23 ods. 1 o každom AIF, ktorý má správca AIF v úmysle uvádzať na trh; </w:t>
            </w:r>
          </w:p>
          <w:p w:rsidR="00A9063F" w:rsidRPr="00DA5DED" w:rsidP="00DA5DED">
            <w:pPr>
              <w:pStyle w:val="Normlny"/>
              <w:bidi w:val="0"/>
              <w:spacing w:after="0" w:line="240" w:lineRule="auto"/>
              <w:jc w:val="both"/>
              <w:rPr>
                <w:rFonts w:ascii="Arial Narrow" w:hAnsi="Arial Narrow"/>
                <w:sz w:val="22"/>
                <w:szCs w:val="22"/>
              </w:rPr>
            </w:pPr>
            <w:r w:rsidRPr="00DA5DED" w:rsidR="00DA5DED">
              <w:rPr>
                <w:rFonts w:ascii="Arial Narrow" w:hAnsi="Arial Narrow"/>
                <w:sz w:val="22"/>
                <w:szCs w:val="22"/>
              </w:rPr>
              <w:t>g) prípadne informácie o mechanizmoch vytvorených s cieľom zabrániť, aby sa podielové listy alebo akcie AIF uvádzali na trh pre retailových investorov vrátane prípadu, keď správca AIF v súvislosti s týmto AIF využíva pri poskytovaní investičných služieb činnosti nezávislých subjektov.</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A9063F" w:rsidRPr="00DA5DED">
            <w:pPr>
              <w:bidi w:val="0"/>
              <w:spacing w:after="0" w:line="240" w:lineRule="auto"/>
              <w:jc w:val="center"/>
              <w:rPr>
                <w:rFonts w:ascii="Arial Narrow" w:hAnsi="Arial Narrow"/>
                <w:sz w:val="22"/>
                <w:szCs w:val="22"/>
              </w:rPr>
            </w:pPr>
            <w:r w:rsidR="004760F7">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A9063F" w:rsidRPr="00DA5DED">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DA5DED" w:rsidP="004577EC">
            <w:pPr>
              <w:pStyle w:val="Normlny"/>
              <w:bidi w:val="0"/>
              <w:spacing w:after="0" w:line="240" w:lineRule="auto"/>
              <w:jc w:val="center"/>
              <w:rPr>
                <w:rFonts w:ascii="Arial Narrow" w:hAnsi="Arial Narrow"/>
                <w:sz w:val="22"/>
                <w:szCs w:val="22"/>
              </w:rPr>
            </w:pPr>
            <w:r w:rsidR="004760F7">
              <w:rPr>
                <w:rFonts w:ascii="Arial Narrow" w:hAnsi="Arial Narrow"/>
                <w:sz w:val="22"/>
                <w:szCs w:val="22"/>
              </w:rPr>
              <w:t>§ 150b ods.1</w:t>
            </w:r>
          </w:p>
        </w:tc>
        <w:tc>
          <w:tcPr>
            <w:tcW w:w="6379" w:type="dxa"/>
            <w:tcBorders>
              <w:top w:val="single" w:sz="4" w:space="0" w:color="auto"/>
              <w:left w:val="single" w:sz="4" w:space="0" w:color="auto"/>
              <w:bottom w:val="single" w:sz="4" w:space="0" w:color="auto"/>
              <w:right w:val="single" w:sz="4" w:space="0" w:color="auto"/>
            </w:tcBorders>
            <w:textDirection w:val="lrTb"/>
            <w:vAlign w:val="top"/>
          </w:tcPr>
          <w:p w:rsidR="004760F7" w:rsidRPr="004760F7" w:rsidP="004760F7">
            <w:pPr>
              <w:autoSpaceDE/>
              <w:autoSpaceDN/>
              <w:bidi w:val="0"/>
              <w:spacing w:after="0" w:line="240" w:lineRule="auto"/>
              <w:jc w:val="both"/>
              <w:rPr>
                <w:rFonts w:ascii="Arial Narrow" w:hAnsi="Arial Narrow"/>
                <w:b/>
                <w:i/>
                <w:iCs/>
                <w:sz w:val="22"/>
                <w:szCs w:val="22"/>
              </w:rPr>
            </w:pPr>
            <w:r w:rsidRPr="004760F7">
              <w:rPr>
                <w:rFonts w:ascii="Arial Narrow" w:hAnsi="Arial Narrow"/>
                <w:b/>
                <w:sz w:val="22"/>
                <w:szCs w:val="22"/>
              </w:rPr>
              <w:t>Správcovská spoločnosť s povolením podľa § 28a, ktorá sa rozhodla distribuovať ňou spravovaný alternatívny investičný fond alebo európsky alternatívny investičný fond na území Slovenskej republiky, je povinná pred začatím tejto činnosti oznámiť svoj zámer Národnej banke Slovenska, pričom v oznámení sa uvedie</w:t>
            </w:r>
          </w:p>
          <w:p w:rsidR="004760F7" w:rsidRPr="004760F7" w:rsidP="004760F7">
            <w:pPr>
              <w:pStyle w:val="CM4"/>
              <w:numPr>
                <w:ilvl w:val="1"/>
                <w:numId w:val="20"/>
              </w:numPr>
              <w:bidi w:val="0"/>
              <w:spacing w:after="0" w:line="240" w:lineRule="auto"/>
              <w:ind w:left="0" w:firstLine="0"/>
              <w:jc w:val="both"/>
              <w:rPr>
                <w:rFonts w:ascii="Arial Narrow" w:hAnsi="Arial Narrow"/>
                <w:b/>
                <w:color w:val="000000"/>
                <w:sz w:val="22"/>
                <w:szCs w:val="22"/>
              </w:rPr>
            </w:pPr>
            <w:r w:rsidRPr="004760F7">
              <w:rPr>
                <w:rFonts w:ascii="Arial Narrow" w:hAnsi="Arial Narrow"/>
                <w:b/>
                <w:color w:val="000000"/>
                <w:sz w:val="22"/>
                <w:szCs w:val="22"/>
              </w:rPr>
              <w:t xml:space="preserve">program činností obsahujúci názov </w:t>
            </w:r>
            <w:r w:rsidRPr="004760F7">
              <w:rPr>
                <w:rFonts w:ascii="Arial Narrow" w:hAnsi="Arial Narrow"/>
                <w:b/>
                <w:sz w:val="22"/>
                <w:szCs w:val="22"/>
              </w:rPr>
              <w:t xml:space="preserve">alternatívneho investičného fondu alebo </w:t>
            </w:r>
            <w:r w:rsidRPr="004760F7">
              <w:rPr>
                <w:rFonts w:ascii="Arial Narrow" w:hAnsi="Arial Narrow"/>
                <w:b/>
                <w:color w:val="000000"/>
                <w:sz w:val="22"/>
                <w:szCs w:val="22"/>
              </w:rPr>
              <w:t xml:space="preserve">európskeho alternatívneho investičného fondu a miesto usadenia európskeho alternatívneho investičného fondu, ktorý správcovská spoločnosť  plánuje distribuovať, </w:t>
            </w:r>
          </w:p>
          <w:p w:rsidR="004760F7" w:rsidRPr="004760F7" w:rsidP="004760F7">
            <w:pPr>
              <w:pStyle w:val="CM4"/>
              <w:numPr>
                <w:ilvl w:val="1"/>
                <w:numId w:val="20"/>
              </w:numPr>
              <w:bidi w:val="0"/>
              <w:spacing w:after="0" w:line="240" w:lineRule="auto"/>
              <w:ind w:left="0" w:firstLine="0"/>
              <w:jc w:val="both"/>
              <w:rPr>
                <w:rFonts w:ascii="Arial Narrow" w:hAnsi="Arial Narrow"/>
                <w:b/>
                <w:color w:val="000000"/>
                <w:sz w:val="22"/>
                <w:szCs w:val="22"/>
              </w:rPr>
            </w:pPr>
            <w:r w:rsidRPr="004760F7">
              <w:rPr>
                <w:rFonts w:ascii="Arial Narrow" w:hAnsi="Arial Narrow"/>
                <w:b/>
                <w:color w:val="000000"/>
                <w:sz w:val="22"/>
                <w:szCs w:val="22"/>
              </w:rPr>
              <w:t xml:space="preserve">štatút alebo zakladajúce dokumenty </w:t>
            </w:r>
            <w:r w:rsidRPr="004760F7">
              <w:rPr>
                <w:rFonts w:ascii="Arial Narrow" w:hAnsi="Arial Narrow"/>
                <w:b/>
                <w:sz w:val="22"/>
                <w:szCs w:val="22"/>
              </w:rPr>
              <w:t xml:space="preserve">alternatívneho investičného fondu alebo </w:t>
            </w:r>
            <w:r w:rsidRPr="004760F7">
              <w:rPr>
                <w:rFonts w:ascii="Arial Narrow" w:hAnsi="Arial Narrow"/>
                <w:b/>
                <w:color w:val="000000"/>
                <w:sz w:val="22"/>
                <w:szCs w:val="22"/>
              </w:rPr>
              <w:t xml:space="preserve">európskeho alternatívneho investičného fondu, </w:t>
            </w:r>
          </w:p>
          <w:p w:rsidR="004760F7" w:rsidRPr="004760F7" w:rsidP="004760F7">
            <w:pPr>
              <w:pStyle w:val="CM4"/>
              <w:numPr>
                <w:ilvl w:val="1"/>
                <w:numId w:val="20"/>
              </w:numPr>
              <w:bidi w:val="0"/>
              <w:spacing w:after="0" w:line="240" w:lineRule="auto"/>
              <w:ind w:left="0" w:firstLine="0"/>
              <w:jc w:val="both"/>
              <w:rPr>
                <w:rFonts w:ascii="Arial Narrow" w:hAnsi="Arial Narrow"/>
                <w:b/>
                <w:color w:val="000000"/>
                <w:sz w:val="22"/>
                <w:szCs w:val="22"/>
              </w:rPr>
            </w:pPr>
            <w:r w:rsidRPr="004760F7">
              <w:rPr>
                <w:rFonts w:ascii="Arial Narrow" w:hAnsi="Arial Narrow"/>
                <w:b/>
                <w:color w:val="000000"/>
                <w:sz w:val="22"/>
                <w:szCs w:val="22"/>
              </w:rPr>
              <w:t xml:space="preserve">identifikačné údaje depozitára  </w:t>
            </w:r>
            <w:r w:rsidRPr="004760F7">
              <w:rPr>
                <w:rFonts w:ascii="Arial Narrow" w:hAnsi="Arial Narrow"/>
                <w:b/>
                <w:sz w:val="22"/>
                <w:szCs w:val="22"/>
              </w:rPr>
              <w:t xml:space="preserve">alternatívneho investičného fondu alebo </w:t>
            </w:r>
            <w:r w:rsidRPr="004760F7">
              <w:rPr>
                <w:rFonts w:ascii="Arial Narrow" w:hAnsi="Arial Narrow"/>
                <w:b/>
                <w:color w:val="000000"/>
                <w:sz w:val="22"/>
                <w:szCs w:val="22"/>
              </w:rPr>
              <w:t>európskeho alternatívneho investičného fondu,</w:t>
            </w:r>
          </w:p>
          <w:p w:rsidR="004760F7" w:rsidRPr="004760F7" w:rsidP="004760F7">
            <w:pPr>
              <w:pStyle w:val="CM4"/>
              <w:numPr>
                <w:ilvl w:val="1"/>
                <w:numId w:val="20"/>
              </w:numPr>
              <w:bidi w:val="0"/>
              <w:spacing w:after="0" w:line="240" w:lineRule="auto"/>
              <w:ind w:left="0" w:firstLine="0"/>
              <w:jc w:val="both"/>
              <w:rPr>
                <w:rFonts w:ascii="Arial Narrow" w:hAnsi="Arial Narrow"/>
                <w:b/>
                <w:color w:val="000000"/>
                <w:sz w:val="22"/>
                <w:szCs w:val="22"/>
              </w:rPr>
            </w:pPr>
            <w:r w:rsidRPr="004760F7">
              <w:rPr>
                <w:rFonts w:ascii="Arial Narrow" w:hAnsi="Arial Narrow"/>
                <w:b/>
                <w:color w:val="000000"/>
                <w:sz w:val="22"/>
                <w:szCs w:val="22"/>
              </w:rPr>
              <w:t xml:space="preserve">popis </w:t>
            </w:r>
            <w:r w:rsidRPr="004760F7">
              <w:rPr>
                <w:rFonts w:ascii="Arial Narrow" w:hAnsi="Arial Narrow"/>
                <w:b/>
                <w:sz w:val="22"/>
                <w:szCs w:val="22"/>
              </w:rPr>
              <w:t xml:space="preserve">alternatívneho investičného fondu alebo </w:t>
            </w:r>
            <w:r w:rsidRPr="004760F7">
              <w:rPr>
                <w:rFonts w:ascii="Arial Narrow" w:hAnsi="Arial Narrow"/>
                <w:b/>
                <w:color w:val="000000"/>
                <w:sz w:val="22"/>
                <w:szCs w:val="22"/>
              </w:rPr>
              <w:t xml:space="preserve">európskeho alternatívneho investičného fondu a ďalšie informácie, ktoré sú  dostupné pre investorov, </w:t>
            </w:r>
          </w:p>
          <w:p w:rsidR="004760F7" w:rsidRPr="004760F7" w:rsidP="004760F7">
            <w:pPr>
              <w:pStyle w:val="CM4"/>
              <w:numPr>
                <w:ilvl w:val="1"/>
                <w:numId w:val="20"/>
              </w:numPr>
              <w:bidi w:val="0"/>
              <w:spacing w:after="0" w:line="240" w:lineRule="auto"/>
              <w:ind w:left="0" w:firstLine="0"/>
              <w:jc w:val="both"/>
              <w:rPr>
                <w:rFonts w:ascii="Arial Narrow" w:hAnsi="Arial Narrow"/>
                <w:b/>
                <w:color w:val="000000"/>
                <w:sz w:val="22"/>
                <w:szCs w:val="22"/>
              </w:rPr>
            </w:pPr>
            <w:r w:rsidRPr="004760F7">
              <w:rPr>
                <w:rFonts w:ascii="Arial Narrow" w:hAnsi="Arial Narrow"/>
                <w:b/>
                <w:color w:val="000000"/>
                <w:sz w:val="22"/>
                <w:szCs w:val="22"/>
              </w:rPr>
              <w:t xml:space="preserve">informácie o sídle hlavného alternatívneho investičného fondu, ak je príslušný alternatívny investičný fond zberným alternatívnym investičným fondom alebo európsky alternatívny investičný fond zberným zahraničným alternatívnym investičným fondom, </w:t>
            </w:r>
          </w:p>
          <w:p w:rsidR="004760F7" w:rsidRPr="004760F7" w:rsidP="004760F7">
            <w:pPr>
              <w:pStyle w:val="CM4"/>
              <w:numPr>
                <w:ilvl w:val="1"/>
                <w:numId w:val="20"/>
              </w:numPr>
              <w:bidi w:val="0"/>
              <w:spacing w:after="0" w:line="240" w:lineRule="auto"/>
              <w:ind w:left="0" w:firstLine="0"/>
              <w:jc w:val="both"/>
              <w:rPr>
                <w:rFonts w:ascii="Arial Narrow" w:hAnsi="Arial Narrow"/>
                <w:b/>
                <w:color w:val="000000"/>
                <w:sz w:val="22"/>
                <w:szCs w:val="22"/>
              </w:rPr>
            </w:pPr>
            <w:r w:rsidRPr="004760F7">
              <w:rPr>
                <w:rFonts w:ascii="Arial Narrow" w:hAnsi="Arial Narrow"/>
                <w:b/>
                <w:color w:val="000000"/>
                <w:sz w:val="22"/>
                <w:szCs w:val="22"/>
              </w:rPr>
              <w:t xml:space="preserve">akékoľvek ďalšie informácie podľa § 159a ods. 1 o </w:t>
            </w:r>
            <w:r w:rsidRPr="004760F7">
              <w:rPr>
                <w:rFonts w:ascii="Arial Narrow" w:hAnsi="Arial Narrow"/>
                <w:b/>
                <w:sz w:val="22"/>
                <w:szCs w:val="22"/>
              </w:rPr>
              <w:t xml:space="preserve">alternatívnom investičnom fonde alebo </w:t>
            </w:r>
            <w:r w:rsidRPr="004760F7">
              <w:rPr>
                <w:rFonts w:ascii="Arial Narrow" w:hAnsi="Arial Narrow"/>
                <w:b/>
                <w:color w:val="000000"/>
                <w:sz w:val="22"/>
                <w:szCs w:val="22"/>
              </w:rPr>
              <w:t xml:space="preserve">európskom alternatívnom investičnom fonde, okrem tých, ktoré sú uvedené v písmene d), </w:t>
            </w:r>
          </w:p>
          <w:p w:rsidR="004760F7" w:rsidRPr="004760F7" w:rsidP="004760F7">
            <w:pPr>
              <w:pStyle w:val="CM4"/>
              <w:numPr>
                <w:ilvl w:val="1"/>
                <w:numId w:val="20"/>
              </w:numPr>
              <w:bidi w:val="0"/>
              <w:spacing w:after="0" w:line="240" w:lineRule="auto"/>
              <w:ind w:left="0" w:firstLine="0"/>
              <w:jc w:val="both"/>
              <w:rPr>
                <w:rFonts w:ascii="Arial Narrow" w:hAnsi="Arial Narrow"/>
                <w:b/>
                <w:color w:val="000000"/>
                <w:sz w:val="22"/>
                <w:szCs w:val="22"/>
              </w:rPr>
            </w:pPr>
            <w:r w:rsidRPr="004760F7">
              <w:rPr>
                <w:rFonts w:ascii="Arial Narrow" w:hAnsi="Arial Narrow"/>
                <w:b/>
                <w:color w:val="000000"/>
                <w:sz w:val="22"/>
                <w:szCs w:val="22"/>
              </w:rPr>
              <w:t xml:space="preserve"> informácie o mechanizmoch vytvorených s cieľom zabrániť, aby boli cenné papiere alebo majetkové účasti tohto fondu distribuované neprofesionálnym investorom v Slovenskej republike, a to aj, ak správcovská  spoločnosť v súvislosti s týmto fondom využíva pri distribúcii a poskytovaní investičných služieb iné osoby, ak ide o </w:t>
            </w:r>
          </w:p>
          <w:p w:rsidR="004760F7" w:rsidRPr="004760F7" w:rsidP="004760F7">
            <w:pPr>
              <w:pStyle w:val="CM4"/>
              <w:numPr>
                <w:ilvl w:val="3"/>
                <w:numId w:val="20"/>
              </w:numPr>
              <w:bidi w:val="0"/>
              <w:spacing w:after="0" w:line="240" w:lineRule="auto"/>
              <w:ind w:left="98" w:firstLine="0"/>
              <w:jc w:val="both"/>
              <w:rPr>
                <w:rFonts w:ascii="Arial Narrow" w:hAnsi="Arial Narrow"/>
                <w:b/>
                <w:color w:val="000000"/>
                <w:sz w:val="22"/>
                <w:szCs w:val="22"/>
              </w:rPr>
            </w:pPr>
            <w:r w:rsidRPr="004760F7">
              <w:rPr>
                <w:rFonts w:ascii="Arial Narrow" w:hAnsi="Arial Narrow"/>
                <w:b/>
                <w:color w:val="000000"/>
                <w:sz w:val="22"/>
                <w:szCs w:val="22"/>
              </w:rPr>
              <w:t>alternatívny investičný fond podľa § 4 ods. 2 písm. b),</w:t>
            </w:r>
          </w:p>
          <w:p w:rsidR="004760F7" w:rsidRPr="000C5202" w:rsidP="004760F7">
            <w:pPr>
              <w:pStyle w:val="CM4"/>
              <w:numPr>
                <w:ilvl w:val="3"/>
                <w:numId w:val="20"/>
              </w:numPr>
              <w:bidi w:val="0"/>
              <w:spacing w:after="0" w:line="240" w:lineRule="auto"/>
              <w:ind w:left="98" w:firstLine="0"/>
              <w:jc w:val="both"/>
              <w:rPr>
                <w:rFonts w:ascii="Times New Roman" w:hAnsi="Times New Roman"/>
                <w:color w:val="000000"/>
              </w:rPr>
            </w:pPr>
            <w:r w:rsidRPr="004760F7">
              <w:rPr>
                <w:rFonts w:ascii="Arial Narrow" w:hAnsi="Arial Narrow"/>
                <w:b/>
                <w:color w:val="000000"/>
                <w:sz w:val="22"/>
                <w:szCs w:val="22"/>
              </w:rPr>
              <w:t>európsky alternatívny investičný fond, ktoré nie je možné v jeho domovskom štáte distribuovať neprofesionálnym investorom</w:t>
            </w:r>
            <w:r w:rsidRPr="000C5202">
              <w:rPr>
                <w:rFonts w:ascii="Times New Roman" w:hAnsi="Times New Roman"/>
                <w:color w:val="000000"/>
              </w:rPr>
              <w:t>.</w:t>
            </w:r>
          </w:p>
          <w:p w:rsidR="00A9063F" w:rsidRPr="00DA5DED" w:rsidP="004577EC">
            <w:pPr>
              <w:tabs>
                <w:tab w:val="left" w:pos="1425"/>
              </w:tabs>
              <w:bidi w:val="0"/>
              <w:spacing w:after="0" w:line="240" w:lineRule="auto"/>
              <w:rPr>
                <w:rFonts w:ascii="Arial Narrow" w:hAnsi="Arial Narrow"/>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9063F" w:rsidRPr="00DA5DED">
            <w:pPr>
              <w:bidi w:val="0"/>
              <w:spacing w:after="0" w:line="240" w:lineRule="auto"/>
              <w:jc w:val="center"/>
              <w:rPr>
                <w:rFonts w:ascii="Arial Narrow" w:hAnsi="Arial Narrow"/>
                <w:sz w:val="22"/>
                <w:szCs w:val="22"/>
              </w:rPr>
            </w:pPr>
            <w:r w:rsidR="004760F7">
              <w:rPr>
                <w:rFonts w:ascii="Arial Narrow" w:hAnsi="Arial Narrow"/>
                <w:sz w:val="22"/>
                <w:szCs w:val="22"/>
              </w:rPr>
              <w:t>Ú</w:t>
            </w:r>
          </w:p>
        </w:tc>
        <w:tc>
          <w:tcPr>
            <w:tcW w:w="634" w:type="dxa"/>
            <w:tcBorders>
              <w:top w:val="single" w:sz="4" w:space="0" w:color="auto"/>
              <w:left w:val="single" w:sz="4" w:space="0" w:color="auto"/>
              <w:bottom w:val="single" w:sz="4" w:space="0" w:color="auto"/>
              <w:right w:val="single" w:sz="12" w:space="0" w:color="auto"/>
            </w:tcBorders>
            <w:textDirection w:val="lrTb"/>
            <w:vAlign w:val="top"/>
          </w:tcPr>
          <w:p w:rsidR="00A9063F" w:rsidRPr="00DA5DED">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DA5DED">
            <w:pPr>
              <w:bidi w:val="0"/>
              <w:spacing w:after="0" w:line="240" w:lineRule="auto"/>
              <w:jc w:val="center"/>
              <w:rPr>
                <w:rFonts w:ascii="Arial Narrow" w:hAnsi="Arial Narrow"/>
                <w:sz w:val="22"/>
                <w:szCs w:val="22"/>
              </w:rPr>
            </w:pPr>
            <w:r w:rsidR="00DA5DED">
              <w:rPr>
                <w:rFonts w:ascii="Arial Narrow" w:hAnsi="Arial Narrow"/>
                <w:sz w:val="22"/>
                <w:szCs w:val="22"/>
              </w:rPr>
              <w:t xml:space="preserve">Príloha č. </w:t>
            </w:r>
            <w:r w:rsidRPr="00DA5DED" w:rsidR="002E1D16">
              <w:rPr>
                <w:rFonts w:ascii="Arial Narrow" w:hAnsi="Arial Narrow"/>
                <w:sz w:val="22"/>
                <w:szCs w:val="22"/>
              </w:rPr>
              <w:t>4</w:t>
            </w:r>
          </w:p>
        </w:tc>
        <w:tc>
          <w:tcPr>
            <w:tcW w:w="6237" w:type="dxa"/>
            <w:gridSpan w:val="2"/>
            <w:tcBorders>
              <w:top w:val="single" w:sz="4" w:space="0" w:color="auto"/>
              <w:left w:val="single" w:sz="4" w:space="0" w:color="auto"/>
              <w:bottom w:val="single" w:sz="4" w:space="0" w:color="auto"/>
              <w:right w:val="single" w:sz="4" w:space="0" w:color="auto"/>
            </w:tcBorders>
            <w:textDirection w:val="lrTb"/>
            <w:vAlign w:val="top"/>
          </w:tcPr>
          <w:p w:rsidR="00DA5DED" w:rsidRPr="00DA5DED" w:rsidP="00DA5DED">
            <w:pPr>
              <w:bidi w:val="0"/>
              <w:adjustRightInd w:val="0"/>
              <w:spacing w:after="0" w:line="240" w:lineRule="auto"/>
              <w:rPr>
                <w:rFonts w:ascii="Arial Narrow" w:hAnsi="Arial Narrow"/>
                <w:sz w:val="22"/>
                <w:szCs w:val="22"/>
              </w:rPr>
            </w:pPr>
            <w:r w:rsidRPr="00DA5DED">
              <w:rPr>
                <w:rFonts w:ascii="Arial Narrow" w:hAnsi="Arial Narrow"/>
                <w:i/>
                <w:iCs/>
                <w:sz w:val="22"/>
                <w:szCs w:val="22"/>
              </w:rPr>
              <w:t xml:space="preserve">PRÍLOHA IV </w:t>
            </w:r>
          </w:p>
          <w:p w:rsidR="00DA5DED" w:rsidRPr="00DA5DED" w:rsidP="00DA5DED">
            <w:pPr>
              <w:bidi w:val="0"/>
              <w:adjustRightInd w:val="0"/>
              <w:spacing w:after="0" w:line="240" w:lineRule="auto"/>
              <w:rPr>
                <w:rFonts w:ascii="Arial Narrow" w:hAnsi="Arial Narrow"/>
                <w:sz w:val="22"/>
                <w:szCs w:val="22"/>
              </w:rPr>
            </w:pPr>
            <w:r w:rsidRPr="00DA5DED">
              <w:rPr>
                <w:rFonts w:ascii="Arial Narrow" w:hAnsi="Arial Narrow"/>
                <w:b/>
                <w:bCs/>
                <w:sz w:val="22"/>
                <w:szCs w:val="22"/>
              </w:rPr>
              <w:t xml:space="preserve">DOKUMENTÁCIA A INFORMÁCIE, KTORÉ SA POSKYTUJÚ V PRÍPADE ZAMÝŠĽANÉHO UVÁDZANIA NA TRH V ČLENSKÝCH ŠTÁTOCH INÝCH AKO V DOMOVSKOM ČLENSKOM ŠTÁTE SPRÁVCU AIF </w:t>
            </w:r>
          </w:p>
          <w:p w:rsidR="00DA5DED" w:rsidRPr="00DA5DED" w:rsidP="00DA5DED">
            <w:pPr>
              <w:bidi w:val="0"/>
              <w:adjustRightInd w:val="0"/>
              <w:spacing w:after="0" w:line="240" w:lineRule="auto"/>
              <w:rPr>
                <w:rFonts w:ascii="Arial Narrow" w:hAnsi="Arial Narrow"/>
                <w:sz w:val="22"/>
                <w:szCs w:val="22"/>
              </w:rPr>
            </w:pPr>
            <w:r w:rsidRPr="00DA5DED">
              <w:rPr>
                <w:rFonts w:ascii="Arial Narrow" w:hAnsi="Arial Narrow"/>
                <w:sz w:val="22"/>
                <w:szCs w:val="22"/>
              </w:rPr>
              <w:t xml:space="preserve">a) Oznámenie vrátane programu činností, v ktorom sa uvedú AIF, ktoré má správca AIF v úmysle uvádzať na trh, a informácie o tom, kde sú tieto AIF usadené; </w:t>
            </w:r>
          </w:p>
          <w:p w:rsidR="00DA5DED" w:rsidRPr="00DA5DED" w:rsidP="00DA5DED">
            <w:pPr>
              <w:bidi w:val="0"/>
              <w:adjustRightInd w:val="0"/>
              <w:spacing w:after="0" w:line="240" w:lineRule="auto"/>
              <w:rPr>
                <w:rFonts w:ascii="Arial Narrow" w:hAnsi="Arial Narrow"/>
                <w:sz w:val="22"/>
                <w:szCs w:val="22"/>
              </w:rPr>
            </w:pPr>
            <w:r w:rsidRPr="00DA5DED">
              <w:rPr>
                <w:rFonts w:ascii="Arial Narrow" w:hAnsi="Arial Narrow"/>
                <w:sz w:val="22"/>
                <w:szCs w:val="22"/>
              </w:rPr>
              <w:t xml:space="preserve">b) štatút alebo zakladajúce dokumenty AIF; </w:t>
            </w:r>
          </w:p>
          <w:p w:rsidR="00DA5DED" w:rsidRPr="00DA5DED" w:rsidP="00DA5DED">
            <w:pPr>
              <w:bidi w:val="0"/>
              <w:adjustRightInd w:val="0"/>
              <w:spacing w:after="0" w:line="240" w:lineRule="auto"/>
              <w:rPr>
                <w:rFonts w:ascii="Arial Narrow" w:hAnsi="Arial Narrow"/>
                <w:sz w:val="22"/>
                <w:szCs w:val="22"/>
              </w:rPr>
            </w:pPr>
            <w:r w:rsidRPr="00DA5DED">
              <w:rPr>
                <w:rFonts w:ascii="Arial Narrow" w:hAnsi="Arial Narrow"/>
                <w:sz w:val="22"/>
                <w:szCs w:val="22"/>
              </w:rPr>
              <w:t xml:space="preserve">c) údaje o totožnosti depozitára AIF; </w:t>
            </w:r>
          </w:p>
          <w:p w:rsidR="00DA5DED" w:rsidRPr="00DA5DED" w:rsidP="00DA5DED">
            <w:pPr>
              <w:bidi w:val="0"/>
              <w:adjustRightInd w:val="0"/>
              <w:spacing w:after="0" w:line="240" w:lineRule="auto"/>
              <w:rPr>
                <w:rFonts w:ascii="Arial Narrow" w:hAnsi="Arial Narrow"/>
                <w:sz w:val="22"/>
                <w:szCs w:val="22"/>
              </w:rPr>
            </w:pPr>
            <w:r w:rsidRPr="00DA5DED">
              <w:rPr>
                <w:rFonts w:ascii="Arial Narrow" w:hAnsi="Arial Narrow"/>
                <w:sz w:val="22"/>
                <w:szCs w:val="22"/>
              </w:rPr>
              <w:t xml:space="preserve">d) opis AIF alebo akékoľvek informácie o AIF dostupné pre investorov; </w:t>
            </w:r>
          </w:p>
          <w:p w:rsidR="00DA5DED" w:rsidRPr="00DA5DED" w:rsidP="00DA5DED">
            <w:pPr>
              <w:bidi w:val="0"/>
              <w:adjustRightInd w:val="0"/>
              <w:spacing w:after="0" w:line="240" w:lineRule="auto"/>
              <w:rPr>
                <w:rFonts w:ascii="Arial Narrow" w:hAnsi="Arial Narrow"/>
                <w:sz w:val="22"/>
                <w:szCs w:val="22"/>
              </w:rPr>
            </w:pPr>
            <w:r w:rsidRPr="00DA5DED">
              <w:rPr>
                <w:rFonts w:ascii="Arial Narrow" w:hAnsi="Arial Narrow"/>
                <w:sz w:val="22"/>
                <w:szCs w:val="22"/>
              </w:rPr>
              <w:t xml:space="preserve">e) informácie o mieste, kde je usadený hlavný AIF, ak je tento AIF zberným AIF; </w:t>
            </w:r>
          </w:p>
          <w:p w:rsidR="00DA5DED" w:rsidRPr="00DA5DED" w:rsidP="00DA5DED">
            <w:pPr>
              <w:bidi w:val="0"/>
              <w:adjustRightInd w:val="0"/>
              <w:spacing w:after="0" w:line="240" w:lineRule="auto"/>
              <w:rPr>
                <w:rFonts w:ascii="Arial Narrow" w:hAnsi="Arial Narrow"/>
                <w:sz w:val="22"/>
                <w:szCs w:val="22"/>
              </w:rPr>
            </w:pPr>
            <w:r w:rsidRPr="00DA5DED">
              <w:rPr>
                <w:rFonts w:ascii="Arial Narrow" w:hAnsi="Arial Narrow"/>
                <w:sz w:val="22"/>
                <w:szCs w:val="22"/>
              </w:rPr>
              <w:t xml:space="preserve">f) akékoľvek ďalšie informácie uvedené v článku 23 ods. 1 o každom AIF, ktorý má správca AIF v úmysle uvádzať na trh; </w:t>
            </w:r>
          </w:p>
          <w:p w:rsidR="00DA5DED" w:rsidRPr="00DA5DED" w:rsidP="00DA5DED">
            <w:pPr>
              <w:bidi w:val="0"/>
              <w:adjustRightInd w:val="0"/>
              <w:spacing w:after="0" w:line="240" w:lineRule="auto"/>
              <w:rPr>
                <w:rFonts w:ascii="Arial Narrow" w:hAnsi="Arial Narrow"/>
                <w:sz w:val="22"/>
                <w:szCs w:val="22"/>
              </w:rPr>
            </w:pPr>
            <w:r w:rsidRPr="00DA5DED">
              <w:rPr>
                <w:rFonts w:ascii="Arial Narrow" w:hAnsi="Arial Narrow"/>
                <w:sz w:val="22"/>
                <w:szCs w:val="22"/>
              </w:rPr>
              <w:t xml:space="preserve">g) uvedenie členského štátu, v ktorom má v úmysle uvádzať na trh podielové listy alebo akcie AIF pre profesionálnych investorov; </w:t>
            </w:r>
          </w:p>
          <w:p w:rsidR="002E1D16" w:rsidRPr="00DA5DED" w:rsidP="00DA5DED">
            <w:pPr>
              <w:bidi w:val="0"/>
              <w:adjustRightInd w:val="0"/>
              <w:spacing w:after="0" w:line="240" w:lineRule="auto"/>
              <w:rPr>
                <w:rFonts w:ascii="Arial Narrow" w:hAnsi="Arial Narrow"/>
                <w:sz w:val="22"/>
                <w:szCs w:val="22"/>
              </w:rPr>
            </w:pPr>
            <w:r w:rsidRPr="00DA5DED" w:rsidR="00DA5DED">
              <w:rPr>
                <w:rFonts w:ascii="Arial Narrow" w:hAnsi="Arial Narrow"/>
                <w:sz w:val="22"/>
                <w:szCs w:val="22"/>
              </w:rPr>
              <w:t>h) informácie o mechanizmoch uvádzania AIF na trh a prípadne informácie o mechanizmoch vytvorených s cieľom zabrániť tomu, aby sa podielové listy alebo akcie tohto AIF uvádzali na trh pre retailových investorov vrátane prípadu, keď správca AIF v súvislosti s týmto AIF využíva pri poskytovaní investičných služieb činnosti nezávislých subjektov.</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A9063F" w:rsidRPr="00DA5DED">
            <w:pPr>
              <w:bidi w:val="0"/>
              <w:spacing w:after="0" w:line="240" w:lineRule="auto"/>
              <w:jc w:val="center"/>
              <w:rPr>
                <w:rFonts w:ascii="Arial Narrow" w:hAnsi="Arial Narrow"/>
                <w:sz w:val="22"/>
                <w:szCs w:val="22"/>
              </w:rPr>
            </w:pPr>
            <w:r w:rsidR="00DE2619">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A9063F" w:rsidRPr="00DA5DED">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DA5DED">
            <w:pPr>
              <w:pStyle w:val="Normlny"/>
              <w:bidi w:val="0"/>
              <w:spacing w:after="0" w:line="240" w:lineRule="auto"/>
              <w:jc w:val="center"/>
              <w:rPr>
                <w:rFonts w:ascii="Arial Narrow" w:hAnsi="Arial Narrow"/>
                <w:sz w:val="22"/>
                <w:szCs w:val="22"/>
              </w:rPr>
            </w:pPr>
            <w:r w:rsidR="00DE2619">
              <w:rPr>
                <w:rFonts w:ascii="Arial Narrow" w:hAnsi="Arial Narrow"/>
                <w:sz w:val="22"/>
                <w:szCs w:val="22"/>
              </w:rPr>
              <w:t>§ 150c ods.1</w:t>
            </w:r>
          </w:p>
        </w:tc>
        <w:tc>
          <w:tcPr>
            <w:tcW w:w="6379" w:type="dxa"/>
            <w:tcBorders>
              <w:top w:val="single" w:sz="4" w:space="0" w:color="auto"/>
              <w:left w:val="single" w:sz="4" w:space="0" w:color="auto"/>
              <w:bottom w:val="single" w:sz="4" w:space="0" w:color="auto"/>
              <w:right w:val="single" w:sz="4" w:space="0" w:color="auto"/>
            </w:tcBorders>
            <w:textDirection w:val="lrTb"/>
            <w:vAlign w:val="top"/>
          </w:tcPr>
          <w:p w:rsidR="00DE2619" w:rsidRPr="00DE2619" w:rsidP="00DE2619">
            <w:pPr>
              <w:autoSpaceDE/>
              <w:autoSpaceDN/>
              <w:bidi w:val="0"/>
              <w:spacing w:after="0" w:line="240" w:lineRule="auto"/>
              <w:jc w:val="both"/>
              <w:rPr>
                <w:rFonts w:ascii="Arial Narrow" w:hAnsi="Arial Narrow"/>
                <w:b/>
                <w:sz w:val="22"/>
                <w:szCs w:val="22"/>
              </w:rPr>
            </w:pPr>
            <w:r w:rsidRPr="00DE2619">
              <w:rPr>
                <w:rFonts w:ascii="Arial Narrow" w:hAnsi="Arial Narrow"/>
                <w:b/>
                <w:sz w:val="22"/>
                <w:szCs w:val="22"/>
              </w:rPr>
              <w:t xml:space="preserve">Správcovská spoločnosť s povolením podľa § 28a, ktorá sa rozhodla distribuovať ňou spravovaný alternatívny investičný fond alebo európsky alternatívny investičný fond na území iného členského štátu, je povinná pred začatím tejto činnosti oznámiť svoj zámer Národnej banke Slovenska, pričom v oznámení sa uvedú informácie a dokumenty podľa § 150b ods. 1 písm. a) až f) a </w:t>
            </w:r>
            <w:r w:rsidRPr="00DE2619">
              <w:rPr>
                <w:rFonts w:ascii="Arial Narrow" w:hAnsi="Arial Narrow"/>
                <w:b/>
                <w:color w:val="000000"/>
                <w:sz w:val="22"/>
                <w:szCs w:val="22"/>
              </w:rPr>
              <w:t xml:space="preserve">informácie o spôsoboch distribúcie alternatívneho investičného fondu alebo európskeho alternatívneho investičného fondu a ak ide o alternatívny investičný fond alebo </w:t>
            </w:r>
            <w:r w:rsidRPr="00DE2619">
              <w:rPr>
                <w:rFonts w:ascii="Arial Narrow" w:hAnsi="Arial Narrow"/>
                <w:b/>
                <w:sz w:val="22"/>
                <w:szCs w:val="22"/>
              </w:rPr>
              <w:t xml:space="preserve">európsky alternatívny investičný fond, ktorého cenné papiere alebo majetkové účasti nie je možné v hostiteľskom členskom štáte správcovskej spoločnosti distribuovať neprofesionálnym investorom, </w:t>
            </w:r>
            <w:r w:rsidRPr="00DE2619">
              <w:rPr>
                <w:rFonts w:ascii="Arial Narrow" w:hAnsi="Arial Narrow"/>
                <w:b/>
                <w:color w:val="000000"/>
                <w:sz w:val="22"/>
                <w:szCs w:val="22"/>
              </w:rPr>
              <w:t xml:space="preserve">informácie o mechanizmoch vytvorených s cieľom zabrániť, aby boli cenné papiere alebo majetkové účasti tohto fondu distribuované  </w:t>
            </w:r>
            <w:r w:rsidRPr="00DE2619">
              <w:rPr>
                <w:rFonts w:ascii="Arial Narrow" w:hAnsi="Arial Narrow"/>
                <w:b/>
                <w:sz w:val="22"/>
                <w:szCs w:val="22"/>
              </w:rPr>
              <w:t>neprofesionálnym</w:t>
            </w:r>
            <w:r w:rsidRPr="00DE2619">
              <w:rPr>
                <w:rFonts w:ascii="Arial Narrow" w:hAnsi="Arial Narrow"/>
                <w:b/>
                <w:color w:val="000000"/>
                <w:sz w:val="22"/>
                <w:szCs w:val="22"/>
              </w:rPr>
              <w:t xml:space="preserve"> investorom v príslušnom členskom štáte; to platí aj, ak správcovská spoločnosť v súvislosti s týmto fondom využíva pri distribúcii alebo poskytovaní investičných služieb iné osoby.</w:t>
            </w:r>
          </w:p>
          <w:p w:rsidR="00A9063F" w:rsidRPr="00DA5DED">
            <w:pPr>
              <w:pStyle w:val="Normlny"/>
              <w:bidi w:val="0"/>
              <w:spacing w:after="0" w:line="240" w:lineRule="auto"/>
              <w:jc w:val="both"/>
              <w:rPr>
                <w:rFonts w:ascii="Arial Narrow" w:hAnsi="Arial Narrow"/>
                <w:sz w:val="22"/>
                <w:szCs w:val="22"/>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9063F" w:rsidRPr="00DA5DED">
            <w:pPr>
              <w:bidi w:val="0"/>
              <w:spacing w:after="0" w:line="240" w:lineRule="auto"/>
              <w:jc w:val="center"/>
              <w:rPr>
                <w:rFonts w:ascii="Arial Narrow" w:hAnsi="Arial Narrow"/>
                <w:sz w:val="22"/>
                <w:szCs w:val="22"/>
              </w:rPr>
            </w:pPr>
            <w:r w:rsidR="00DE2619">
              <w:rPr>
                <w:rFonts w:ascii="Arial Narrow" w:hAnsi="Arial Narrow"/>
                <w:sz w:val="22"/>
                <w:szCs w:val="22"/>
              </w:rPr>
              <w:t>Ú</w:t>
            </w:r>
          </w:p>
        </w:tc>
        <w:tc>
          <w:tcPr>
            <w:tcW w:w="634" w:type="dxa"/>
            <w:tcBorders>
              <w:top w:val="single" w:sz="4" w:space="0" w:color="auto"/>
              <w:left w:val="single" w:sz="4" w:space="0" w:color="auto"/>
              <w:bottom w:val="single" w:sz="4" w:space="0" w:color="auto"/>
              <w:right w:val="single" w:sz="12" w:space="0" w:color="auto"/>
            </w:tcBorders>
            <w:textDirection w:val="lrTb"/>
            <w:vAlign w:val="top"/>
          </w:tcPr>
          <w:p w:rsidR="00A9063F" w:rsidRPr="00DA5DED">
            <w:pPr>
              <w:pStyle w:val="Heading1"/>
              <w:bidi w:val="0"/>
              <w:spacing w:after="0" w:line="240" w:lineRule="auto"/>
              <w:rPr>
                <w:rFonts w:ascii="Arial Narrow" w:hAnsi="Arial Narrow"/>
                <w:b w:val="0"/>
                <w:bCs w:val="0"/>
                <w:sz w:val="22"/>
                <w:szCs w:val="22"/>
              </w:rPr>
            </w:pPr>
          </w:p>
        </w:tc>
      </w:tr>
    </w:tbl>
    <w:p w:rsidR="008C54C3" w:rsidRPr="00DA5DED">
      <w:pPr>
        <w:autoSpaceDE/>
        <w:autoSpaceDN/>
        <w:bidi w:val="0"/>
        <w:ind w:left="360"/>
        <w:rPr>
          <w:rFonts w:ascii="Arial Narrow" w:hAnsi="Arial Narrow"/>
          <w:sz w:val="22"/>
          <w:szCs w:val="22"/>
        </w:rPr>
      </w:pPr>
    </w:p>
    <w:p w:rsidR="008C54C3" w:rsidRPr="00DA5DED">
      <w:pPr>
        <w:pStyle w:val="Header"/>
        <w:tabs>
          <w:tab w:val="clear" w:pos="4536"/>
          <w:tab w:val="clear" w:pos="9072"/>
        </w:tabs>
        <w:autoSpaceDE/>
        <w:autoSpaceDN/>
        <w:bidi w:val="0"/>
        <w:rPr>
          <w:rFonts w:ascii="Arial Narrow" w:hAnsi="Arial Narrow"/>
          <w:sz w:val="22"/>
          <w:szCs w:val="22"/>
        </w:rPr>
      </w:pPr>
    </w:p>
    <w:sectPr>
      <w:footerReference w:type="default" r:id="rId5"/>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Narrow">
    <w:altName w:val="Century Gothic"/>
    <w:panose1 w:val="020B0606020202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5D">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547DE2">
      <w:rPr>
        <w:rStyle w:val="PageNumber"/>
        <w:rFonts w:ascii="Times New Roman" w:hAnsi="Times New Roman"/>
        <w:noProof/>
      </w:rPr>
      <w:t>1</w:t>
    </w:r>
    <w:r>
      <w:rPr>
        <w:rStyle w:val="PageNumber"/>
        <w:rFonts w:ascii="Times New Roman" w:hAnsi="Times New Roman"/>
      </w:rPr>
      <w:fldChar w:fldCharType="end"/>
    </w:r>
  </w:p>
  <w:p w:rsidR="00CB2E5D">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4">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5">
    <w:nsid w:val="274C3FEB"/>
    <w:multiLevelType w:val="hybridMultilevel"/>
    <w:tmpl w:val="469424C6"/>
    <w:lvl w:ilvl="0">
      <w:start w:val="1"/>
      <w:numFmt w:val="lowerLetter"/>
      <w:lvlText w:val="%1)"/>
      <w:lvlJc w:val="left"/>
      <w:pPr>
        <w:ind w:left="1065" w:hanging="360"/>
      </w:pPr>
      <w:rPr>
        <w:rFonts w:cs="Times New Roman" w:hint="default"/>
        <w:i w:val="0"/>
        <w:iCs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6">
    <w:nsid w:val="322C6E92"/>
    <w:multiLevelType w:val="hybridMultilevel"/>
    <w:tmpl w:val="058651E2"/>
    <w:lvl w:ilvl="0">
      <w:start w:val="1"/>
      <w:numFmt w:val="decimal"/>
      <w:lvlText w:val="(%1)"/>
      <w:lvlJc w:val="left"/>
      <w:pPr>
        <w:ind w:left="1953" w:hanging="1245"/>
      </w:pPr>
      <w:rPr>
        <w:rFonts w:cs="Times New Roman" w:hint="default"/>
        <w:i w:val="0"/>
        <w:iCs w:val="0"/>
        <w:rtl w:val="0"/>
        <w:cs w:val="0"/>
      </w:rPr>
    </w:lvl>
    <w:lvl w:ilvl="1">
      <w:start w:val="1"/>
      <w:numFmt w:val="lowerLetter"/>
      <w:lvlText w:val="%2)"/>
      <w:lvlJc w:val="left"/>
      <w:pPr>
        <w:ind w:left="1788" w:hanging="360"/>
      </w:pPr>
      <w:rPr>
        <w:rFonts w:cs="Times New Roman" w:hint="default"/>
        <w:i w:val="0"/>
        <w:iCs w:val="0"/>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7">
    <w:nsid w:val="36C561F7"/>
    <w:multiLevelType w:val="hybridMultilevel"/>
    <w:tmpl w:val="FC9E00B2"/>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8">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10">
    <w:nsid w:val="48216874"/>
    <w:multiLevelType w:val="hybridMultilevel"/>
    <w:tmpl w:val="15B66B80"/>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4B4E3C4D"/>
    <w:multiLevelType w:val="hybridMultilevel"/>
    <w:tmpl w:val="3222ABB4"/>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4475627"/>
    <w:multiLevelType w:val="hybridMultilevel"/>
    <w:tmpl w:val="329ACB4C"/>
    <w:lvl w:ilvl="0">
      <w:start w:val="1"/>
      <w:numFmt w:val="decimal"/>
      <w:lvlText w:val="(%1)"/>
      <w:lvlJc w:val="left"/>
      <w:pPr>
        <w:ind w:left="1830" w:hanging="1110"/>
      </w:pPr>
      <w:rPr>
        <w:rFonts w:cs="Times New Roman" w:hint="default"/>
        <w:i w:val="0"/>
        <w:iCs w:val="0"/>
        <w:vertAlign w:val="baseline"/>
        <w:rtl w:val="0"/>
        <w:cs w:val="0"/>
      </w:rPr>
    </w:lvl>
    <w:lvl w:ilvl="1">
      <w:start w:val="1"/>
      <w:numFmt w:val="lowerLetter"/>
      <w:lvlText w:val="%2)"/>
      <w:lvlJc w:val="left"/>
      <w:pPr>
        <w:ind w:left="1800" w:hanging="360"/>
      </w:pPr>
      <w:rPr>
        <w:rFonts w:cs="Times New Roman" w:hint="default"/>
        <w:i w:val="0"/>
        <w:iCs w:val="0"/>
        <w:vertAlign w:val="baseline"/>
        <w:rtl w:val="0"/>
        <w:cs w:val="0"/>
      </w:rPr>
    </w:lvl>
    <w:lvl w:ilvl="2">
      <w:start w:val="1"/>
      <w:numFmt w:val="decimal"/>
      <w:lvlText w:val="%3."/>
      <w:lvlJc w:val="left"/>
      <w:pPr>
        <w:ind w:left="1211" w:hanging="360"/>
      </w:pPr>
      <w:rPr>
        <w:rFonts w:cs="Times New Roman" w:hint="default"/>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6">
    <w:nsid w:val="65D023F9"/>
    <w:multiLevelType w:val="hybridMultilevel"/>
    <w:tmpl w:val="B380D704"/>
    <w:lvl w:ilvl="0">
      <w:start w:val="1"/>
      <w:numFmt w:val="lowerLetter"/>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num w:numId="1">
    <w:abstractNumId w:val="3"/>
  </w:num>
  <w:num w:numId="2">
    <w:abstractNumId w:val="3"/>
    <w:lvlOverride w:ilvl="0">
      <w:startOverride w:val="3"/>
    </w:lvlOverride>
  </w:num>
  <w:num w:numId="3">
    <w:abstractNumId w:val="9"/>
  </w:num>
  <w:num w:numId="4">
    <w:abstractNumId w:val="9"/>
    <w:lvlOverride w:ilvl="0">
      <w:startOverride w:val="2"/>
    </w:lvlOverride>
  </w:num>
  <w:num w:numId="5">
    <w:abstractNumId w:val="4"/>
  </w:num>
  <w:num w:numId="6">
    <w:abstractNumId w:val="4"/>
    <w:lvlOverride w:ilvl="0">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14"/>
  </w:num>
  <w:num w:numId="12">
    <w:abstractNumId w:val="2"/>
  </w:num>
  <w:num w:numId="13">
    <w:abstractNumId w:val="13"/>
  </w:num>
  <w:num w:numId="14">
    <w:abstractNumId w:val="1"/>
  </w:num>
  <w:num w:numId="15">
    <w:abstractNumId w:val="12"/>
  </w:num>
  <w:num w:numId="16">
    <w:abstractNumId w:val="15"/>
  </w:num>
  <w:num w:numId="17">
    <w:abstractNumId w:val="5"/>
  </w:num>
  <w:num w:numId="18">
    <w:abstractNumId w:val="10"/>
  </w:num>
  <w:num w:numId="19">
    <w:abstractNumId w:val="16"/>
  </w:num>
  <w:num w:numId="20">
    <w:abstractNumId w:val="6"/>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C2E53"/>
    <w:rsid w:val="000C5202"/>
    <w:rsid w:val="00127033"/>
    <w:rsid w:val="00153B33"/>
    <w:rsid w:val="00217BF4"/>
    <w:rsid w:val="00270E65"/>
    <w:rsid w:val="002C5870"/>
    <w:rsid w:val="002D235D"/>
    <w:rsid w:val="002E1D16"/>
    <w:rsid w:val="00387342"/>
    <w:rsid w:val="00391DC5"/>
    <w:rsid w:val="003A74AE"/>
    <w:rsid w:val="003E7B78"/>
    <w:rsid w:val="00424270"/>
    <w:rsid w:val="00427190"/>
    <w:rsid w:val="00440A2A"/>
    <w:rsid w:val="004519E5"/>
    <w:rsid w:val="004577EC"/>
    <w:rsid w:val="004760F7"/>
    <w:rsid w:val="005170A9"/>
    <w:rsid w:val="00547DE2"/>
    <w:rsid w:val="005947B8"/>
    <w:rsid w:val="005E147F"/>
    <w:rsid w:val="006130DA"/>
    <w:rsid w:val="0064397E"/>
    <w:rsid w:val="00683A6B"/>
    <w:rsid w:val="006E689D"/>
    <w:rsid w:val="007537CE"/>
    <w:rsid w:val="0078287E"/>
    <w:rsid w:val="007948F8"/>
    <w:rsid w:val="00846112"/>
    <w:rsid w:val="008A5161"/>
    <w:rsid w:val="008C54C3"/>
    <w:rsid w:val="0091636B"/>
    <w:rsid w:val="009612CE"/>
    <w:rsid w:val="009826E3"/>
    <w:rsid w:val="00A9063F"/>
    <w:rsid w:val="00A91B17"/>
    <w:rsid w:val="00AB6737"/>
    <w:rsid w:val="00B351C9"/>
    <w:rsid w:val="00B64B09"/>
    <w:rsid w:val="00C139A5"/>
    <w:rsid w:val="00C21CEF"/>
    <w:rsid w:val="00C34EF5"/>
    <w:rsid w:val="00CB2E5D"/>
    <w:rsid w:val="00D22A7B"/>
    <w:rsid w:val="00DA0F6C"/>
    <w:rsid w:val="00DA5DED"/>
    <w:rsid w:val="00DE0F85"/>
    <w:rsid w:val="00DE2619"/>
    <w:rsid w:val="00EE7DD6"/>
    <w:rsid w:val="00F047A8"/>
    <w:rsid w:val="00F4080C"/>
    <w:rsid w:val="00F74FC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Default">
    <w:name w:val="Default"/>
    <w:rsid w:val="00CB2E5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CB2E5D"/>
    <w:pPr>
      <w:jc w:val="left"/>
    </w:pPr>
    <w:rPr>
      <w:rFonts w:cs="Times New Roman"/>
      <w:color w:val="auto"/>
    </w:rPr>
  </w:style>
  <w:style w:type="paragraph" w:customStyle="1" w:styleId="Zkladntext">
    <w:name w:val="Základní text"/>
    <w:aliases w:val="Základný text Char Char"/>
    <w:rsid w:val="00EE7DD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CharChar">
    <w:name w:val="Char Char"/>
    <w:basedOn w:val="Normal"/>
    <w:uiPriority w:val="99"/>
    <w:rsid w:val="0078287E"/>
    <w:pPr>
      <w:autoSpaceDE/>
      <w:autoSpaceDN/>
      <w:spacing w:after="160" w:line="240" w:lineRule="exact"/>
      <w:jc w:val="left"/>
    </w:pPr>
    <w:rPr>
      <w:rFonts w:ascii="Tahoma" w:hAnsi="Tahoma" w:cs="Tahoma"/>
      <w:sz w:val="20"/>
      <w:szCs w:val="20"/>
      <w:lang w:val="en-US" w:eastAsia="en-US"/>
    </w:rPr>
  </w:style>
  <w:style w:type="paragraph" w:customStyle="1" w:styleId="CM1">
    <w:name w:val="CM1"/>
    <w:basedOn w:val="Default"/>
    <w:next w:val="Default"/>
    <w:uiPriority w:val="99"/>
    <w:rsid w:val="002E1D16"/>
    <w:pPr>
      <w:jc w:val="left"/>
    </w:pPr>
    <w:rPr>
      <w:rFonts w:cs="Times New Roman"/>
      <w:color w:val="auto"/>
    </w:rPr>
  </w:style>
  <w:style w:type="paragraph" w:customStyle="1" w:styleId="CM3">
    <w:name w:val="CM3"/>
    <w:basedOn w:val="Default"/>
    <w:next w:val="Default"/>
    <w:uiPriority w:val="99"/>
    <w:rsid w:val="002E1D16"/>
    <w:pPr>
      <w:jc w:val="left"/>
    </w:pPr>
    <w:rPr>
      <w:rFonts w:cs="Times New Roman"/>
      <w:color w:val="auto"/>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DF1E7-35C0-4BE9-A6EA-627483A89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8</Pages>
  <Words>4298</Words>
  <Characters>24500</Characters>
  <Application>Microsoft Office Word</Application>
  <DocSecurity>0</DocSecurity>
  <Lines>0</Lines>
  <Paragraphs>0</Paragraphs>
  <ScaleCrop>false</ScaleCrop>
  <Company>ÚV SR</Company>
  <LinksUpToDate>false</LinksUpToDate>
  <CharactersWithSpaces>28741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Kassovic Jan</cp:lastModifiedBy>
  <cp:revision>2</cp:revision>
  <cp:lastPrinted>2006-12-14T15:09:00Z</cp:lastPrinted>
  <dcterms:created xsi:type="dcterms:W3CDTF">2013-03-28T07:20:00Z</dcterms:created>
  <dcterms:modified xsi:type="dcterms:W3CDTF">2013-03-28T07:20:00Z</dcterms:modified>
</cp:coreProperties>
</file>