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682"/>
        <w:gridCol w:w="938"/>
        <w:gridCol w:w="5299"/>
        <w:gridCol w:w="425"/>
        <w:gridCol w:w="709"/>
        <w:gridCol w:w="709"/>
        <w:gridCol w:w="6379"/>
        <w:gridCol w:w="425"/>
        <w:gridCol w:w="634"/>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DA5DED" w:rsidP="0078287E">
            <w:pPr>
              <w:pStyle w:val="Heading1"/>
              <w:bidi w:val="0"/>
              <w:spacing w:after="0" w:line="240" w:lineRule="auto"/>
              <w:rPr>
                <w:rFonts w:ascii="Arial Narrow" w:hAnsi="Arial Narrow"/>
                <w:sz w:val="22"/>
                <w:szCs w:val="22"/>
              </w:rPr>
            </w:pPr>
            <w:r w:rsidRPr="00DA5DED">
              <w:rPr>
                <w:rFonts w:ascii="Arial Narrow" w:hAnsi="Arial Narrow"/>
                <w:sz w:val="22"/>
                <w:szCs w:val="22"/>
              </w:rPr>
              <w:t>TABUĽKA  ZHODY</w:t>
            </w:r>
          </w:p>
          <w:p w:rsidR="00217BF4" w:rsidRPr="00DA5DED" w:rsidP="00217BF4">
            <w:pPr>
              <w:pStyle w:val="Zkladntext"/>
              <w:bidi w:val="0"/>
              <w:spacing w:after="0" w:line="240" w:lineRule="auto"/>
              <w:jc w:val="center"/>
              <w:rPr>
                <w:rFonts w:ascii="Arial Narrow" w:hAnsi="Arial Narrow"/>
                <w:b/>
                <w:sz w:val="22"/>
                <w:szCs w:val="22"/>
              </w:rPr>
            </w:pPr>
            <w:r w:rsidRPr="00DA5DED" w:rsidR="004577EC">
              <w:rPr>
                <w:rFonts w:ascii="Arial Narrow" w:hAnsi="Arial Narrow"/>
                <w:b/>
                <w:sz w:val="22"/>
                <w:szCs w:val="22"/>
              </w:rPr>
              <w:t>k </w:t>
            </w:r>
            <w:r w:rsidRPr="00DA5DED" w:rsidR="0078287E">
              <w:rPr>
                <w:rFonts w:ascii="Arial Narrow" w:hAnsi="Arial Narrow"/>
                <w:b/>
                <w:sz w:val="22"/>
                <w:szCs w:val="22"/>
              </w:rPr>
              <w:t>n</w:t>
            </w:r>
            <w:r w:rsidRPr="00DA5DED" w:rsidR="0091636B">
              <w:rPr>
                <w:rFonts w:ascii="Arial Narrow" w:hAnsi="Arial Narrow"/>
                <w:b/>
                <w:sz w:val="22"/>
                <w:szCs w:val="22"/>
              </w:rPr>
              <w:t>ávrh zákona</w:t>
            </w:r>
            <w:r w:rsidRPr="00DA5DED" w:rsidR="002E1D16">
              <w:rPr>
                <w:rFonts w:ascii="Arial Narrow" w:hAnsi="Arial Narrow"/>
                <w:b/>
                <w:sz w:val="22"/>
                <w:szCs w:val="22"/>
              </w:rPr>
              <w:t xml:space="preserve">, </w:t>
            </w:r>
            <w:r w:rsidRPr="007537CE" w:rsidR="006130DA">
              <w:rPr>
                <w:rFonts w:ascii="Arial Narrow" w:hAnsi="Arial Narrow"/>
                <w:b/>
                <w:sz w:val="22"/>
                <w:szCs w:val="22"/>
              </w:rPr>
              <w:t xml:space="preserve">ktorým sa mení a dopĺňa zákon č. 203/2011 Z. z. o kolektívnom investovaní v znení </w:t>
            </w:r>
            <w:r w:rsidRPr="007537CE" w:rsidR="006130DA">
              <w:rPr>
                <w:rFonts w:ascii="Arial Narrow" w:hAnsi="Arial Narrow"/>
                <w:b/>
                <w:bCs/>
                <w:sz w:val="22"/>
                <w:szCs w:val="22"/>
              </w:rPr>
              <w:t>zákona č. 547/2011 Z. z. a ktorým sa mení a dopĺňa zákon č. 566/2001 Z. z. o cenných papieroch a investičných službách a o zmene a doplnení niektorých zákonov (zákon o cenných papieroch) v znení neskorších predpisov</w:t>
            </w:r>
          </w:p>
          <w:p w:rsidR="008C54C3" w:rsidRPr="00DA5DED" w:rsidP="00217BF4">
            <w:pPr>
              <w:pStyle w:val="Zkladntext"/>
              <w:bidi w:val="0"/>
              <w:spacing w:after="0" w:line="240" w:lineRule="auto"/>
              <w:jc w:val="center"/>
              <w:rPr>
                <w:rFonts w:ascii="Arial Narrow" w:hAnsi="Arial Narrow"/>
                <w:b/>
                <w:bCs/>
                <w:sz w:val="22"/>
                <w:szCs w:val="22"/>
              </w:rPr>
            </w:pPr>
            <w:r w:rsidRPr="00DA5DED" w:rsidR="00217BF4">
              <w:rPr>
                <w:rFonts w:ascii="Arial Narrow" w:hAnsi="Arial Narrow"/>
                <w:b/>
                <w:sz w:val="22"/>
                <w:szCs w:val="22"/>
              </w:rPr>
              <w:t xml:space="preserve"> </w:t>
            </w:r>
            <w:r w:rsidRPr="00DA5DED" w:rsidR="00127033">
              <w:rPr>
                <w:rFonts w:ascii="Arial Narrow" w:hAnsi="Arial Narrow"/>
                <w:b/>
                <w:sz w:val="22"/>
                <w:szCs w:val="22"/>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DA5DED">
            <w:pPr>
              <w:pStyle w:val="Heading4"/>
              <w:bidi w:val="0"/>
              <w:spacing w:after="0" w:line="240" w:lineRule="auto"/>
              <w:jc w:val="both"/>
              <w:rPr>
                <w:rFonts w:ascii="Arial Narrow" w:hAnsi="Arial Narrow"/>
              </w:rPr>
            </w:pPr>
            <w:r w:rsidRPr="00DA5DED">
              <w:rPr>
                <w:rFonts w:ascii="Arial Narrow" w:hAnsi="Arial Narrow"/>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DA5DED" w:rsidP="00217BF4">
            <w:pPr>
              <w:pStyle w:val="Default"/>
              <w:bidi w:val="0"/>
              <w:spacing w:after="0" w:line="240" w:lineRule="auto"/>
              <w:rPr>
                <w:rFonts w:ascii="Arial Narrow" w:hAnsi="Arial Narrow" w:cs="Times New Roman"/>
                <w:b/>
                <w:bCs/>
                <w:sz w:val="22"/>
                <w:szCs w:val="22"/>
              </w:rPr>
            </w:pPr>
            <w:r w:rsidRPr="00DA5DED" w:rsidR="00F74FCF">
              <w:rPr>
                <w:rFonts w:ascii="Arial Narrow" w:hAnsi="Arial Narrow" w:cs="Times New Roman"/>
                <w:b/>
                <w:bCs/>
                <w:sz w:val="22"/>
                <w:szCs w:val="22"/>
              </w:rPr>
              <w:t xml:space="preserve">Smernica Európskeho parlamentu a Rady </w:t>
            </w:r>
            <w:r w:rsidRPr="00DA5DED" w:rsidR="00F74FCF">
              <w:rPr>
                <w:rFonts w:ascii="Arial Narrow" w:hAnsi="Arial Narrow" w:cs="Times New Roman"/>
                <w:b/>
                <w:bCs/>
                <w:sz w:val="22"/>
                <w:szCs w:val="22"/>
                <w:u w:val="single"/>
              </w:rPr>
              <w:t>2011/61/EÚ</w:t>
            </w:r>
            <w:r w:rsidRPr="00DA5DED" w:rsidR="00F74FCF">
              <w:rPr>
                <w:rFonts w:ascii="Arial Narrow" w:hAnsi="Arial Narrow" w:cs="Times New Roman"/>
                <w:b/>
                <w:bCs/>
                <w:sz w:val="22"/>
                <w:szCs w:val="22"/>
              </w:rPr>
              <w:t xml:space="preserve"> z 8. júna 2011 o správcoch alternatívnych investičných fondov a o zmene a doplnení smerníc 2003/41/ES a 2009/65/ES a nariadení (ES) č. 1060/2009 a (EÚ) č. 1095/2010</w:t>
            </w:r>
          </w:p>
        </w:tc>
      </w:tr>
      <w:tr>
        <w:tblPrEx>
          <w:tblW w:w="16200" w:type="dxa"/>
          <w:tblInd w:w="-497" w:type="dxa"/>
          <w:tblLayout w:type="fixed"/>
          <w:tblCellMar>
            <w:left w:w="43" w:type="dxa"/>
            <w:right w:w="43" w:type="dxa"/>
          </w:tblCellMar>
        </w:tblPrEx>
        <w:trPr>
          <w:trHeight w:val="567"/>
        </w:trPr>
        <w:tc>
          <w:tcPr>
            <w:tcW w:w="7344"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DA5DED">
            <w:pPr>
              <w:pStyle w:val="Heading4"/>
              <w:bidi w:val="0"/>
              <w:spacing w:before="120" w:after="0" w:line="240" w:lineRule="auto"/>
              <w:rPr>
                <w:rFonts w:ascii="Arial Narrow" w:hAnsi="Arial Narrow"/>
              </w:rPr>
            </w:pPr>
            <w:r w:rsidRPr="00DA5DED" w:rsidR="00DE0F85">
              <w:rPr>
                <w:rFonts w:ascii="Arial Narrow" w:hAnsi="Arial Narrow"/>
              </w:rPr>
              <w:t>Smernica EÚ</w:t>
            </w:r>
          </w:p>
          <w:p w:rsidR="00EE7DD6" w:rsidRPr="00DA5DED" w:rsidP="00217BF4">
            <w:pPr>
              <w:pStyle w:val="BodyText3"/>
              <w:bidi w:val="0"/>
              <w:spacing w:after="0" w:line="240" w:lineRule="exact"/>
              <w:rPr>
                <w:rFonts w:ascii="Arial Narrow" w:hAnsi="Arial Narrow"/>
                <w:sz w:val="22"/>
                <w:szCs w:val="22"/>
              </w:rPr>
            </w:pPr>
            <w:r w:rsidRPr="00DA5DED" w:rsidR="002C5870">
              <w:rPr>
                <w:rFonts w:ascii="Arial Narrow" w:hAnsi="Arial Narrow"/>
                <w:b/>
                <w:bCs/>
                <w:sz w:val="22"/>
                <w:szCs w:val="22"/>
              </w:rPr>
              <w:t xml:space="preserve">Smernica Európskeho parlamentu a Rady </w:t>
            </w:r>
            <w:r w:rsidRPr="00DA5DED" w:rsidR="002C5870">
              <w:rPr>
                <w:rFonts w:ascii="Arial Narrow" w:hAnsi="Arial Narrow"/>
                <w:b/>
                <w:bCs/>
                <w:sz w:val="22"/>
                <w:szCs w:val="22"/>
                <w:u w:val="single"/>
              </w:rPr>
              <w:t>2011/61/EÚ</w:t>
            </w:r>
            <w:r w:rsidRPr="00DA5DED" w:rsidR="002C5870">
              <w:rPr>
                <w:rFonts w:ascii="Arial Narrow" w:hAnsi="Arial Narrow"/>
                <w:b/>
                <w:bCs/>
                <w:sz w:val="22"/>
                <w:szCs w:val="22"/>
              </w:rPr>
              <w:t xml:space="preserve"> z 8. júna 2011 o správcoch alternatívnych investičných fondov a o zmene a doplnení smerníc 2003/41/ES a 2009/65/ES a nariadení (ES) č. 1060/2009 a (EÚ) č. 1095/2010</w:t>
            </w:r>
          </w:p>
        </w:tc>
        <w:tc>
          <w:tcPr>
            <w:tcW w:w="8856" w:type="dxa"/>
            <w:gridSpan w:val="5"/>
            <w:tcBorders>
              <w:top w:val="single" w:sz="4" w:space="0" w:color="auto"/>
              <w:left w:val="nil"/>
              <w:bottom w:val="single" w:sz="4" w:space="0" w:color="auto"/>
              <w:right w:val="single" w:sz="12" w:space="0" w:color="auto"/>
            </w:tcBorders>
            <w:textDirection w:val="lrTb"/>
            <w:vAlign w:val="top"/>
          </w:tcPr>
          <w:p w:rsidR="008C54C3" w:rsidRPr="00DA5DED">
            <w:pPr>
              <w:pStyle w:val="Heading4"/>
              <w:bidi w:val="0"/>
              <w:spacing w:before="120" w:after="0" w:line="240" w:lineRule="auto"/>
              <w:rPr>
                <w:rFonts w:ascii="Arial Narrow" w:hAnsi="Arial Narrow"/>
              </w:rPr>
            </w:pPr>
            <w:r w:rsidRPr="00DA5DED">
              <w:rPr>
                <w:rFonts w:ascii="Arial Narrow" w:hAnsi="Arial Narrow"/>
              </w:rPr>
              <w:t>Všeobecne záväzné právne predpisy Slovenskej republiky</w:t>
            </w:r>
          </w:p>
          <w:p w:rsidR="002E1D16" w:rsidRPr="00DA5DED" w:rsidP="002E1D16">
            <w:pPr>
              <w:pStyle w:val="Zkladntext"/>
              <w:bidi w:val="0"/>
              <w:spacing w:after="0" w:line="240" w:lineRule="auto"/>
              <w:jc w:val="both"/>
              <w:rPr>
                <w:rFonts w:ascii="Arial Narrow" w:hAnsi="Arial Narrow"/>
                <w:sz w:val="22"/>
                <w:szCs w:val="22"/>
              </w:rPr>
            </w:pPr>
            <w:r w:rsidRPr="007537CE" w:rsidR="00846112">
              <w:rPr>
                <w:rFonts w:ascii="Arial Narrow" w:hAnsi="Arial Narrow"/>
                <w:b/>
                <w:sz w:val="22"/>
                <w:szCs w:val="22"/>
              </w:rPr>
              <w:t xml:space="preserve">Návrh zákona, ktorým sa mení a dopĺňa zákon č. 203/2011 Z. z. o kolektívnom investovaní v znení </w:t>
            </w:r>
            <w:r w:rsidRPr="007537CE" w:rsidR="00846112">
              <w:rPr>
                <w:rFonts w:ascii="Arial Narrow" w:hAnsi="Arial Narrow"/>
                <w:b/>
                <w:bCs/>
                <w:sz w:val="22"/>
                <w:szCs w:val="22"/>
              </w:rPr>
              <w:t>zákona č. 547/2011 Z. z. a ktorým sa mení a dopĺňa zákon č. 566/2001 Z. z. o cenných papieroch a investičných službách a o zmene a doplnení niektorých zákonov (zákon o cenných papieroch) v znení neskorších predpisov</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DA5DED">
            <w:pPr>
              <w:bidi w:val="0"/>
              <w:spacing w:after="0" w:line="240" w:lineRule="auto"/>
              <w:jc w:val="center"/>
              <w:rPr>
                <w:rFonts w:ascii="Arial Narrow" w:hAnsi="Arial Narrow"/>
                <w:sz w:val="22"/>
                <w:szCs w:val="22"/>
              </w:rPr>
            </w:pPr>
            <w:r w:rsidRPr="00DA5DED">
              <w:rPr>
                <w:rFonts w:ascii="Arial Narrow" w:hAnsi="Arial Narrow"/>
                <w:sz w:val="22"/>
                <w:szCs w:val="22"/>
              </w:rPr>
              <w:t>1</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DA5DED">
            <w:pPr>
              <w:bidi w:val="0"/>
              <w:spacing w:after="0" w:line="240" w:lineRule="auto"/>
              <w:jc w:val="center"/>
              <w:rPr>
                <w:rFonts w:ascii="Arial Narrow" w:hAnsi="Arial Narrow"/>
                <w:sz w:val="22"/>
                <w:szCs w:val="22"/>
              </w:rPr>
            </w:pPr>
            <w:r w:rsidRPr="00DA5DED">
              <w:rPr>
                <w:rFonts w:ascii="Arial Narrow" w:hAnsi="Arial Narrow"/>
                <w:sz w:val="22"/>
                <w:szCs w:val="22"/>
              </w:rPr>
              <w:t>2</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DA5DED">
            <w:pPr>
              <w:bidi w:val="0"/>
              <w:spacing w:after="0" w:line="240" w:lineRule="auto"/>
              <w:jc w:val="center"/>
              <w:rPr>
                <w:rFonts w:ascii="Arial Narrow" w:hAnsi="Arial Narrow"/>
                <w:sz w:val="22"/>
                <w:szCs w:val="22"/>
              </w:rPr>
            </w:pPr>
            <w:r w:rsidRPr="00DA5DED">
              <w:rPr>
                <w:rFonts w:ascii="Arial Narrow" w:hAnsi="Arial Narrow"/>
                <w:sz w:val="22"/>
                <w:szCs w:val="22"/>
              </w:rPr>
              <w:t>3</w:t>
            </w:r>
          </w:p>
        </w:tc>
        <w:tc>
          <w:tcPr>
            <w:tcW w:w="709" w:type="dxa"/>
            <w:tcBorders>
              <w:top w:val="single" w:sz="4" w:space="0" w:color="auto"/>
              <w:left w:val="nil"/>
              <w:bottom w:val="single" w:sz="4" w:space="0" w:color="auto"/>
              <w:right w:val="single" w:sz="4" w:space="0" w:color="auto"/>
            </w:tcBorders>
            <w:textDirection w:val="lrTb"/>
            <w:vAlign w:val="top"/>
          </w:tcPr>
          <w:p w:rsidR="00A9063F" w:rsidRPr="00DA5DED">
            <w:pPr>
              <w:bidi w:val="0"/>
              <w:spacing w:after="0" w:line="240" w:lineRule="auto"/>
              <w:jc w:val="center"/>
              <w:rPr>
                <w:rFonts w:ascii="Arial Narrow" w:hAnsi="Arial Narrow"/>
                <w:sz w:val="22"/>
                <w:szCs w:val="22"/>
              </w:rPr>
            </w:pPr>
            <w:r w:rsidRPr="00DA5DED">
              <w:rPr>
                <w:rFonts w:ascii="Arial Narrow" w:hAnsi="Arial Narrow"/>
                <w:sz w:val="22"/>
                <w:szCs w:val="22"/>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DA5DED">
            <w:pPr>
              <w:pStyle w:val="BodyText2"/>
              <w:bidi w:val="0"/>
              <w:spacing w:after="0" w:line="240" w:lineRule="exact"/>
              <w:rPr>
                <w:rFonts w:ascii="Arial Narrow" w:hAnsi="Arial Narrow"/>
                <w:sz w:val="22"/>
                <w:szCs w:val="22"/>
              </w:rPr>
            </w:pPr>
            <w:r w:rsidRPr="00DA5DED">
              <w:rPr>
                <w:rFonts w:ascii="Arial Narrow" w:hAnsi="Arial Narrow"/>
                <w:sz w:val="22"/>
                <w:szCs w:val="22"/>
              </w:rPr>
              <w:t>5</w:t>
            </w:r>
          </w:p>
        </w:tc>
        <w:tc>
          <w:tcPr>
            <w:tcW w:w="6379" w:type="dxa"/>
            <w:tcBorders>
              <w:top w:val="single" w:sz="4" w:space="0" w:color="auto"/>
              <w:left w:val="single" w:sz="4" w:space="0" w:color="auto"/>
              <w:bottom w:val="single" w:sz="4" w:space="0" w:color="auto"/>
              <w:right w:val="single" w:sz="4" w:space="0" w:color="auto"/>
            </w:tcBorders>
            <w:textDirection w:val="lrTb"/>
            <w:vAlign w:val="top"/>
          </w:tcPr>
          <w:p w:rsidR="00A9063F" w:rsidRPr="00DA5DED">
            <w:pPr>
              <w:pStyle w:val="BodyText2"/>
              <w:bidi w:val="0"/>
              <w:spacing w:after="0" w:line="240" w:lineRule="exact"/>
              <w:rPr>
                <w:rFonts w:ascii="Arial Narrow" w:hAnsi="Arial Narrow"/>
                <w:sz w:val="22"/>
                <w:szCs w:val="22"/>
              </w:rPr>
            </w:pPr>
            <w:r w:rsidRPr="00DA5DED">
              <w:rPr>
                <w:rFonts w:ascii="Arial Narrow" w:hAnsi="Arial Narrow"/>
                <w:sz w:val="22"/>
                <w:szCs w:val="22"/>
              </w:rPr>
              <w:t>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A5DED">
            <w:pPr>
              <w:bidi w:val="0"/>
              <w:spacing w:after="0" w:line="240" w:lineRule="auto"/>
              <w:jc w:val="center"/>
              <w:rPr>
                <w:rFonts w:ascii="Arial Narrow" w:hAnsi="Arial Narrow"/>
                <w:sz w:val="22"/>
                <w:szCs w:val="22"/>
              </w:rPr>
            </w:pPr>
            <w:r w:rsidRPr="00DA5DED">
              <w:rPr>
                <w:rFonts w:ascii="Arial Narrow" w:hAnsi="Arial Narrow"/>
                <w:sz w:val="22"/>
                <w:szCs w:val="22"/>
              </w:rPr>
              <w:t>7</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A9063F" w:rsidRPr="00DA5DED">
            <w:pPr>
              <w:bidi w:val="0"/>
              <w:spacing w:after="0" w:line="240" w:lineRule="auto"/>
              <w:jc w:val="center"/>
              <w:rPr>
                <w:rFonts w:ascii="Arial Narrow" w:hAnsi="Arial Narrow"/>
                <w:sz w:val="22"/>
                <w:szCs w:val="22"/>
              </w:rPr>
            </w:pPr>
            <w:r w:rsidRPr="00DA5DED" w:rsidR="005170A9">
              <w:rPr>
                <w:rFonts w:ascii="Arial Narrow" w:hAnsi="Arial Narrow"/>
                <w:sz w:val="22"/>
                <w:szCs w:val="22"/>
              </w:rPr>
              <w:t>8</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DA5DED">
            <w:pPr>
              <w:pStyle w:val="Normlny"/>
              <w:bidi w:val="0"/>
              <w:spacing w:after="0" w:line="240" w:lineRule="auto"/>
              <w:jc w:val="center"/>
              <w:rPr>
                <w:rFonts w:ascii="Arial Narrow" w:hAnsi="Arial Narrow"/>
                <w:sz w:val="22"/>
                <w:szCs w:val="22"/>
              </w:rPr>
            </w:pPr>
            <w:r w:rsidRPr="00DA5DED">
              <w:rPr>
                <w:rFonts w:ascii="Arial Narrow" w:hAnsi="Arial Narrow"/>
                <w:sz w:val="22"/>
                <w:szCs w:val="22"/>
              </w:rPr>
              <w:t>Článok</w:t>
            </w:r>
          </w:p>
          <w:p w:rsidR="00A9063F" w:rsidRPr="00DA5DED">
            <w:pPr>
              <w:pStyle w:val="Normlny"/>
              <w:bidi w:val="0"/>
              <w:spacing w:after="0" w:line="240" w:lineRule="auto"/>
              <w:jc w:val="center"/>
              <w:rPr>
                <w:rFonts w:ascii="Arial Narrow" w:hAnsi="Arial Narrow"/>
                <w:sz w:val="22"/>
                <w:szCs w:val="22"/>
              </w:rPr>
            </w:pPr>
            <w:r w:rsidRPr="00DA5DED">
              <w:rPr>
                <w:rFonts w:ascii="Arial Narrow" w:hAnsi="Arial Narrow"/>
                <w:sz w:val="22"/>
                <w:szCs w:val="22"/>
              </w:rPr>
              <w:t>(Č, O,</w:t>
            </w:r>
          </w:p>
          <w:p w:rsidR="00A9063F" w:rsidRPr="00DA5DED">
            <w:pPr>
              <w:pStyle w:val="Normlny"/>
              <w:bidi w:val="0"/>
              <w:spacing w:after="0" w:line="240" w:lineRule="auto"/>
              <w:jc w:val="center"/>
              <w:rPr>
                <w:rFonts w:ascii="Arial Narrow" w:hAnsi="Arial Narrow"/>
                <w:sz w:val="22"/>
                <w:szCs w:val="22"/>
              </w:rPr>
            </w:pPr>
            <w:r w:rsidRPr="00DA5DED">
              <w:rPr>
                <w:rFonts w:ascii="Arial Narrow" w:hAnsi="Arial Narrow"/>
                <w:sz w:val="22"/>
                <w:szCs w:val="22"/>
              </w:rPr>
              <w:t>V, P)</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DA5DED">
            <w:pPr>
              <w:pStyle w:val="Normlny"/>
              <w:bidi w:val="0"/>
              <w:spacing w:after="0" w:line="240" w:lineRule="auto"/>
              <w:jc w:val="center"/>
              <w:rPr>
                <w:rFonts w:ascii="Arial Narrow" w:hAnsi="Arial Narrow"/>
                <w:sz w:val="22"/>
                <w:szCs w:val="22"/>
              </w:rPr>
            </w:pPr>
            <w:r w:rsidRPr="00DA5DED">
              <w:rPr>
                <w:rFonts w:ascii="Arial Narrow" w:hAnsi="Arial Narrow"/>
                <w:sz w:val="22"/>
                <w:szCs w:val="22"/>
              </w:rPr>
              <w:t>Text</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DA5DED">
            <w:pPr>
              <w:pStyle w:val="Normlny"/>
              <w:bidi w:val="0"/>
              <w:spacing w:after="0" w:line="240" w:lineRule="auto"/>
              <w:jc w:val="center"/>
              <w:rPr>
                <w:rFonts w:ascii="Arial Narrow" w:hAnsi="Arial Narrow"/>
                <w:sz w:val="22"/>
                <w:szCs w:val="22"/>
              </w:rPr>
            </w:pPr>
            <w:r w:rsidRPr="00DA5DED">
              <w:rPr>
                <w:rFonts w:ascii="Arial Narrow" w:hAnsi="Arial Narrow"/>
                <w:sz w:val="22"/>
                <w:szCs w:val="22"/>
              </w:rPr>
              <w:t>Spôsob transp.</w:t>
            </w:r>
          </w:p>
          <w:p w:rsidR="00A9063F" w:rsidRPr="00DA5DED">
            <w:pPr>
              <w:pStyle w:val="Normlny"/>
              <w:bidi w:val="0"/>
              <w:spacing w:after="0" w:line="240" w:lineRule="auto"/>
              <w:jc w:val="center"/>
              <w:rPr>
                <w:rFonts w:ascii="Arial Narrow" w:hAnsi="Arial Narrow"/>
                <w:sz w:val="22"/>
                <w:szCs w:val="22"/>
              </w:rPr>
            </w:pPr>
            <w:r w:rsidRPr="00DA5DED">
              <w:rPr>
                <w:rFonts w:ascii="Arial Narrow" w:hAnsi="Arial Narrow"/>
                <w:sz w:val="22"/>
                <w:szCs w:val="22"/>
              </w:rPr>
              <w:t>(N, O, D, n.a.)</w:t>
            </w:r>
          </w:p>
        </w:tc>
        <w:tc>
          <w:tcPr>
            <w:tcW w:w="709" w:type="dxa"/>
            <w:tcBorders>
              <w:top w:val="single" w:sz="4" w:space="0" w:color="auto"/>
              <w:left w:val="nil"/>
              <w:bottom w:val="single" w:sz="4" w:space="0" w:color="auto"/>
              <w:right w:val="single" w:sz="4" w:space="0" w:color="auto"/>
            </w:tcBorders>
            <w:textDirection w:val="lrTb"/>
            <w:vAlign w:val="top"/>
          </w:tcPr>
          <w:p w:rsidR="00A9063F" w:rsidRPr="00DA5DED">
            <w:pPr>
              <w:pStyle w:val="Normlny"/>
              <w:bidi w:val="0"/>
              <w:spacing w:after="0" w:line="240" w:lineRule="auto"/>
              <w:jc w:val="center"/>
              <w:rPr>
                <w:rFonts w:ascii="Arial Narrow" w:hAnsi="Arial Narrow"/>
                <w:sz w:val="22"/>
                <w:szCs w:val="22"/>
              </w:rPr>
            </w:pPr>
            <w:r w:rsidRPr="00DA5DED">
              <w:rPr>
                <w:rFonts w:ascii="Arial Narrow" w:hAnsi="Arial Narrow"/>
                <w:sz w:val="22"/>
                <w:szCs w:val="22"/>
              </w:rPr>
              <w:t>Číslo</w:t>
            </w:r>
          </w:p>
          <w:p w:rsidR="00A9063F" w:rsidRPr="00DA5DED">
            <w:pPr>
              <w:pStyle w:val="Normlny"/>
              <w:bidi w:val="0"/>
              <w:spacing w:after="0" w:line="240" w:lineRule="auto"/>
              <w:jc w:val="center"/>
              <w:rPr>
                <w:rFonts w:ascii="Arial Narrow" w:hAnsi="Arial Narrow"/>
                <w:sz w:val="22"/>
                <w:szCs w:val="22"/>
              </w:rPr>
            </w:pPr>
            <w:r w:rsidRPr="00DA5DED">
              <w:rPr>
                <w:rFonts w:ascii="Arial Narrow" w:hAnsi="Arial Narrow"/>
                <w:sz w:val="22"/>
                <w:szCs w:val="22"/>
              </w:rPr>
              <w:t>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DA5DED">
            <w:pPr>
              <w:pStyle w:val="Normlny"/>
              <w:bidi w:val="0"/>
              <w:spacing w:after="0" w:line="240" w:lineRule="auto"/>
              <w:jc w:val="center"/>
              <w:rPr>
                <w:rFonts w:ascii="Arial Narrow" w:hAnsi="Arial Narrow"/>
                <w:sz w:val="22"/>
                <w:szCs w:val="22"/>
              </w:rPr>
            </w:pPr>
            <w:r w:rsidRPr="00DA5DED">
              <w:rPr>
                <w:rFonts w:ascii="Arial Narrow" w:hAnsi="Arial Narrow"/>
                <w:sz w:val="22"/>
                <w:szCs w:val="22"/>
              </w:rPr>
              <w:t>Článok (Č, §, O, V, P)</w:t>
            </w:r>
          </w:p>
        </w:tc>
        <w:tc>
          <w:tcPr>
            <w:tcW w:w="6379" w:type="dxa"/>
            <w:tcBorders>
              <w:top w:val="single" w:sz="4" w:space="0" w:color="auto"/>
              <w:left w:val="single" w:sz="4" w:space="0" w:color="auto"/>
              <w:bottom w:val="single" w:sz="4" w:space="0" w:color="auto"/>
              <w:right w:val="single" w:sz="4" w:space="0" w:color="auto"/>
            </w:tcBorders>
            <w:textDirection w:val="lrTb"/>
            <w:vAlign w:val="top"/>
          </w:tcPr>
          <w:p w:rsidR="00A9063F" w:rsidRPr="00DA5DED">
            <w:pPr>
              <w:pStyle w:val="Normlny"/>
              <w:bidi w:val="0"/>
              <w:spacing w:after="0" w:line="240" w:lineRule="auto"/>
              <w:jc w:val="center"/>
              <w:rPr>
                <w:rFonts w:ascii="Arial Narrow" w:hAnsi="Arial Narrow"/>
                <w:sz w:val="22"/>
                <w:szCs w:val="22"/>
              </w:rPr>
            </w:pPr>
            <w:r w:rsidRPr="00DA5DED">
              <w:rPr>
                <w:rFonts w:ascii="Arial Narrow" w:hAnsi="Arial Narrow"/>
                <w:sz w:val="22"/>
                <w:szCs w:val="22"/>
              </w:rPr>
              <w:t>Text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A5DED">
            <w:pPr>
              <w:pStyle w:val="Normlny"/>
              <w:bidi w:val="0"/>
              <w:spacing w:after="0" w:line="240" w:lineRule="auto"/>
              <w:jc w:val="center"/>
              <w:rPr>
                <w:rFonts w:ascii="Arial Narrow" w:hAnsi="Arial Narrow"/>
                <w:sz w:val="22"/>
                <w:szCs w:val="22"/>
              </w:rPr>
            </w:pPr>
            <w:r w:rsidRPr="00DA5DED">
              <w:rPr>
                <w:rFonts w:ascii="Arial Narrow" w:hAnsi="Arial Narrow"/>
                <w:sz w:val="22"/>
                <w:szCs w:val="22"/>
              </w:rPr>
              <w:t>Zhoda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A9063F" w:rsidRPr="00DA5DED">
            <w:pPr>
              <w:pStyle w:val="Normlny"/>
              <w:bidi w:val="0"/>
              <w:spacing w:after="0" w:line="240" w:lineRule="auto"/>
              <w:jc w:val="center"/>
              <w:rPr>
                <w:rFonts w:ascii="Arial Narrow" w:hAnsi="Arial Narrow"/>
                <w:sz w:val="22"/>
                <w:szCs w:val="22"/>
              </w:rPr>
            </w:pPr>
            <w:r w:rsidRPr="00DA5DED">
              <w:rPr>
                <w:rFonts w:ascii="Arial Narrow" w:hAnsi="Arial Narrow"/>
                <w:sz w:val="22"/>
                <w:szCs w:val="22"/>
              </w:rPr>
              <w:t>Poznámky</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DA5DED" w:rsidP="002E1D16">
            <w:pPr>
              <w:bidi w:val="0"/>
              <w:spacing w:after="0" w:line="240" w:lineRule="auto"/>
              <w:jc w:val="center"/>
              <w:rPr>
                <w:rFonts w:ascii="Arial Narrow" w:hAnsi="Arial Narrow"/>
                <w:sz w:val="22"/>
                <w:szCs w:val="22"/>
              </w:rPr>
            </w:pPr>
            <w:r w:rsidRPr="00DA5DED" w:rsidR="00DA5DED">
              <w:rPr>
                <w:rFonts w:ascii="Arial Narrow" w:hAnsi="Arial Narrow"/>
                <w:sz w:val="22"/>
                <w:szCs w:val="22"/>
              </w:rPr>
              <w:t xml:space="preserve">Príloha </w:t>
            </w:r>
            <w:r w:rsidR="00DA5DED">
              <w:rPr>
                <w:rFonts w:ascii="Arial Narrow" w:hAnsi="Arial Narrow"/>
                <w:sz w:val="22"/>
                <w:szCs w:val="22"/>
              </w:rPr>
              <w:t xml:space="preserve">  </w:t>
            </w:r>
            <w:r w:rsidRPr="00DA5DED" w:rsidR="00DA5DED">
              <w:rPr>
                <w:rFonts w:ascii="Arial Narrow" w:hAnsi="Arial Narrow"/>
                <w:sz w:val="22"/>
                <w:szCs w:val="22"/>
              </w:rPr>
              <w:t>č. 1</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DA5DED" w:rsidP="00DA5DED">
            <w:pPr>
              <w:pStyle w:val="CM4"/>
              <w:bidi w:val="0"/>
              <w:spacing w:after="0" w:line="240" w:lineRule="auto"/>
              <w:rPr>
                <w:rFonts w:ascii="Arial Narrow" w:hAnsi="Arial Narrow"/>
                <w:i/>
                <w:iCs/>
                <w:sz w:val="22"/>
                <w:szCs w:val="22"/>
              </w:rPr>
            </w:pPr>
            <w:r w:rsidRPr="00DA5DED">
              <w:rPr>
                <w:rFonts w:ascii="Arial Narrow" w:hAnsi="Arial Narrow"/>
                <w:i/>
                <w:iCs/>
                <w:sz w:val="22"/>
                <w:szCs w:val="22"/>
              </w:rPr>
              <w:t xml:space="preserve">PRÍLOHA I </w:t>
            </w:r>
          </w:p>
          <w:p w:rsidR="00DA5DED" w:rsidRPr="00DA5DED" w:rsidP="00DA5DED">
            <w:pPr>
              <w:pStyle w:val="Default"/>
              <w:bidi w:val="0"/>
              <w:spacing w:after="0" w:line="240" w:lineRule="auto"/>
            </w:pPr>
          </w:p>
          <w:p w:rsidR="00DA5DED" w:rsidRPr="00DA5DED" w:rsidP="00DA5DED">
            <w:pPr>
              <w:pStyle w:val="CM4"/>
              <w:bidi w:val="0"/>
              <w:spacing w:after="0" w:line="240" w:lineRule="auto"/>
              <w:rPr>
                <w:rFonts w:ascii="Arial Narrow" w:hAnsi="Arial Narrow"/>
                <w:sz w:val="22"/>
                <w:szCs w:val="22"/>
              </w:rPr>
            </w:pPr>
            <w:r w:rsidRPr="00DA5DED">
              <w:rPr>
                <w:rFonts w:ascii="Arial Narrow" w:hAnsi="Arial Narrow"/>
                <w:sz w:val="22"/>
                <w:szCs w:val="22"/>
              </w:rPr>
              <w:t xml:space="preserve">1. Funkcie riadenia investícií, ktoré správca AIF vykonáva pri spravovaní AIF, sú minimálne tieto: </w:t>
            </w:r>
          </w:p>
          <w:p w:rsidR="00DA5DED" w:rsidRPr="00DA5DED" w:rsidP="00DA5DED">
            <w:pPr>
              <w:pStyle w:val="CM4"/>
              <w:bidi w:val="0"/>
              <w:spacing w:after="0" w:line="240" w:lineRule="auto"/>
              <w:rPr>
                <w:rFonts w:ascii="Arial Narrow" w:hAnsi="Arial Narrow"/>
                <w:sz w:val="22"/>
                <w:szCs w:val="22"/>
              </w:rPr>
            </w:pPr>
            <w:r w:rsidRPr="00DA5DED">
              <w:rPr>
                <w:rFonts w:ascii="Arial Narrow" w:hAnsi="Arial Narrow"/>
                <w:sz w:val="22"/>
                <w:szCs w:val="22"/>
              </w:rPr>
              <w:t xml:space="preserve">a) riadenie portfólia; </w:t>
            </w:r>
          </w:p>
          <w:p w:rsidR="00DA5DED" w:rsidRPr="00DA5DED" w:rsidP="00DA5DED">
            <w:pPr>
              <w:pStyle w:val="CM4"/>
              <w:bidi w:val="0"/>
              <w:spacing w:after="0" w:line="240" w:lineRule="auto"/>
              <w:rPr>
                <w:rFonts w:ascii="Arial Narrow" w:hAnsi="Arial Narrow"/>
                <w:sz w:val="22"/>
                <w:szCs w:val="22"/>
              </w:rPr>
            </w:pPr>
            <w:r w:rsidRPr="00DA5DED">
              <w:rPr>
                <w:rFonts w:ascii="Arial Narrow" w:hAnsi="Arial Narrow"/>
                <w:sz w:val="22"/>
                <w:szCs w:val="22"/>
              </w:rPr>
              <w:t xml:space="preserve">b) riadenie rizík. </w:t>
            </w:r>
          </w:p>
          <w:p w:rsidR="00DA5DED" w:rsidRPr="00DA5DED" w:rsidP="00DA5DED">
            <w:pPr>
              <w:pStyle w:val="CM4"/>
              <w:bidi w:val="0"/>
              <w:spacing w:after="0" w:line="240" w:lineRule="auto"/>
              <w:rPr>
                <w:rFonts w:ascii="Arial Narrow" w:hAnsi="Arial Narrow"/>
                <w:sz w:val="22"/>
                <w:szCs w:val="22"/>
              </w:rPr>
            </w:pPr>
            <w:r w:rsidRPr="00DA5DED">
              <w:rPr>
                <w:rFonts w:ascii="Arial Narrow" w:hAnsi="Arial Narrow"/>
                <w:sz w:val="22"/>
                <w:szCs w:val="22"/>
              </w:rPr>
              <w:t xml:space="preserve">2. Ostatné funkcie, ktoré správca AIF môže dodatočne vykonávať v rámci kolektívneho spravovania AIF, sú tieto: </w:t>
            </w:r>
          </w:p>
          <w:p w:rsidR="00DA5DED" w:rsidRPr="00DA5DED" w:rsidP="00DA5DED">
            <w:pPr>
              <w:pStyle w:val="CM4"/>
              <w:bidi w:val="0"/>
              <w:spacing w:after="0" w:line="240" w:lineRule="auto"/>
              <w:rPr>
                <w:rFonts w:ascii="Arial Narrow" w:hAnsi="Arial Narrow"/>
                <w:sz w:val="22"/>
                <w:szCs w:val="22"/>
              </w:rPr>
            </w:pPr>
            <w:r w:rsidRPr="00DA5DED">
              <w:rPr>
                <w:rFonts w:ascii="Arial Narrow" w:hAnsi="Arial Narrow"/>
                <w:sz w:val="22"/>
                <w:szCs w:val="22"/>
              </w:rPr>
              <w:t xml:space="preserve">a) administratíva: </w:t>
            </w:r>
          </w:p>
          <w:p w:rsidR="00DA5DED" w:rsidRPr="00DA5DED" w:rsidP="00DA5DED">
            <w:pPr>
              <w:pStyle w:val="CM4"/>
              <w:bidi w:val="0"/>
              <w:spacing w:after="0" w:line="240" w:lineRule="auto"/>
              <w:rPr>
                <w:rFonts w:ascii="Arial Narrow" w:hAnsi="Arial Narrow"/>
                <w:sz w:val="22"/>
                <w:szCs w:val="22"/>
              </w:rPr>
            </w:pPr>
            <w:r w:rsidRPr="00DA5DED">
              <w:rPr>
                <w:rFonts w:ascii="Arial Narrow" w:hAnsi="Arial Narrow"/>
                <w:sz w:val="22"/>
                <w:szCs w:val="22"/>
              </w:rPr>
              <w:t xml:space="preserve">i) právne služby a účtovnícke služby súvisiace so správou fondu; </w:t>
            </w:r>
          </w:p>
          <w:p w:rsidR="00DA5DED" w:rsidRPr="00DA5DED" w:rsidP="00DA5DED">
            <w:pPr>
              <w:pStyle w:val="CM4"/>
              <w:bidi w:val="0"/>
              <w:spacing w:after="0" w:line="240" w:lineRule="auto"/>
              <w:rPr>
                <w:rFonts w:ascii="Arial Narrow" w:hAnsi="Arial Narrow"/>
                <w:sz w:val="22"/>
                <w:szCs w:val="22"/>
              </w:rPr>
            </w:pPr>
            <w:r w:rsidRPr="00DA5DED">
              <w:rPr>
                <w:rFonts w:ascii="Arial Narrow" w:hAnsi="Arial Narrow"/>
                <w:sz w:val="22"/>
                <w:szCs w:val="22"/>
              </w:rPr>
              <w:t xml:space="preserve">ii) poskytovanie informácií zákazníkom; </w:t>
            </w:r>
          </w:p>
          <w:p w:rsidR="00DA5DED" w:rsidRPr="00DA5DED" w:rsidP="00DA5DED">
            <w:pPr>
              <w:pStyle w:val="CM4"/>
              <w:bidi w:val="0"/>
              <w:spacing w:after="0" w:line="240" w:lineRule="auto"/>
              <w:rPr>
                <w:rFonts w:ascii="Arial Narrow" w:hAnsi="Arial Narrow"/>
                <w:sz w:val="22"/>
                <w:szCs w:val="22"/>
              </w:rPr>
            </w:pPr>
            <w:r w:rsidRPr="00DA5DED">
              <w:rPr>
                <w:rFonts w:ascii="Arial Narrow" w:hAnsi="Arial Narrow"/>
                <w:sz w:val="22"/>
                <w:szCs w:val="22"/>
              </w:rPr>
              <w:t xml:space="preserve">iii) určovanie hodnoty a stanovovanie cien, aj na účely daňového priznania; </w:t>
            </w:r>
          </w:p>
          <w:p w:rsidR="00DA5DED" w:rsidRPr="00DA5DED" w:rsidP="00DA5DED">
            <w:pPr>
              <w:pStyle w:val="CM4"/>
              <w:bidi w:val="0"/>
              <w:spacing w:after="0" w:line="240" w:lineRule="auto"/>
              <w:rPr>
                <w:rFonts w:ascii="Arial Narrow" w:hAnsi="Arial Narrow"/>
                <w:sz w:val="22"/>
                <w:szCs w:val="22"/>
              </w:rPr>
            </w:pPr>
            <w:r w:rsidRPr="00DA5DED">
              <w:rPr>
                <w:rFonts w:ascii="Arial Narrow" w:hAnsi="Arial Narrow"/>
                <w:sz w:val="22"/>
                <w:szCs w:val="22"/>
              </w:rPr>
              <w:t xml:space="preserve">iv) monitorovanie dodržiavania právnych predpisov; </w:t>
            </w:r>
          </w:p>
          <w:p w:rsidR="00DA5DED" w:rsidRPr="00DA5DED" w:rsidP="00DA5DED">
            <w:pPr>
              <w:pStyle w:val="CM4"/>
              <w:bidi w:val="0"/>
              <w:spacing w:after="0" w:line="240" w:lineRule="auto"/>
              <w:rPr>
                <w:rFonts w:ascii="Arial Narrow" w:hAnsi="Arial Narrow"/>
                <w:sz w:val="22"/>
                <w:szCs w:val="22"/>
              </w:rPr>
            </w:pPr>
            <w:r w:rsidRPr="00DA5DED">
              <w:rPr>
                <w:rFonts w:ascii="Arial Narrow" w:hAnsi="Arial Narrow"/>
                <w:sz w:val="22"/>
                <w:szCs w:val="22"/>
              </w:rPr>
              <w:t xml:space="preserve">v) vedenie registra podielnikov/akcionárov; </w:t>
            </w:r>
          </w:p>
          <w:p w:rsidR="00DA5DED" w:rsidRPr="00DA5DED" w:rsidP="00DA5DED">
            <w:pPr>
              <w:pStyle w:val="CM4"/>
              <w:bidi w:val="0"/>
              <w:spacing w:after="0" w:line="240" w:lineRule="auto"/>
              <w:rPr>
                <w:rFonts w:ascii="Arial Narrow" w:hAnsi="Arial Narrow"/>
                <w:sz w:val="22"/>
                <w:szCs w:val="22"/>
              </w:rPr>
            </w:pPr>
            <w:r w:rsidRPr="00DA5DED">
              <w:rPr>
                <w:rFonts w:ascii="Arial Narrow" w:hAnsi="Arial Narrow"/>
                <w:sz w:val="22"/>
                <w:szCs w:val="22"/>
              </w:rPr>
              <w:t xml:space="preserve">vi) rozdelenie výnosov; </w:t>
            </w:r>
          </w:p>
          <w:p w:rsidR="00DA5DED" w:rsidRPr="00DA5DED" w:rsidP="00DA5DED">
            <w:pPr>
              <w:pStyle w:val="CM4"/>
              <w:bidi w:val="0"/>
              <w:spacing w:after="0" w:line="240" w:lineRule="auto"/>
              <w:rPr>
                <w:rFonts w:ascii="Arial Narrow" w:hAnsi="Arial Narrow"/>
                <w:sz w:val="22"/>
                <w:szCs w:val="22"/>
              </w:rPr>
            </w:pPr>
            <w:r w:rsidRPr="00DA5DED">
              <w:rPr>
                <w:rFonts w:ascii="Arial Narrow" w:hAnsi="Arial Narrow"/>
                <w:sz w:val="22"/>
                <w:szCs w:val="22"/>
              </w:rPr>
              <w:t xml:space="preserve">vii) emitovanie a vyplácanie podielových listov/akcií; </w:t>
            </w:r>
          </w:p>
          <w:p w:rsidR="00DA5DED" w:rsidRPr="00DA5DED" w:rsidP="00DA5DED">
            <w:pPr>
              <w:pStyle w:val="CM4"/>
              <w:bidi w:val="0"/>
              <w:spacing w:after="0" w:line="240" w:lineRule="auto"/>
              <w:rPr>
                <w:rFonts w:ascii="Arial Narrow" w:hAnsi="Arial Narrow"/>
                <w:sz w:val="22"/>
                <w:szCs w:val="22"/>
              </w:rPr>
            </w:pPr>
            <w:r w:rsidRPr="00DA5DED">
              <w:rPr>
                <w:rFonts w:ascii="Arial Narrow" w:hAnsi="Arial Narrow"/>
                <w:sz w:val="22"/>
                <w:szCs w:val="22"/>
              </w:rPr>
              <w:t xml:space="preserve">viii) vyrovnanie zmlúv vrátane zasielania certifikátov; </w:t>
            </w:r>
          </w:p>
          <w:p w:rsidR="00DA5DED" w:rsidRPr="00DA5DED" w:rsidP="00DA5DED">
            <w:pPr>
              <w:pStyle w:val="CM4"/>
              <w:bidi w:val="0"/>
              <w:spacing w:after="0" w:line="240" w:lineRule="auto"/>
              <w:rPr>
                <w:rFonts w:ascii="Arial Narrow" w:hAnsi="Arial Narrow"/>
                <w:sz w:val="22"/>
                <w:szCs w:val="22"/>
              </w:rPr>
            </w:pPr>
            <w:r w:rsidRPr="00DA5DED">
              <w:rPr>
                <w:rFonts w:ascii="Arial Narrow" w:hAnsi="Arial Narrow"/>
                <w:sz w:val="22"/>
                <w:szCs w:val="22"/>
              </w:rPr>
              <w:t xml:space="preserve">ix) vedenie evidencie; </w:t>
            </w:r>
          </w:p>
          <w:p w:rsidR="00DA5DED" w:rsidRPr="00DA5DED" w:rsidP="00DA5DED">
            <w:pPr>
              <w:pStyle w:val="CM4"/>
              <w:bidi w:val="0"/>
              <w:spacing w:after="0" w:line="240" w:lineRule="auto"/>
              <w:rPr>
                <w:rFonts w:ascii="Arial Narrow" w:hAnsi="Arial Narrow"/>
                <w:sz w:val="22"/>
                <w:szCs w:val="22"/>
              </w:rPr>
            </w:pPr>
            <w:r w:rsidRPr="00DA5DED">
              <w:rPr>
                <w:rFonts w:ascii="Arial Narrow" w:hAnsi="Arial Narrow"/>
                <w:sz w:val="22"/>
                <w:szCs w:val="22"/>
              </w:rPr>
              <w:t xml:space="preserve">b) uvádzanie na trh; </w:t>
            </w:r>
          </w:p>
          <w:p w:rsidR="002E1D16" w:rsidRPr="00DA5DED" w:rsidP="00DA5DED">
            <w:pPr>
              <w:pStyle w:val="CM4"/>
              <w:bidi w:val="0"/>
              <w:spacing w:before="60" w:after="60" w:line="240" w:lineRule="auto"/>
              <w:rPr>
                <w:rFonts w:ascii="Arial Narrow" w:hAnsi="Arial Narrow"/>
                <w:sz w:val="22"/>
                <w:szCs w:val="22"/>
              </w:rPr>
            </w:pPr>
            <w:r w:rsidRPr="00DA5DED" w:rsidR="00DA5DED">
              <w:rPr>
                <w:rFonts w:ascii="Arial Narrow" w:hAnsi="Arial Narrow"/>
                <w:sz w:val="22"/>
                <w:szCs w:val="22"/>
              </w:rPr>
              <w:t xml:space="preserve">c) činnosti súvisiace s aktívami AIF, a to služby nevyhnutné na splnenie fiduciárnych povinností správcu AIF, správa zariadení, činnosti správy nehnuteľností, poradenstvo podnikom o kapitálovej štruktúre, priemyselnej stratégii a súvisiacich otázkach, poradenstvo a služby týkajúce sa zlúčení a kúpy podnikov a iné služby spojené so správou </w:t>
            </w:r>
            <w:r w:rsidR="00DA5DED">
              <w:rPr>
                <w:rFonts w:ascii="Arial Narrow" w:hAnsi="Arial Narrow"/>
                <w:sz w:val="22"/>
                <w:szCs w:val="22"/>
              </w:rPr>
              <w:t xml:space="preserve"> </w:t>
            </w:r>
            <w:r w:rsidRPr="00DA5DED" w:rsidR="00DA5DED">
              <w:rPr>
                <w:rFonts w:ascii="Arial Narrow" w:hAnsi="Arial Narrow"/>
                <w:sz w:val="22"/>
                <w:szCs w:val="22"/>
              </w:rPr>
              <w:t>AIF a spoločností a iných aktív, do ktorých tento fond investoval.</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DA5DED">
            <w:pPr>
              <w:bidi w:val="0"/>
              <w:spacing w:after="0" w:line="240" w:lineRule="auto"/>
              <w:jc w:val="center"/>
              <w:rPr>
                <w:rFonts w:ascii="Arial Narrow" w:hAnsi="Arial Narrow"/>
                <w:sz w:val="22"/>
                <w:szCs w:val="22"/>
              </w:rPr>
            </w:pPr>
            <w:r w:rsidRPr="00DA5DED" w:rsidR="0078287E">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DA5DED">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5DED" w:rsidP="0091636B">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27 ods.4 </w:t>
            </w:r>
          </w:p>
          <w:p w:rsidR="00DA5DED" w:rsidP="0091636B">
            <w:pPr>
              <w:pStyle w:val="Normlny"/>
              <w:bidi w:val="0"/>
              <w:spacing w:after="0" w:line="240" w:lineRule="auto"/>
              <w:jc w:val="center"/>
              <w:rPr>
                <w:rFonts w:ascii="Arial Narrow" w:hAnsi="Arial Narrow"/>
                <w:sz w:val="22"/>
                <w:szCs w:val="22"/>
              </w:rPr>
            </w:pPr>
          </w:p>
          <w:p w:rsidR="00DA5DED" w:rsidP="0091636B">
            <w:pPr>
              <w:pStyle w:val="Normlny"/>
              <w:bidi w:val="0"/>
              <w:spacing w:after="0" w:line="240" w:lineRule="auto"/>
              <w:jc w:val="center"/>
              <w:rPr>
                <w:rFonts w:ascii="Arial Narrow" w:hAnsi="Arial Narrow"/>
                <w:sz w:val="22"/>
                <w:szCs w:val="22"/>
              </w:rPr>
            </w:pPr>
          </w:p>
          <w:p w:rsidR="00DA5DED" w:rsidP="0091636B">
            <w:pPr>
              <w:pStyle w:val="Normlny"/>
              <w:bidi w:val="0"/>
              <w:spacing w:after="0" w:line="240" w:lineRule="auto"/>
              <w:jc w:val="center"/>
              <w:rPr>
                <w:rFonts w:ascii="Arial Narrow" w:hAnsi="Arial Narrow"/>
                <w:sz w:val="22"/>
                <w:szCs w:val="22"/>
              </w:rPr>
            </w:pPr>
          </w:p>
          <w:p w:rsidR="00DA5DED" w:rsidP="0091636B">
            <w:pPr>
              <w:pStyle w:val="Normlny"/>
              <w:bidi w:val="0"/>
              <w:spacing w:after="0" w:line="240" w:lineRule="auto"/>
              <w:jc w:val="center"/>
              <w:rPr>
                <w:rFonts w:ascii="Arial Narrow" w:hAnsi="Arial Narrow"/>
                <w:sz w:val="22"/>
                <w:szCs w:val="22"/>
              </w:rPr>
            </w:pPr>
          </w:p>
          <w:p w:rsidR="00A9063F" w:rsidRPr="00DA5DED" w:rsidP="0091636B">
            <w:pPr>
              <w:pStyle w:val="Normlny"/>
              <w:bidi w:val="0"/>
              <w:spacing w:after="0" w:line="240" w:lineRule="auto"/>
              <w:jc w:val="center"/>
              <w:rPr>
                <w:rFonts w:ascii="Arial Narrow" w:hAnsi="Arial Narrow"/>
                <w:sz w:val="22"/>
                <w:szCs w:val="22"/>
              </w:rPr>
            </w:pPr>
            <w:r w:rsidR="00DA5DED">
              <w:rPr>
                <w:rFonts w:ascii="Arial Narrow" w:hAnsi="Arial Narrow"/>
                <w:sz w:val="22"/>
                <w:szCs w:val="22"/>
              </w:rPr>
              <w:t>ods.5</w:t>
            </w:r>
          </w:p>
        </w:tc>
        <w:tc>
          <w:tcPr>
            <w:tcW w:w="6379" w:type="dxa"/>
            <w:tcBorders>
              <w:top w:val="single" w:sz="4" w:space="0" w:color="auto"/>
              <w:left w:val="single" w:sz="4" w:space="0" w:color="auto"/>
              <w:bottom w:val="single" w:sz="4" w:space="0" w:color="auto"/>
              <w:right w:val="single" w:sz="4" w:space="0" w:color="auto"/>
            </w:tcBorders>
            <w:textDirection w:val="lrTb"/>
            <w:vAlign w:val="top"/>
          </w:tcPr>
          <w:p w:rsidR="00DA5DED" w:rsidRPr="00DA5DED" w:rsidP="00DA5DED">
            <w:pPr>
              <w:autoSpaceDE/>
              <w:autoSpaceDN/>
              <w:bidi w:val="0"/>
              <w:spacing w:after="0" w:line="240" w:lineRule="auto"/>
              <w:jc w:val="both"/>
              <w:rPr>
                <w:rFonts w:ascii="Arial Narrow" w:hAnsi="Arial Narrow"/>
                <w:b/>
                <w:sz w:val="22"/>
                <w:szCs w:val="22"/>
              </w:rPr>
            </w:pPr>
            <w:r w:rsidRPr="00DA5DED">
              <w:rPr>
                <w:rFonts w:ascii="Arial Narrow" w:hAnsi="Arial Narrow"/>
                <w:b/>
                <w:sz w:val="22"/>
                <w:szCs w:val="22"/>
              </w:rPr>
              <w:t>Spravovaním alternatívnych investičných fondov a zahraničných alternatívnych investičných fondov sa rozumie riadenie investícií majetku alternatívneho investičného fondu a zahraničného alternatívneho investičného fondu a riadenie rizík súvisiacich s týmito investíciami. Tým nie je dotknutá možnosť zverenia týchto činností.</w:t>
            </w:r>
          </w:p>
          <w:p w:rsidR="00DA5DED" w:rsidRPr="00DA5DED" w:rsidP="00DA5DED">
            <w:pPr>
              <w:bidi w:val="0"/>
              <w:spacing w:after="0" w:line="240" w:lineRule="auto"/>
              <w:jc w:val="both"/>
              <w:rPr>
                <w:rFonts w:ascii="Arial Narrow" w:hAnsi="Arial Narrow"/>
                <w:b/>
                <w:sz w:val="22"/>
                <w:szCs w:val="22"/>
              </w:rPr>
            </w:pPr>
          </w:p>
          <w:p w:rsidR="00DA5DED" w:rsidRPr="00DA5DED" w:rsidP="00DA5DED">
            <w:pPr>
              <w:autoSpaceDE/>
              <w:autoSpaceDN/>
              <w:bidi w:val="0"/>
              <w:spacing w:after="0" w:line="240" w:lineRule="auto"/>
              <w:jc w:val="both"/>
              <w:rPr>
                <w:rFonts w:ascii="Arial Narrow" w:hAnsi="Arial Narrow"/>
                <w:b/>
                <w:sz w:val="22"/>
                <w:szCs w:val="22"/>
              </w:rPr>
            </w:pPr>
            <w:r w:rsidRPr="00DA5DED">
              <w:rPr>
                <w:rFonts w:ascii="Arial Narrow" w:hAnsi="Arial Narrow"/>
                <w:b/>
                <w:sz w:val="22"/>
                <w:szCs w:val="22"/>
              </w:rPr>
              <w:t>Ďalšími činnosťami, ktoré správcovská spoločnosť môže dodatočne vykonávať v rámci spravovania alternatívneho investičného fondu a zahraničného alternatívneho investičného fondu sú</w:t>
            </w:r>
          </w:p>
          <w:p w:rsidR="00DA5DED" w:rsidRPr="00DA5DED" w:rsidP="00DA5DED">
            <w:pPr>
              <w:numPr>
                <w:ilvl w:val="1"/>
                <w:numId w:val="16"/>
              </w:numPr>
              <w:autoSpaceDE/>
              <w:autoSpaceDN/>
              <w:bidi w:val="0"/>
              <w:spacing w:after="0" w:line="240" w:lineRule="auto"/>
              <w:ind w:left="0" w:firstLine="0"/>
              <w:jc w:val="both"/>
              <w:rPr>
                <w:rFonts w:ascii="Arial Narrow" w:hAnsi="Arial Narrow"/>
                <w:b/>
                <w:sz w:val="22"/>
                <w:szCs w:val="22"/>
              </w:rPr>
            </w:pPr>
            <w:r w:rsidRPr="00DA5DED">
              <w:rPr>
                <w:rFonts w:ascii="Arial Narrow" w:hAnsi="Arial Narrow"/>
                <w:b/>
                <w:sz w:val="22"/>
                <w:szCs w:val="22"/>
              </w:rPr>
              <w:t>administrácia, ktorou sa rozumejú činnosti podľa odseku 2 písm. b) vo vzťahu k alternatívnym investičným fondom a zahraničným alternatívnym investičným fondom,</w:t>
            </w:r>
          </w:p>
          <w:p w:rsidR="00DA5DED" w:rsidRPr="00DA5DED" w:rsidP="00DA5DED">
            <w:pPr>
              <w:numPr>
                <w:ilvl w:val="1"/>
                <w:numId w:val="16"/>
              </w:numPr>
              <w:autoSpaceDE/>
              <w:autoSpaceDN/>
              <w:bidi w:val="0"/>
              <w:spacing w:after="0" w:line="240" w:lineRule="auto"/>
              <w:ind w:left="0" w:hanging="43"/>
              <w:jc w:val="both"/>
              <w:rPr>
                <w:rFonts w:ascii="Arial Narrow" w:hAnsi="Arial Narrow"/>
                <w:b/>
                <w:sz w:val="22"/>
                <w:szCs w:val="22"/>
              </w:rPr>
            </w:pPr>
            <w:r w:rsidRPr="00DA5DED">
              <w:rPr>
                <w:rFonts w:ascii="Arial Narrow" w:hAnsi="Arial Narrow"/>
                <w:b/>
                <w:sz w:val="22"/>
                <w:szCs w:val="22"/>
              </w:rPr>
              <w:t>distribúcia cenných papierov a majetkových účastí alternatívnych investičných fondov a zahraničných alternatívnych investičných fondov,</w:t>
            </w:r>
          </w:p>
          <w:p w:rsidR="00A9063F" w:rsidRPr="00DA5DED" w:rsidP="00DA5DED">
            <w:pPr>
              <w:numPr>
                <w:ilvl w:val="1"/>
                <w:numId w:val="16"/>
              </w:numPr>
              <w:autoSpaceDE/>
              <w:autoSpaceDN/>
              <w:bidi w:val="0"/>
              <w:spacing w:after="0" w:line="240" w:lineRule="auto"/>
              <w:ind w:left="0" w:firstLine="98"/>
              <w:jc w:val="both"/>
              <w:rPr>
                <w:rFonts w:ascii="Arial Narrow" w:hAnsi="Arial Narrow"/>
                <w:sz w:val="22"/>
                <w:szCs w:val="22"/>
              </w:rPr>
            </w:pPr>
            <w:r w:rsidRPr="00DA5DED" w:rsidR="00DA5DED">
              <w:rPr>
                <w:rFonts w:ascii="Arial Narrow" w:hAnsi="Arial Narrow"/>
                <w:b/>
                <w:color w:val="000000"/>
                <w:sz w:val="22"/>
                <w:szCs w:val="22"/>
              </w:rPr>
              <w:t xml:space="preserve">činnosti súvisiace s aktívami alternatívneho investičného fondu a zahraničného alternatívneho investičného fondu, a to služby nevyhnutné na splnenie povinností pri správe majetku alternatívneho investičného fondu alebo zahraničného alternatívneho investičného fondu, správa zariadení, činnosti správy nehnuteľností, poradenstvo podnikom o kapitálovej štruktúre, priemyselnej stratégii a súvisiacich otázkach, poradenstvo a služby týkajúce sa zlúčení a kúpy podnikov a iné služby spojené so správou alternatívneho investičného fondu  alebo zahraničného alternatívneho investičného fondu a spoločností a iných aktív, do ktorých tento fond investoval.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A5DED">
            <w:pPr>
              <w:bidi w:val="0"/>
              <w:spacing w:after="0" w:line="240" w:lineRule="auto"/>
              <w:jc w:val="center"/>
              <w:rPr>
                <w:rFonts w:ascii="Arial Narrow" w:hAnsi="Arial Narrow"/>
                <w:sz w:val="22"/>
                <w:szCs w:val="22"/>
              </w:rPr>
            </w:pPr>
            <w:r w:rsidRPr="00DA5DED" w:rsidR="0078287E">
              <w:rPr>
                <w:rFonts w:ascii="Arial Narrow" w:hAnsi="Arial Narrow"/>
                <w:sz w:val="22"/>
                <w:szCs w:val="22"/>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A9063F" w:rsidRPr="00DA5DED">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DA5DED" w:rsidP="00DA5DED">
            <w:pPr>
              <w:bidi w:val="0"/>
              <w:spacing w:after="0" w:line="240" w:lineRule="auto"/>
              <w:ind w:right="-43"/>
              <w:jc w:val="center"/>
              <w:rPr>
                <w:rFonts w:ascii="Arial Narrow" w:hAnsi="Arial Narrow"/>
                <w:sz w:val="22"/>
                <w:szCs w:val="22"/>
              </w:rPr>
            </w:pPr>
            <w:r w:rsidR="00DA5DED">
              <w:rPr>
                <w:rFonts w:ascii="Arial Narrow" w:hAnsi="Arial Narrow"/>
                <w:sz w:val="22"/>
                <w:szCs w:val="22"/>
              </w:rPr>
              <w:t xml:space="preserve">Príloha    č. 2 </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DA5DED" w:rsidRPr="00DA5DED" w:rsidP="00DA5DED">
            <w:pPr>
              <w:pStyle w:val="Normlny"/>
              <w:bidi w:val="0"/>
              <w:spacing w:after="0" w:line="240" w:lineRule="auto"/>
              <w:rPr>
                <w:rFonts w:ascii="Arial Narrow" w:hAnsi="Arial Narrow"/>
                <w:sz w:val="22"/>
                <w:szCs w:val="22"/>
              </w:rPr>
            </w:pPr>
            <w:r w:rsidRPr="00DA5DED">
              <w:rPr>
                <w:rFonts w:ascii="Arial Narrow" w:hAnsi="Arial Narrow"/>
                <w:i/>
                <w:iCs/>
                <w:sz w:val="22"/>
                <w:szCs w:val="22"/>
              </w:rPr>
              <w:t xml:space="preserve">PRÍLOHA II </w:t>
            </w:r>
          </w:p>
          <w:p w:rsidR="00DA5DED" w:rsidRPr="00DA5DED" w:rsidP="00DA5DED">
            <w:pPr>
              <w:pStyle w:val="Normlny"/>
              <w:bidi w:val="0"/>
              <w:spacing w:after="0" w:line="240" w:lineRule="auto"/>
              <w:rPr>
                <w:rFonts w:ascii="Arial Narrow" w:hAnsi="Arial Narrow"/>
                <w:sz w:val="22"/>
                <w:szCs w:val="22"/>
              </w:rPr>
            </w:pPr>
            <w:r w:rsidRPr="00DA5DED">
              <w:rPr>
                <w:rFonts w:ascii="Arial Narrow" w:hAnsi="Arial Narrow"/>
                <w:b/>
                <w:bCs/>
                <w:sz w:val="22"/>
                <w:szCs w:val="22"/>
              </w:rPr>
              <w:t xml:space="preserve">POLITIKA ODMEŇOVANIA </w:t>
            </w:r>
          </w:p>
          <w:p w:rsid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1. Správcovia AIF dodržiavajú pri zavádzaní a uplatňovaní politík celkového odmeňovania zahŕňajúceho mzdy a dobrovoľné platby dôchodkového zabezpečenia pre tie kategórie pracovníkov vrátane vrcholového manažmentu, zamestnancov, ktorí prijímajú riziká, zamestnancov v kontrolných funkciách a akýchkoľvek zamestnancov poberajúcich celkové odmeny, ktoré ich radia do rovnakej triedy odmeňovania ako vrcholový manažment a zamestnanci, ktorí prijímajú riziká, ktorých pracovné činnosti majú materiálny vplyv na rizikový profil správcov AIF alebo rizikový profil AIF, ktoré spravujú, spôsobom a v rozsahu, ktorý je primeraný ich veľkosti, vnútornej organizácii, ako aj povahe, rozsahu a komplexnosti ich činností, tieto zásady: </w:t>
            </w: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4760F7"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p>
          <w:p w:rsidR="00DA5DED" w:rsidRP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a) politika odmeňovania je v súlade s riadnym a účinným riadením rizík a podporuje ho, pričom nepodnecuje k prijímaniu rizika, ktoré nie je v súlade s rizikovými profilmi, štatútom ani zakladajúcimi dokumentmi spravovaných AIF; </w:t>
            </w:r>
          </w:p>
          <w:p w:rsidR="00DA5DED" w:rsidRP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b) politika odmeňovania je v súlade s obchodnou stratégiou, cieľmi, hodnotami a záujmami správcu AIF a AIF, ktoré spravuje, alebo investorov takýchto AIF a zahŕňa opatrenia na zabránenie konfliktu záujmov; </w:t>
            </w:r>
          </w:p>
          <w:p w:rsidR="00DA5DED" w:rsidRP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c) riadiaci orgán správcu AIF v rámci svojej funkcie dohľadu prijíma a pravidelne skúma všeobecné zásady politiky odmeňovania a zodpovedá za jej uplatňovanie; </w:t>
            </w:r>
          </w:p>
          <w:p w:rsid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d) vykonávanie politiky odmeňovania sa aspoň raz ročne podrobuje ústrednému a nezávislému vnútornému preskúmaniu dodržiavania politík a postupov odmeňovania prijatých riadiacim orgánom v rámci jeho funkcie dohľadu; </w:t>
            </w:r>
          </w:p>
          <w:p w:rsidR="003A74AE"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e) pracovníci zodpovední za kontrolné funkcie sú odmeňovaní na základe plnenia cieľov súvisiacich s ich funkciami bez ohľadu na výkonnosť oblastí podnikania, ktoré kontrolujú; </w:t>
            </w:r>
          </w:p>
          <w:p w:rsidR="003A74AE" w:rsidP="00DA5DED">
            <w:pPr>
              <w:pStyle w:val="Normlny"/>
              <w:bidi w:val="0"/>
              <w:spacing w:after="0" w:line="240" w:lineRule="auto"/>
              <w:rPr>
                <w:rFonts w:ascii="Arial Narrow" w:hAnsi="Arial Narrow"/>
                <w:sz w:val="22"/>
                <w:szCs w:val="22"/>
              </w:rPr>
            </w:pPr>
          </w:p>
          <w:p w:rsidR="003A74AE" w:rsidRPr="00DA5DED" w:rsidP="00DA5DED">
            <w:pPr>
              <w:pStyle w:val="Normlny"/>
              <w:bidi w:val="0"/>
              <w:spacing w:after="0" w:line="240" w:lineRule="auto"/>
              <w:rPr>
                <w:rFonts w:ascii="Arial Narrow" w:hAnsi="Arial Narrow"/>
                <w:sz w:val="22"/>
                <w:szCs w:val="22"/>
              </w:rPr>
            </w:pPr>
          </w:p>
          <w:p w:rsidR="003A74AE" w:rsidP="00DA5DED">
            <w:pPr>
              <w:pStyle w:val="Normlny"/>
              <w:bidi w:val="0"/>
              <w:spacing w:after="0" w:line="240" w:lineRule="auto"/>
              <w:rPr>
                <w:rFonts w:ascii="Arial Narrow" w:hAnsi="Arial Narrow"/>
                <w:sz w:val="22"/>
                <w:szCs w:val="22"/>
              </w:rPr>
            </w:pPr>
            <w:r w:rsidRPr="00DA5DED" w:rsidR="00DA5DED">
              <w:rPr>
                <w:rFonts w:ascii="Arial Narrow" w:hAnsi="Arial Narrow"/>
                <w:sz w:val="22"/>
                <w:szCs w:val="22"/>
              </w:rPr>
              <w:t>f) odmeňovanie vrcholových pracovníkov vo funkciách riadenia rizík a dodržiavania súladu je priamo podriadené dohľadu výboru pre odmeňovanie;</w:t>
            </w:r>
          </w:p>
          <w:p w:rsidR="003A74AE"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 g) ak je odmeňovanie závislé od výkonnosti, celková výška odmeny sa zakladá na kombinácii hodnotenia výkonnosti príslušného pracovníka a príslušného organizačného útvaru alebo dotknutého AIF a hodnotenia celkových výsledkov správcu AIF, pričom sa pri hodnotení výkonnosti jednotlivca berú do úvahy finančné aj nefinančné kritériá; </w:t>
            </w:r>
          </w:p>
          <w:p w:rsidR="003A74AE" w:rsidP="00DA5DED">
            <w:pPr>
              <w:pStyle w:val="Normlny"/>
              <w:bidi w:val="0"/>
              <w:spacing w:after="0" w:line="240" w:lineRule="auto"/>
              <w:rPr>
                <w:rFonts w:ascii="Arial Narrow" w:hAnsi="Arial Narrow"/>
                <w:sz w:val="22"/>
                <w:szCs w:val="22"/>
              </w:rPr>
            </w:pPr>
          </w:p>
          <w:p w:rsidR="003A74AE" w:rsidRP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h) hodnotenie výkonnosti sa uskutočňuje vo viacročnom rámci, ktorý je primeraný z hľadiska životného cyklu AIF, ktoré tento správca AIF spravuje, s cieľom zabezpečiť, aby sa proces hodnotenia zakladal na dlhodobej výkonnosti a aby sa skutočná výplata výkonnostných zložiek odmeňovania rozložila na obdobie zohľadňujúce politiku vyplácania spravovaných AIF a ich investičné riziká; </w:t>
            </w:r>
          </w:p>
          <w:p w:rsidR="003A74AE"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i) garantované pohyblivé odmeňovanie je výnimočné a používa sa len v súvislosti s prijímaním nových pracovníkov a obmedzuje sa na prvý rok; </w:t>
            </w:r>
          </w:p>
          <w:p w:rsidR="003A74AE" w:rsidRPr="00DA5DED"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j) fixná a pohyblivá zložka celkového odmeňovania sú primerane vyvážené a fixná zložka predstavuje dostatočne vysoký podiel celkového odmeňovania, aby bolo možné uplatňovať plne pružnú politiku v oblasti pohyblivých zložiek odmeňovania vrátane možnosti nevyplatiť žiadnu pohyblivú zložku; </w:t>
            </w:r>
          </w:p>
          <w:p w:rsidR="003A74AE" w:rsidP="00DA5DED">
            <w:pPr>
              <w:pStyle w:val="Normlny"/>
              <w:bidi w:val="0"/>
              <w:spacing w:after="0" w:line="240" w:lineRule="auto"/>
              <w:rPr>
                <w:rFonts w:ascii="Arial Narrow" w:hAnsi="Arial Narrow"/>
                <w:sz w:val="22"/>
                <w:szCs w:val="22"/>
              </w:rPr>
            </w:pPr>
          </w:p>
          <w:p w:rsidR="00DA5DED" w:rsidRP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k) platby spojené s predčasným ukončením zmluvy odrážajú dosiahnuté výsledky za dlhšie obdobie a sú navrhnuté tak, aby sa neodmeňovalo zlyhanie; </w:t>
            </w:r>
          </w:p>
          <w:p w:rsid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l) meranie výkonnosti používané na výpočet pohyblivých zložiek odmeňovania alebo zoskupení pohyblivých zložiek odmeňovania zahŕňa komplexný mechanizmus úpravy na integráciu všetkých relevantných typov súčasných a budúcich rizík; </w:t>
            </w:r>
          </w:p>
          <w:p w:rsidR="00DA5DED" w:rsidRP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m) v závislosti od právnej štruktúry AIF a jeho štatútu alebo zakladajúcich dokumentov významná časť predstavujúca minimálne 50 % akejkoľvek pohyblivej odmeny pozostáva z podielových listov alebo akcií dotknutého AIF, alebo rovnocenných vlastníckych podielov, alebo nástrojov, ktoré s akciami súvisia, alebo rovnocenných nehotovostných nástrojov, okrem prípadov, ak správa AIF predstavuje menej ako 50 % z celkového portfólia, ktoré správca AIF spravuje, pričom v tomto prípade sa minimum 50 % neuplatňuje. </w:t>
            </w:r>
          </w:p>
          <w:p w:rsidR="00CB2E5D" w:rsidP="00DA5DED">
            <w:pPr>
              <w:pStyle w:val="Normlny"/>
              <w:bidi w:val="0"/>
              <w:spacing w:after="0" w:line="240" w:lineRule="auto"/>
              <w:rPr>
                <w:rFonts w:ascii="Arial Narrow" w:hAnsi="Arial Narrow"/>
                <w:sz w:val="22"/>
                <w:szCs w:val="22"/>
              </w:rPr>
            </w:pPr>
            <w:r w:rsidRPr="00DA5DED" w:rsidR="00DA5DED">
              <w:rPr>
                <w:rFonts w:ascii="Arial Narrow" w:hAnsi="Arial Narrow"/>
                <w:sz w:val="22"/>
                <w:szCs w:val="22"/>
              </w:rPr>
              <w:t>Nástroje uvedené v tomto písmene podliehajú náležitej vernostnej politike, ktorá je zameraná na zosúladenie stimulov so záujmami správcu AIF a AIF, ktorý spravuje, a investorov takých AIF. Členské štáty alebo ich príslušné orgány môžu v náležitých prípadoch zaviesť obmedzenia druhov a foriem týchto nástrojov alebo zakázať niektoré nástroje. Toto písmeno sa uplatňuje na časť pohyblivej zložky odmeňovania odloženú v súlade s písmenom n) a neodloženú časť pohyblivej zložky;</w:t>
            </w:r>
          </w:p>
          <w:p w:rsidR="003A74AE" w:rsidP="00DA5DED">
            <w:pPr>
              <w:pStyle w:val="Normlny"/>
              <w:bidi w:val="0"/>
              <w:spacing w:after="0" w:line="240" w:lineRule="auto"/>
              <w:rPr>
                <w:rFonts w:ascii="Arial Narrow" w:hAnsi="Arial Narrow"/>
                <w:sz w:val="22"/>
                <w:szCs w:val="22"/>
              </w:rPr>
            </w:pPr>
          </w:p>
          <w:p w:rsidR="003A74AE" w:rsidP="00DA5DED">
            <w:pPr>
              <w:pStyle w:val="Normlny"/>
              <w:bidi w:val="0"/>
              <w:spacing w:after="0" w:line="240" w:lineRule="auto"/>
              <w:rPr>
                <w:rFonts w:ascii="Arial Narrow" w:hAnsi="Arial Narrow"/>
                <w:sz w:val="22"/>
                <w:szCs w:val="22"/>
              </w:rPr>
            </w:pPr>
          </w:p>
          <w:p w:rsidR="003A74AE" w:rsidP="00DA5DED">
            <w:pPr>
              <w:pStyle w:val="Normlny"/>
              <w:bidi w:val="0"/>
              <w:spacing w:after="0" w:line="240" w:lineRule="auto"/>
              <w:rPr>
                <w:rFonts w:ascii="Arial Narrow" w:hAnsi="Arial Narrow"/>
                <w:sz w:val="22"/>
                <w:szCs w:val="22"/>
              </w:rPr>
            </w:pPr>
          </w:p>
          <w:p w:rsidR="003A74AE" w:rsidP="00DA5DED">
            <w:pPr>
              <w:pStyle w:val="Normlny"/>
              <w:bidi w:val="0"/>
              <w:spacing w:after="0" w:line="240" w:lineRule="auto"/>
              <w:rPr>
                <w:rFonts w:ascii="Arial Narrow" w:hAnsi="Arial Narrow"/>
                <w:sz w:val="22"/>
                <w:szCs w:val="22"/>
              </w:rPr>
            </w:pPr>
          </w:p>
          <w:p w:rsidR="003A74AE" w:rsidP="00DA5DED">
            <w:pPr>
              <w:pStyle w:val="Normlny"/>
              <w:bidi w:val="0"/>
              <w:spacing w:after="0" w:line="240" w:lineRule="auto"/>
              <w:rPr>
                <w:rFonts w:ascii="Arial Narrow" w:hAnsi="Arial Narrow"/>
                <w:sz w:val="22"/>
                <w:szCs w:val="22"/>
              </w:rPr>
            </w:pPr>
          </w:p>
          <w:p w:rsidR="00DA5DED" w:rsidRP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n) významná časť, ktorá tvorí minimálne 40 % pohyblivej zložky odmeňovania, sa odkladá na obdobie, ktoré je primerané z hľadiska životného cyklu a politiky vyplácania dotknutého AIF, a je náležite zosúladená s charakterom rizík daného AIF. </w:t>
            </w:r>
          </w:p>
          <w:p w:rsid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Doba uvedená v tomto písmene je minimálne tri až päť rokov, pokiaľ nie je životný cyklus dotknutého AIF kratší. Splatná odložená odmena sa neprideľuje rýchlejšie ako na pomernom základe. V prípade variabilnej zložky odmeňovania, ktorá je obzvlášť vysoká, sa odkladá minimálne 60 % sumy; </w:t>
            </w:r>
          </w:p>
          <w:p w:rsidR="003A74AE" w:rsidP="00DA5DED">
            <w:pPr>
              <w:pStyle w:val="Normlny"/>
              <w:bidi w:val="0"/>
              <w:spacing w:after="0" w:line="240" w:lineRule="auto"/>
              <w:rPr>
                <w:rFonts w:ascii="Arial Narrow" w:hAnsi="Arial Narrow"/>
                <w:sz w:val="22"/>
                <w:szCs w:val="22"/>
              </w:rPr>
            </w:pPr>
          </w:p>
          <w:p w:rsidR="003A74AE" w:rsidP="00DA5DED">
            <w:pPr>
              <w:pStyle w:val="Normlny"/>
              <w:bidi w:val="0"/>
              <w:spacing w:after="0" w:line="240" w:lineRule="auto"/>
              <w:rPr>
                <w:rFonts w:ascii="Arial Narrow" w:hAnsi="Arial Narrow"/>
                <w:sz w:val="22"/>
                <w:szCs w:val="22"/>
              </w:rPr>
            </w:pPr>
          </w:p>
          <w:p w:rsidR="003A74AE" w:rsidRPr="00DA5DED" w:rsidP="00DA5DED">
            <w:pPr>
              <w:pStyle w:val="Normlny"/>
              <w:bidi w:val="0"/>
              <w:spacing w:after="0" w:line="240" w:lineRule="auto"/>
              <w:rPr>
                <w:rFonts w:ascii="Arial Narrow" w:hAnsi="Arial Narrow"/>
                <w:sz w:val="22"/>
                <w:szCs w:val="22"/>
              </w:rPr>
            </w:pPr>
          </w:p>
          <w:p w:rsidR="00DA5DED" w:rsidRP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o) pohyblivá zložka odmeňovania vrátane odloženej časti sa vypláca alebo prideľuje, len ak to umožňuje finančná situácia správcu AIF ako celku a je to odôvodnené na základe výkonnosti organizačného útvaru, AIF a dotknutého jednotlivca. </w:t>
            </w:r>
          </w:p>
          <w:p w:rsid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Celková pohyblivá zložka odmeňovania sa vo všeobecnosti výrazne skráti, ak sa finančné výsledky dotknutého správcu AIF alebo samotných AIF zhoršia alebo dosiahnu záporné hodnoty, pričom sa zohľadňuje aktuálna odmena, ako aj zníženie vyplácania súm zarobených skôr, a to aj prostredníctvom malusu alebo dohôd o vrátení (clawback arrangements); </w:t>
            </w:r>
          </w:p>
          <w:p w:rsidR="003A74AE" w:rsidP="00DA5DED">
            <w:pPr>
              <w:pStyle w:val="Normlny"/>
              <w:bidi w:val="0"/>
              <w:spacing w:after="0" w:line="240" w:lineRule="auto"/>
              <w:rPr>
                <w:rFonts w:ascii="Arial Narrow" w:hAnsi="Arial Narrow"/>
                <w:sz w:val="22"/>
                <w:szCs w:val="22"/>
              </w:rPr>
            </w:pPr>
          </w:p>
          <w:p w:rsidR="003A74AE" w:rsidP="00DA5DED">
            <w:pPr>
              <w:pStyle w:val="Normlny"/>
              <w:bidi w:val="0"/>
              <w:spacing w:after="0" w:line="240" w:lineRule="auto"/>
              <w:rPr>
                <w:rFonts w:ascii="Arial Narrow" w:hAnsi="Arial Narrow"/>
                <w:sz w:val="22"/>
                <w:szCs w:val="22"/>
              </w:rPr>
            </w:pPr>
          </w:p>
          <w:p w:rsidR="00DA5DED" w:rsidRP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p) politika dôchodkového zabezpečenia je v súlade s obchodnou stratégiou, cieľmi, hodnotami a dlhodobými záujmami správcu AIF a AIF, ktorý spravuje. </w:t>
            </w:r>
          </w:p>
          <w:p w:rsidR="003A74AE" w:rsidP="00DA5DED">
            <w:pPr>
              <w:pStyle w:val="Normlny"/>
              <w:bidi w:val="0"/>
              <w:spacing w:after="0" w:line="240" w:lineRule="auto"/>
              <w:rPr>
                <w:rFonts w:ascii="Arial Narrow" w:hAnsi="Arial Narrow"/>
                <w:sz w:val="22"/>
                <w:szCs w:val="22"/>
              </w:rPr>
            </w:pPr>
            <w:r w:rsidRPr="00DA5DED" w:rsidR="00DA5DED">
              <w:rPr>
                <w:rFonts w:ascii="Arial Narrow" w:hAnsi="Arial Narrow"/>
                <w:sz w:val="22"/>
                <w:szCs w:val="22"/>
              </w:rPr>
              <w:t>Ak zamestnanec odíde od správcu AIF pred odchodom do dôchodku, dobrovoľné platby dôchodkového zabezpečenia správca AIF zadrží počas obdobia piatich rokov vo forme nástrojov vymedzených v písmene m). V prípade zamestnanca, ktorý dosiahne dôchodkový vek, sa dobrovoľné platby dôchodkového zabezpečenia vyplácajú zamestnancovi formou nástrojov vymedzených v písmene m) a podliehajú päťročnému obdobiu zadržania;</w:t>
            </w:r>
          </w:p>
          <w:p w:rsidR="003A74AE" w:rsidP="00DA5DED">
            <w:pPr>
              <w:pStyle w:val="Normlny"/>
              <w:bidi w:val="0"/>
              <w:spacing w:after="0" w:line="240" w:lineRule="auto"/>
              <w:rPr>
                <w:rFonts w:ascii="Arial Narrow" w:hAnsi="Arial Narrow"/>
                <w:sz w:val="22"/>
                <w:szCs w:val="22"/>
              </w:rPr>
            </w:pPr>
          </w:p>
          <w:p w:rsidR="003A74AE" w:rsidP="00DA5DED">
            <w:pPr>
              <w:pStyle w:val="Normlny"/>
              <w:bidi w:val="0"/>
              <w:spacing w:after="0" w:line="240" w:lineRule="auto"/>
              <w:rPr>
                <w:rFonts w:ascii="Arial Narrow" w:hAnsi="Arial Narrow"/>
                <w:sz w:val="22"/>
                <w:szCs w:val="22"/>
              </w:rPr>
            </w:pPr>
          </w:p>
          <w:p w:rsidR="003A74AE" w:rsidP="00DA5DED">
            <w:pPr>
              <w:pStyle w:val="Normlny"/>
              <w:bidi w:val="0"/>
              <w:spacing w:after="0" w:line="240" w:lineRule="auto"/>
              <w:rPr>
                <w:rFonts w:ascii="Arial Narrow" w:hAnsi="Arial Narrow"/>
                <w:sz w:val="22"/>
                <w:szCs w:val="22"/>
              </w:rPr>
            </w:pPr>
          </w:p>
          <w:p w:rsidR="003A74AE" w:rsidP="00DA5DED">
            <w:pPr>
              <w:pStyle w:val="Normlny"/>
              <w:bidi w:val="0"/>
              <w:spacing w:after="0" w:line="240" w:lineRule="auto"/>
              <w:rPr>
                <w:rFonts w:ascii="Arial Narrow" w:hAnsi="Arial Narrow"/>
                <w:sz w:val="22"/>
                <w:szCs w:val="22"/>
              </w:rPr>
            </w:pPr>
          </w:p>
          <w:p w:rsid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 q) od pracovníkov sa požaduje, aby sa zaviazali, že nebudú využívať stratégie osobného zaistenia ani poistenia odmeňovania a zodpovednosti, ktorými by oslabovali účinky ovplyvňujúce primeranosť rizík vyplývajúce z dojednaného spôsobu ich odmeňovania; </w:t>
            </w:r>
          </w:p>
          <w:p w:rsid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r) pohyblivá zložka odmeňovania sa nevypláca prostredníctvom nástrojov ani metód, ktoré napomáhajú vyhýbaniu sa plnenia požiadaviek tejto smernice. </w:t>
            </w:r>
          </w:p>
          <w:p w:rsidR="003A74AE" w:rsidP="00DA5DED">
            <w:pPr>
              <w:pStyle w:val="Normlny"/>
              <w:bidi w:val="0"/>
              <w:spacing w:after="0" w:line="240" w:lineRule="auto"/>
              <w:rPr>
                <w:rFonts w:ascii="Arial Narrow" w:hAnsi="Arial Narrow"/>
                <w:sz w:val="22"/>
                <w:szCs w:val="22"/>
              </w:rPr>
            </w:pPr>
          </w:p>
          <w:p w:rsidR="003A74AE" w:rsidRPr="00DA5DED" w:rsidP="00DA5DED">
            <w:pPr>
              <w:pStyle w:val="Normlny"/>
              <w:bidi w:val="0"/>
              <w:spacing w:after="0" w:line="240" w:lineRule="auto"/>
              <w:rPr>
                <w:rFonts w:ascii="Arial Narrow" w:hAnsi="Arial Narrow"/>
                <w:sz w:val="22"/>
                <w:szCs w:val="22"/>
              </w:rPr>
            </w:pPr>
          </w:p>
          <w:p w:rsidR="00DA5DED" w:rsidRP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2. Zásady stanovené v odseku 1 sa uplatňujú na všetky druhy odmeňovania vyplácaného správcom AIF, na každú sumu, ktorú priamo vypláca AIF vrátane kapitalizovaného úroku a na každý prevod podielových listov alebo akcií AIF v prospech týchto kategórií pracovníkov vrátane vrcholového manažmentu, zamestnancov, ktorí prijímajú riziká, zamestnancov v kontrolných funkciách a akýchkoľvek zamestnancov poberajúcich celkové odmeny, ktoré ich radia do rovnakej triedy odmeňovania ako vrcholový manažment a zamestnanci, ktorí prijímajú riziká, ktorých pracovné činnosti majú materiálny vplyv na ich rizikový profil alebo rizikové profily AIF, ktoré spravujú. </w:t>
            </w:r>
          </w:p>
          <w:p w:rsidR="00DA5DED" w:rsidRP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 xml:space="preserve">3. Správcovia AIF, ktorí sú významní z hľadiska svojej veľkosti alebo veľkosti AIF, ktoré spravujú, svojej vnútornej organizácie a charakteru, rozsahu a komplexnosti svojich činností, zriadia výbor pre odmeňovanie. Výbor pre odmeňovanie sa zriadi takým spôsobom, aby bol spôsobilý kompetentne a nezávisle posudzovať politiky a postupy odmeňovania a stimuly vytvorené na riadenie rizika. </w:t>
            </w:r>
          </w:p>
          <w:p w:rsidR="00DA5DED" w:rsidRPr="00DA5DED" w:rsidP="00DA5DED">
            <w:pPr>
              <w:pStyle w:val="Normlny"/>
              <w:bidi w:val="0"/>
              <w:spacing w:after="0" w:line="240" w:lineRule="auto"/>
              <w:rPr>
                <w:rFonts w:ascii="Arial Narrow" w:hAnsi="Arial Narrow"/>
                <w:sz w:val="22"/>
                <w:szCs w:val="22"/>
              </w:rPr>
            </w:pPr>
            <w:r w:rsidRPr="00DA5DED">
              <w:rPr>
                <w:rFonts w:ascii="Arial Narrow" w:hAnsi="Arial Narrow"/>
                <w:sz w:val="22"/>
                <w:szCs w:val="22"/>
              </w:rPr>
              <w:t>Výbor pre odmeňovanie zodpovedá za vypracovanie rozhodnutí týkajúcich sa odmeňovania vrátane tých, ktoré majú dôsledky na riziká a riadenie rizík dotknutého správcu AIF alebo AIF a ktoré má prijímať riadiaci orgán v rámci svojej funkcie dohľadu. Výboru pre odmeňovanie predsedá člen riadiaceho orgánu, ktorý v dotknutom správcovi AIF nemá žiadne výkonné funkcie. Členovia výboru pre odmeňovanie sú členmi riadiaceho orgánu, ktorí v dotknutom správcovi AIF nemajú žiadne výkonné funkcie.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DA5DED">
            <w:pPr>
              <w:bidi w:val="0"/>
              <w:spacing w:after="0" w:line="240" w:lineRule="auto"/>
              <w:jc w:val="center"/>
              <w:rPr>
                <w:rFonts w:ascii="Arial Narrow" w:hAnsi="Arial Narrow"/>
                <w:sz w:val="22"/>
                <w:szCs w:val="22"/>
              </w:rPr>
            </w:pPr>
            <w:r w:rsidR="00DA5DED">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DA5DED">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5DED" w:rsidP="004577EC">
            <w:pPr>
              <w:bidi w:val="0"/>
              <w:spacing w:after="0" w:line="240" w:lineRule="auto"/>
              <w:jc w:val="center"/>
              <w:rPr>
                <w:rFonts w:ascii="Arial Narrow" w:hAnsi="Arial Narrow"/>
                <w:sz w:val="22"/>
                <w:szCs w:val="22"/>
              </w:rPr>
            </w:pPr>
            <w:r>
              <w:rPr>
                <w:rFonts w:ascii="Arial Narrow" w:hAnsi="Arial Narrow"/>
                <w:sz w:val="22"/>
                <w:szCs w:val="22"/>
              </w:rPr>
              <w:t xml:space="preserve">§ 33 ods.8 </w:t>
            </w: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r>
              <w:rPr>
                <w:rFonts w:ascii="Arial Narrow" w:hAnsi="Arial Narrow"/>
                <w:sz w:val="22"/>
                <w:szCs w:val="22"/>
              </w:rPr>
              <w:t xml:space="preserve">ods.9 </w:t>
            </w: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4760F7"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r>
              <w:rPr>
                <w:rFonts w:ascii="Arial Narrow" w:hAnsi="Arial Narrow"/>
                <w:sz w:val="22"/>
                <w:szCs w:val="22"/>
              </w:rPr>
              <w:t xml:space="preserve">ods.10 </w:t>
            </w: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r>
              <w:rPr>
                <w:rFonts w:ascii="Arial Narrow" w:hAnsi="Arial Narrow"/>
                <w:sz w:val="22"/>
                <w:szCs w:val="22"/>
              </w:rPr>
              <w:t xml:space="preserve">ods.11 </w:t>
            </w: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DA5DED"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4760F7" w:rsidP="004577EC">
            <w:pPr>
              <w:bidi w:val="0"/>
              <w:spacing w:after="0" w:line="240" w:lineRule="auto"/>
              <w:jc w:val="center"/>
              <w:rPr>
                <w:rFonts w:ascii="Arial Narrow" w:hAnsi="Arial Narrow"/>
                <w:sz w:val="22"/>
                <w:szCs w:val="22"/>
              </w:rPr>
            </w:pPr>
          </w:p>
          <w:p w:rsidR="004760F7" w:rsidP="004577EC">
            <w:pPr>
              <w:bidi w:val="0"/>
              <w:spacing w:after="0" w:line="240" w:lineRule="auto"/>
              <w:jc w:val="center"/>
              <w:rPr>
                <w:rFonts w:ascii="Arial Narrow" w:hAnsi="Arial Narrow"/>
                <w:sz w:val="22"/>
                <w:szCs w:val="22"/>
              </w:rPr>
            </w:pPr>
          </w:p>
          <w:p w:rsidR="004760F7" w:rsidP="004577EC">
            <w:pPr>
              <w:bidi w:val="0"/>
              <w:spacing w:after="0" w:line="240" w:lineRule="auto"/>
              <w:jc w:val="center"/>
              <w:rPr>
                <w:rFonts w:ascii="Arial Narrow" w:hAnsi="Arial Narrow"/>
                <w:sz w:val="22"/>
                <w:szCs w:val="22"/>
              </w:rPr>
            </w:pPr>
          </w:p>
          <w:p w:rsidR="004760F7" w:rsidP="004577EC">
            <w:pPr>
              <w:bidi w:val="0"/>
              <w:spacing w:after="0" w:line="240" w:lineRule="auto"/>
              <w:jc w:val="center"/>
              <w:rPr>
                <w:rFonts w:ascii="Arial Narrow" w:hAnsi="Arial Narrow"/>
                <w:sz w:val="22"/>
                <w:szCs w:val="22"/>
              </w:rPr>
            </w:pPr>
          </w:p>
          <w:p w:rsidR="003A74AE" w:rsidP="004577EC">
            <w:pPr>
              <w:bidi w:val="0"/>
              <w:spacing w:after="0" w:line="240" w:lineRule="auto"/>
              <w:jc w:val="center"/>
              <w:rPr>
                <w:rFonts w:ascii="Arial Narrow" w:hAnsi="Arial Narrow"/>
                <w:sz w:val="22"/>
                <w:szCs w:val="22"/>
              </w:rPr>
            </w:pPr>
          </w:p>
          <w:p w:rsidR="003A74AE" w:rsidP="003A74AE">
            <w:pPr>
              <w:bidi w:val="0"/>
              <w:spacing w:after="0" w:line="240" w:lineRule="auto"/>
              <w:jc w:val="center"/>
              <w:rPr>
                <w:rFonts w:ascii="Arial Narrow" w:hAnsi="Arial Narrow"/>
                <w:sz w:val="22"/>
                <w:szCs w:val="22"/>
              </w:rPr>
            </w:pPr>
            <w:r w:rsidR="00DA5DED">
              <w:rPr>
                <w:rFonts w:ascii="Arial Narrow" w:hAnsi="Arial Narrow"/>
                <w:sz w:val="22"/>
                <w:szCs w:val="22"/>
              </w:rPr>
              <w:t xml:space="preserve">ods.12 </w:t>
            </w:r>
          </w:p>
          <w:p w:rsidR="004760F7" w:rsidP="003A74AE">
            <w:pPr>
              <w:bidi w:val="0"/>
              <w:spacing w:after="0" w:line="240" w:lineRule="auto"/>
              <w:jc w:val="center"/>
              <w:rPr>
                <w:rFonts w:ascii="Arial Narrow" w:hAnsi="Arial Narrow"/>
                <w:sz w:val="22"/>
                <w:szCs w:val="22"/>
              </w:rPr>
            </w:pPr>
          </w:p>
          <w:p w:rsidR="004760F7" w:rsidP="003A74AE">
            <w:pPr>
              <w:bidi w:val="0"/>
              <w:spacing w:after="0" w:line="240" w:lineRule="auto"/>
              <w:jc w:val="center"/>
              <w:rPr>
                <w:rFonts w:ascii="Arial Narrow" w:hAnsi="Arial Narrow"/>
                <w:sz w:val="22"/>
                <w:szCs w:val="22"/>
              </w:rPr>
            </w:pPr>
          </w:p>
          <w:p w:rsidR="004760F7" w:rsidP="003A74AE">
            <w:pPr>
              <w:bidi w:val="0"/>
              <w:spacing w:after="0" w:line="240" w:lineRule="auto"/>
              <w:jc w:val="center"/>
              <w:rPr>
                <w:rFonts w:ascii="Arial Narrow" w:hAnsi="Arial Narrow"/>
                <w:sz w:val="22"/>
                <w:szCs w:val="22"/>
              </w:rPr>
            </w:pPr>
          </w:p>
          <w:p w:rsidR="004760F7" w:rsidP="003A74AE">
            <w:pPr>
              <w:bidi w:val="0"/>
              <w:spacing w:after="0" w:line="240" w:lineRule="auto"/>
              <w:jc w:val="center"/>
              <w:rPr>
                <w:rFonts w:ascii="Arial Narrow" w:hAnsi="Arial Narrow"/>
                <w:sz w:val="22"/>
                <w:szCs w:val="22"/>
              </w:rPr>
            </w:pPr>
          </w:p>
          <w:p w:rsidR="004760F7" w:rsidP="003A74AE">
            <w:pPr>
              <w:bidi w:val="0"/>
              <w:spacing w:after="0" w:line="240" w:lineRule="auto"/>
              <w:jc w:val="center"/>
              <w:rPr>
                <w:rFonts w:ascii="Arial Narrow" w:hAnsi="Arial Narrow"/>
                <w:sz w:val="22"/>
                <w:szCs w:val="22"/>
              </w:rPr>
            </w:pPr>
          </w:p>
          <w:p w:rsidR="004760F7" w:rsidP="003A74AE">
            <w:pPr>
              <w:bidi w:val="0"/>
              <w:spacing w:after="0" w:line="240" w:lineRule="auto"/>
              <w:jc w:val="center"/>
              <w:rPr>
                <w:rFonts w:ascii="Arial Narrow" w:hAnsi="Arial Narrow"/>
                <w:sz w:val="22"/>
                <w:szCs w:val="22"/>
              </w:rPr>
            </w:pPr>
          </w:p>
          <w:p w:rsidR="004760F7" w:rsidP="003A74AE">
            <w:pPr>
              <w:bidi w:val="0"/>
              <w:spacing w:after="0" w:line="240" w:lineRule="auto"/>
              <w:jc w:val="center"/>
              <w:rPr>
                <w:rFonts w:ascii="Arial Narrow" w:hAnsi="Arial Narrow"/>
                <w:sz w:val="22"/>
                <w:szCs w:val="22"/>
              </w:rPr>
            </w:pPr>
          </w:p>
          <w:p w:rsidR="003A74AE" w:rsidP="003A74AE">
            <w:pPr>
              <w:bidi w:val="0"/>
              <w:spacing w:after="0" w:line="240" w:lineRule="auto"/>
              <w:jc w:val="center"/>
              <w:rPr>
                <w:rFonts w:ascii="Arial Narrow" w:hAnsi="Arial Narrow"/>
                <w:sz w:val="22"/>
                <w:szCs w:val="22"/>
              </w:rPr>
            </w:pPr>
            <w:r>
              <w:rPr>
                <w:rFonts w:ascii="Arial Narrow" w:hAnsi="Arial Narrow"/>
                <w:sz w:val="22"/>
                <w:szCs w:val="22"/>
              </w:rPr>
              <w:t>o</w:t>
            </w:r>
            <w:r w:rsidR="00DA5DED">
              <w:rPr>
                <w:rFonts w:ascii="Arial Narrow" w:hAnsi="Arial Narrow"/>
                <w:sz w:val="22"/>
                <w:szCs w:val="22"/>
              </w:rPr>
              <w:t xml:space="preserve">ds.13 </w:t>
            </w:r>
          </w:p>
          <w:p w:rsidR="004760F7" w:rsidP="003A74AE">
            <w:pPr>
              <w:bidi w:val="0"/>
              <w:spacing w:after="0" w:line="240" w:lineRule="auto"/>
              <w:jc w:val="center"/>
              <w:rPr>
                <w:rFonts w:ascii="Arial Narrow" w:hAnsi="Arial Narrow"/>
                <w:sz w:val="22"/>
                <w:szCs w:val="22"/>
              </w:rPr>
            </w:pPr>
          </w:p>
          <w:p w:rsidR="004760F7" w:rsidP="003A74AE">
            <w:pPr>
              <w:bidi w:val="0"/>
              <w:spacing w:after="0" w:line="240" w:lineRule="auto"/>
              <w:jc w:val="center"/>
              <w:rPr>
                <w:rFonts w:ascii="Arial Narrow" w:hAnsi="Arial Narrow"/>
                <w:sz w:val="22"/>
                <w:szCs w:val="22"/>
              </w:rPr>
            </w:pPr>
          </w:p>
          <w:p w:rsidR="004760F7" w:rsidP="003A74AE">
            <w:pPr>
              <w:bidi w:val="0"/>
              <w:spacing w:after="0" w:line="240" w:lineRule="auto"/>
              <w:jc w:val="center"/>
              <w:rPr>
                <w:rFonts w:ascii="Arial Narrow" w:hAnsi="Arial Narrow"/>
                <w:sz w:val="22"/>
                <w:szCs w:val="22"/>
              </w:rPr>
            </w:pPr>
          </w:p>
          <w:p w:rsidR="004760F7" w:rsidP="003A74AE">
            <w:pPr>
              <w:bidi w:val="0"/>
              <w:spacing w:after="0" w:line="240" w:lineRule="auto"/>
              <w:jc w:val="center"/>
              <w:rPr>
                <w:rFonts w:ascii="Arial Narrow" w:hAnsi="Arial Narrow"/>
                <w:sz w:val="22"/>
                <w:szCs w:val="22"/>
              </w:rPr>
            </w:pPr>
          </w:p>
          <w:p w:rsidR="004760F7" w:rsidP="003A74AE">
            <w:pPr>
              <w:bidi w:val="0"/>
              <w:spacing w:after="0" w:line="240" w:lineRule="auto"/>
              <w:jc w:val="center"/>
              <w:rPr>
                <w:rFonts w:ascii="Arial Narrow" w:hAnsi="Arial Narrow"/>
                <w:sz w:val="22"/>
                <w:szCs w:val="22"/>
              </w:rPr>
            </w:pPr>
          </w:p>
          <w:p w:rsidR="004760F7" w:rsidP="003A74AE">
            <w:pPr>
              <w:bidi w:val="0"/>
              <w:spacing w:after="0" w:line="240" w:lineRule="auto"/>
              <w:jc w:val="center"/>
              <w:rPr>
                <w:rFonts w:ascii="Arial Narrow" w:hAnsi="Arial Narrow"/>
                <w:sz w:val="22"/>
                <w:szCs w:val="22"/>
              </w:rPr>
            </w:pPr>
          </w:p>
          <w:p w:rsidR="004760F7" w:rsidP="003A74AE">
            <w:pPr>
              <w:bidi w:val="0"/>
              <w:spacing w:after="0" w:line="240" w:lineRule="auto"/>
              <w:jc w:val="center"/>
              <w:rPr>
                <w:rFonts w:ascii="Arial Narrow" w:hAnsi="Arial Narrow"/>
                <w:sz w:val="22"/>
                <w:szCs w:val="22"/>
              </w:rPr>
            </w:pPr>
          </w:p>
          <w:p w:rsidR="004760F7" w:rsidP="003A74AE">
            <w:pPr>
              <w:bidi w:val="0"/>
              <w:spacing w:after="0" w:line="240" w:lineRule="auto"/>
              <w:jc w:val="center"/>
              <w:rPr>
                <w:rFonts w:ascii="Arial Narrow" w:hAnsi="Arial Narrow"/>
                <w:sz w:val="22"/>
                <w:szCs w:val="22"/>
              </w:rPr>
            </w:pPr>
          </w:p>
          <w:p w:rsidR="004760F7" w:rsidP="003A74AE">
            <w:pPr>
              <w:bidi w:val="0"/>
              <w:spacing w:after="0" w:line="240" w:lineRule="auto"/>
              <w:jc w:val="center"/>
              <w:rPr>
                <w:rFonts w:ascii="Arial Narrow" w:hAnsi="Arial Narrow"/>
                <w:sz w:val="22"/>
                <w:szCs w:val="22"/>
              </w:rPr>
            </w:pPr>
          </w:p>
          <w:p w:rsidR="004760F7" w:rsidP="003A74AE">
            <w:pPr>
              <w:bidi w:val="0"/>
              <w:spacing w:after="0" w:line="240" w:lineRule="auto"/>
              <w:jc w:val="center"/>
              <w:rPr>
                <w:rFonts w:ascii="Arial Narrow" w:hAnsi="Arial Narrow"/>
                <w:sz w:val="22"/>
                <w:szCs w:val="22"/>
              </w:rPr>
            </w:pPr>
          </w:p>
          <w:p w:rsidR="004760F7" w:rsidP="003A74AE">
            <w:pPr>
              <w:bidi w:val="0"/>
              <w:spacing w:after="0" w:line="240" w:lineRule="auto"/>
              <w:jc w:val="center"/>
              <w:rPr>
                <w:rFonts w:ascii="Arial Narrow" w:hAnsi="Arial Narrow"/>
                <w:sz w:val="22"/>
                <w:szCs w:val="22"/>
              </w:rPr>
            </w:pPr>
          </w:p>
          <w:p w:rsidR="004760F7" w:rsidP="003A74AE">
            <w:pPr>
              <w:bidi w:val="0"/>
              <w:spacing w:after="0" w:line="240" w:lineRule="auto"/>
              <w:jc w:val="center"/>
              <w:rPr>
                <w:rFonts w:ascii="Arial Narrow" w:hAnsi="Arial Narrow"/>
                <w:sz w:val="22"/>
                <w:szCs w:val="22"/>
              </w:rPr>
            </w:pPr>
          </w:p>
          <w:p w:rsidR="004760F7" w:rsidP="003A74AE">
            <w:pPr>
              <w:bidi w:val="0"/>
              <w:spacing w:after="0" w:line="240" w:lineRule="auto"/>
              <w:jc w:val="center"/>
              <w:rPr>
                <w:rFonts w:ascii="Arial Narrow" w:hAnsi="Arial Narrow"/>
                <w:sz w:val="22"/>
                <w:szCs w:val="22"/>
              </w:rPr>
            </w:pPr>
          </w:p>
          <w:p w:rsidR="00A9063F" w:rsidRPr="00DA5DED" w:rsidP="003A74AE">
            <w:pPr>
              <w:bidi w:val="0"/>
              <w:spacing w:after="0" w:line="240" w:lineRule="auto"/>
              <w:jc w:val="center"/>
              <w:rPr>
                <w:rFonts w:ascii="Arial Narrow" w:hAnsi="Arial Narrow"/>
                <w:sz w:val="22"/>
                <w:szCs w:val="22"/>
              </w:rPr>
            </w:pPr>
            <w:r w:rsidR="00DA5DED">
              <w:rPr>
                <w:rFonts w:ascii="Arial Narrow" w:hAnsi="Arial Narrow"/>
                <w:sz w:val="22"/>
                <w:szCs w:val="22"/>
              </w:rPr>
              <w:t>ods.14</w:t>
            </w:r>
          </w:p>
        </w:tc>
        <w:tc>
          <w:tcPr>
            <w:tcW w:w="6379" w:type="dxa"/>
            <w:tcBorders>
              <w:top w:val="single" w:sz="4" w:space="0" w:color="auto"/>
              <w:left w:val="single" w:sz="4" w:space="0" w:color="auto"/>
              <w:bottom w:val="single" w:sz="4" w:space="0" w:color="auto"/>
              <w:right w:val="single" w:sz="4" w:space="0" w:color="auto"/>
            </w:tcBorders>
            <w:textDirection w:val="lrTb"/>
            <w:vAlign w:val="top"/>
          </w:tcPr>
          <w:p w:rsidR="00DA5DED" w:rsidRPr="00DA5DED" w:rsidP="00DA5DED">
            <w:pPr>
              <w:bidi w:val="0"/>
              <w:spacing w:after="0" w:line="240" w:lineRule="auto"/>
              <w:jc w:val="both"/>
              <w:rPr>
                <w:rFonts w:ascii="Arial Narrow" w:hAnsi="Arial Narrow"/>
                <w:b/>
                <w:i/>
                <w:iCs/>
                <w:sz w:val="22"/>
                <w:szCs w:val="22"/>
              </w:rPr>
            </w:pPr>
            <w:r w:rsidRPr="00DA5DED">
              <w:rPr>
                <w:rFonts w:ascii="Arial Narrow" w:hAnsi="Arial Narrow"/>
                <w:b/>
                <w:sz w:val="22"/>
                <w:szCs w:val="22"/>
              </w:rPr>
              <w:t xml:space="preserve">Správcovská  spoločnosť  je povinná zahrnúť do stanov zásady odmeňovania osôb podľa odseku 9, ktoré podporujú spoľahlivé a účinné riadenie rizík a obmedzujú podstupovanie rizík nezlučiteľných s rizikovým profilom, štatútom alebo zakladajúcimi dokumentmi alternatívnych investičných fondov a zahraničných alternatívnych investičných fondov. </w:t>
            </w:r>
          </w:p>
          <w:p w:rsidR="00DA5DED" w:rsidRPr="00DA5DED" w:rsidP="00DA5DED">
            <w:pPr>
              <w:bidi w:val="0"/>
              <w:spacing w:after="0" w:line="240" w:lineRule="auto"/>
              <w:jc w:val="both"/>
              <w:rPr>
                <w:rFonts w:ascii="Arial Narrow" w:hAnsi="Arial Narrow"/>
                <w:b/>
                <w:sz w:val="22"/>
                <w:szCs w:val="22"/>
              </w:rPr>
            </w:pPr>
            <w:r w:rsidRPr="00DA5DED">
              <w:rPr>
                <w:rFonts w:ascii="Arial Narrow" w:hAnsi="Arial Narrow"/>
                <w:b/>
                <w:sz w:val="22"/>
                <w:szCs w:val="22"/>
              </w:rPr>
              <w:t xml:space="preserve"> Správcovská spoločnosť s povolením podľa § 28a, je povinná uplatňovať zásady odmeňovania  u</w:t>
            </w:r>
          </w:p>
          <w:p w:rsidR="00DA5DED" w:rsidRPr="00DA5DED" w:rsidP="00DA5DED">
            <w:pPr>
              <w:numPr>
                <w:numId w:val="17"/>
              </w:numPr>
              <w:autoSpaceDE/>
              <w:autoSpaceDN/>
              <w:bidi w:val="0"/>
              <w:spacing w:after="0" w:line="240" w:lineRule="auto"/>
              <w:ind w:left="0" w:firstLine="705"/>
              <w:jc w:val="both"/>
              <w:rPr>
                <w:rFonts w:ascii="Arial Narrow" w:hAnsi="Arial Narrow"/>
                <w:b/>
                <w:sz w:val="22"/>
                <w:szCs w:val="22"/>
              </w:rPr>
            </w:pPr>
            <w:r w:rsidRPr="00DA5DED">
              <w:rPr>
                <w:rFonts w:ascii="Arial Narrow" w:hAnsi="Arial Narrow"/>
                <w:b/>
                <w:sz w:val="22"/>
                <w:szCs w:val="22"/>
              </w:rPr>
              <w:t>všetkých členov predstavenstva a dozornej rady správcovskej spoločnosti,</w:t>
            </w:r>
          </w:p>
          <w:p w:rsidR="00DA5DED" w:rsidRPr="00DA5DED" w:rsidP="00DA5DED">
            <w:pPr>
              <w:numPr>
                <w:numId w:val="17"/>
              </w:numPr>
              <w:autoSpaceDE/>
              <w:autoSpaceDN/>
              <w:bidi w:val="0"/>
              <w:spacing w:after="0" w:line="240" w:lineRule="auto"/>
              <w:ind w:left="0" w:firstLine="705"/>
              <w:jc w:val="both"/>
              <w:rPr>
                <w:rFonts w:ascii="Arial Narrow" w:hAnsi="Arial Narrow"/>
                <w:b/>
                <w:sz w:val="22"/>
                <w:szCs w:val="22"/>
              </w:rPr>
            </w:pPr>
            <w:r w:rsidRPr="00DA5DED">
              <w:rPr>
                <w:rFonts w:ascii="Arial Narrow" w:hAnsi="Arial Narrow"/>
                <w:b/>
                <w:sz w:val="22"/>
                <w:szCs w:val="22"/>
              </w:rPr>
              <w:t>všetkých členov vrcholového manažmentu správcovskej spoločnosti, iných ako podľa písmena a),</w:t>
            </w:r>
          </w:p>
          <w:p w:rsidR="00DA5DED" w:rsidRPr="00DA5DED" w:rsidP="00DA5DED">
            <w:pPr>
              <w:numPr>
                <w:numId w:val="17"/>
              </w:numPr>
              <w:autoSpaceDE/>
              <w:autoSpaceDN/>
              <w:bidi w:val="0"/>
              <w:spacing w:after="0" w:line="240" w:lineRule="auto"/>
              <w:ind w:left="0" w:firstLine="705"/>
              <w:jc w:val="both"/>
              <w:rPr>
                <w:rFonts w:ascii="Arial Narrow" w:hAnsi="Arial Narrow"/>
                <w:b/>
                <w:sz w:val="22"/>
                <w:szCs w:val="22"/>
              </w:rPr>
            </w:pPr>
            <w:r w:rsidRPr="00DA5DED">
              <w:rPr>
                <w:rFonts w:ascii="Arial Narrow" w:hAnsi="Arial Narrow"/>
                <w:b/>
                <w:sz w:val="22"/>
                <w:szCs w:val="22"/>
              </w:rPr>
              <w:t xml:space="preserve">zamestnancov, ktorí z dôvodu svojej funkcie alebo pracovnej náplne  môžu, individuálne alebo ako členovia organizačného útvaru, uplatňovať podstatný vplyv na riziká správcovskej spoločnosti alebo riziká v majetku spravovaných subjektoch kolektívneho investovania, vrátane osôb, ktoré môžu uzatvárať zmluvy alebo nakladať s majetkom fondu a prijímať rozhodnutia, ktoré podstatne ovplyvňujú riziká správcovskej spoločnosti alebo riziká v majetku spravovaných subjektoch kolektívneho investovania, </w:t>
            </w:r>
          </w:p>
          <w:p w:rsidR="00DA5DED" w:rsidRPr="00DA5DED" w:rsidP="00DA5DED">
            <w:pPr>
              <w:numPr>
                <w:numId w:val="17"/>
              </w:numPr>
              <w:autoSpaceDE/>
              <w:autoSpaceDN/>
              <w:bidi w:val="0"/>
              <w:spacing w:after="0" w:line="240" w:lineRule="auto"/>
              <w:ind w:left="0" w:firstLine="705"/>
              <w:jc w:val="both"/>
              <w:rPr>
                <w:rFonts w:ascii="Arial Narrow" w:hAnsi="Arial Narrow"/>
                <w:b/>
                <w:sz w:val="22"/>
                <w:szCs w:val="22"/>
              </w:rPr>
            </w:pPr>
            <w:r w:rsidRPr="00DA5DED">
              <w:rPr>
                <w:rFonts w:ascii="Arial Narrow" w:hAnsi="Arial Narrow"/>
                <w:b/>
                <w:sz w:val="22"/>
                <w:szCs w:val="22"/>
              </w:rPr>
              <w:t>zamestnancov zodpovedných za alebo vykonávajúcich funkciu dodržiavania, funkciu riadenia rizík, funkciu vnútorného auditu alebo inú kontrolnú funkciu,</w:t>
            </w:r>
          </w:p>
          <w:p w:rsidR="00DA5DED" w:rsidRPr="00DA5DED" w:rsidP="00DA5DED">
            <w:pPr>
              <w:numPr>
                <w:numId w:val="17"/>
              </w:numPr>
              <w:autoSpaceDE/>
              <w:autoSpaceDN/>
              <w:bidi w:val="0"/>
              <w:spacing w:after="0" w:line="240" w:lineRule="auto"/>
              <w:ind w:left="0" w:firstLine="705"/>
              <w:jc w:val="both"/>
              <w:rPr>
                <w:rFonts w:ascii="Arial Narrow" w:hAnsi="Arial Narrow"/>
                <w:b/>
                <w:sz w:val="22"/>
                <w:szCs w:val="22"/>
              </w:rPr>
            </w:pPr>
            <w:r w:rsidRPr="00DA5DED">
              <w:rPr>
                <w:rFonts w:ascii="Arial Narrow" w:hAnsi="Arial Narrow"/>
                <w:b/>
                <w:sz w:val="22"/>
                <w:szCs w:val="22"/>
              </w:rPr>
              <w:t xml:space="preserve">vedúcich zamestnancov zodpovedných za riadenie investícií, administratívne činnosti podľa § 27 ods. 5, marketing alebo distribúciu alebo za riadenie ľudských zdrojov, </w:t>
            </w:r>
          </w:p>
          <w:p w:rsidR="00DA5DED" w:rsidRPr="00DA5DED" w:rsidP="00DA5DED">
            <w:pPr>
              <w:numPr>
                <w:numId w:val="17"/>
              </w:numPr>
              <w:autoSpaceDE/>
              <w:autoSpaceDN/>
              <w:bidi w:val="0"/>
              <w:spacing w:after="0" w:line="240" w:lineRule="auto"/>
              <w:ind w:left="0" w:firstLine="705"/>
              <w:jc w:val="both"/>
              <w:rPr>
                <w:rFonts w:ascii="Arial Narrow" w:hAnsi="Arial Narrow"/>
                <w:b/>
                <w:i/>
                <w:iCs/>
                <w:sz w:val="22"/>
                <w:szCs w:val="22"/>
              </w:rPr>
            </w:pPr>
            <w:r w:rsidRPr="00DA5DED">
              <w:rPr>
                <w:rFonts w:ascii="Arial Narrow" w:hAnsi="Arial Narrow"/>
                <w:b/>
                <w:color w:val="000000"/>
                <w:sz w:val="22"/>
                <w:szCs w:val="22"/>
              </w:rPr>
              <w:t xml:space="preserve"> ostatných zamestnancov, iných ako podľa písmen a) až e), ktorých celkové odmeňovanie ich radí do rovnakej triedy odmeňovania ako osoby podľa písmen a) a b), ktorých funkcia alebo pracovná náplň má významný vplyv na rizikové profily správcovskej spoločnosti alebo spravovaných </w:t>
            </w:r>
            <w:r w:rsidRPr="00DA5DED">
              <w:rPr>
                <w:rFonts w:ascii="Arial Narrow" w:hAnsi="Arial Narrow"/>
                <w:b/>
                <w:sz w:val="22"/>
                <w:szCs w:val="22"/>
              </w:rPr>
              <w:t>subjektov kolektívneho investovania</w:t>
            </w:r>
            <w:r w:rsidRPr="00DA5DED">
              <w:rPr>
                <w:rFonts w:ascii="Arial Narrow" w:hAnsi="Arial Narrow"/>
                <w:b/>
                <w:color w:val="000000"/>
                <w:sz w:val="22"/>
                <w:szCs w:val="22"/>
              </w:rPr>
              <w:t xml:space="preserve">. </w:t>
            </w:r>
          </w:p>
          <w:p w:rsidR="004760F7" w:rsidP="004760F7">
            <w:pPr>
              <w:pStyle w:val="CM1"/>
              <w:bidi w:val="0"/>
              <w:spacing w:after="0" w:line="240" w:lineRule="auto"/>
              <w:jc w:val="both"/>
              <w:rPr>
                <w:rFonts w:ascii="Arial Narrow" w:hAnsi="Arial Narrow"/>
                <w:b/>
                <w:color w:val="000000"/>
                <w:sz w:val="22"/>
                <w:szCs w:val="22"/>
              </w:rPr>
            </w:pPr>
          </w:p>
          <w:p w:rsidR="00DA5DED" w:rsidRPr="00DA5DED" w:rsidP="00DA5DED">
            <w:pPr>
              <w:pStyle w:val="CM1"/>
              <w:bidi w:val="0"/>
              <w:spacing w:after="0" w:line="240" w:lineRule="auto"/>
              <w:jc w:val="both"/>
              <w:rPr>
                <w:rFonts w:ascii="Arial Narrow" w:hAnsi="Arial Narrow"/>
                <w:b/>
                <w:sz w:val="22"/>
                <w:szCs w:val="22"/>
              </w:rPr>
            </w:pPr>
            <w:r w:rsidRPr="00DA5DED">
              <w:rPr>
                <w:rFonts w:ascii="Arial Narrow" w:hAnsi="Arial Narrow"/>
                <w:b/>
                <w:color w:val="000000"/>
                <w:sz w:val="22"/>
                <w:szCs w:val="22"/>
              </w:rPr>
              <w:t>Správcovská spoločnosť je povinná na žiadosť Národnej banky Slovenska jej preukázať výber osôb podľa odseku 9 a jeho zdôvodnenie.</w:t>
            </w:r>
            <w:r w:rsidRPr="00DA5DED">
              <w:rPr>
                <w:rFonts w:ascii="Arial Narrow" w:hAnsi="Arial Narrow"/>
                <w:b/>
                <w:sz w:val="22"/>
                <w:szCs w:val="22"/>
              </w:rPr>
              <w:t xml:space="preserve"> </w:t>
            </w:r>
          </w:p>
          <w:p w:rsidR="004760F7" w:rsidP="004760F7">
            <w:pPr>
              <w:bidi w:val="0"/>
              <w:spacing w:after="0" w:line="240" w:lineRule="auto"/>
              <w:jc w:val="both"/>
              <w:rPr>
                <w:rFonts w:ascii="Arial Narrow" w:hAnsi="Arial Narrow"/>
                <w:b/>
                <w:color w:val="000000"/>
                <w:sz w:val="22"/>
                <w:szCs w:val="22"/>
              </w:rPr>
            </w:pPr>
          </w:p>
          <w:p w:rsidR="00DA5DED" w:rsidRPr="00DA5DED" w:rsidP="00DA5DED">
            <w:pPr>
              <w:bidi w:val="0"/>
              <w:spacing w:after="0" w:line="240" w:lineRule="auto"/>
              <w:jc w:val="both"/>
              <w:rPr>
                <w:rFonts w:ascii="Arial Narrow" w:hAnsi="Arial Narrow"/>
                <w:b/>
                <w:color w:val="000000"/>
                <w:sz w:val="22"/>
                <w:szCs w:val="22"/>
              </w:rPr>
            </w:pPr>
            <w:r w:rsidRPr="00DA5DED">
              <w:rPr>
                <w:rFonts w:ascii="Arial Narrow" w:hAnsi="Arial Narrow"/>
                <w:b/>
                <w:color w:val="000000"/>
                <w:sz w:val="22"/>
                <w:szCs w:val="22"/>
              </w:rPr>
              <w:t>Správcovská spoločnosť je povinná upraviť zásady odmeňovania podľa odseku 8 spôsobom a v rozsahu, ktorý je primeraný jej veľkosti, vnútornej organizácii, ako aj povahe, rozsahu a zložitosti jej činností v súlade s týmito princípmi:</w:t>
            </w:r>
          </w:p>
          <w:p w:rsidR="00DA5DED" w:rsidRPr="00DA5DED" w:rsidP="00DA5DED">
            <w:pPr>
              <w:numPr>
                <w:numId w:val="18"/>
              </w:numPr>
              <w:tabs>
                <w:tab w:val="num" w:pos="0"/>
                <w:tab w:val="clear" w:pos="720"/>
              </w:tabs>
              <w:autoSpaceDE/>
              <w:autoSpaceDN/>
              <w:bidi w:val="0"/>
              <w:spacing w:after="0" w:line="240" w:lineRule="auto"/>
              <w:ind w:left="0" w:firstLine="720"/>
              <w:jc w:val="both"/>
              <w:rPr>
                <w:rFonts w:ascii="Arial Narrow" w:hAnsi="Arial Narrow"/>
                <w:b/>
                <w:sz w:val="22"/>
                <w:szCs w:val="22"/>
              </w:rPr>
            </w:pPr>
            <w:r w:rsidRPr="00DA5DED">
              <w:rPr>
                <w:rFonts w:ascii="Arial Narrow" w:hAnsi="Arial Narrow"/>
                <w:b/>
                <w:sz w:val="22"/>
                <w:szCs w:val="22"/>
              </w:rPr>
              <w:t>zásady odmeňovania sú v súlade s riadnym a účinným riadením rizík a podporujú ho, pričom nepodnecujú k prijímaniu rizika, ktoré nie je v súlade s rizikovými profilmi, štatútmi alebo zakladajúcimi dokumentmi spravovaných subjektov kolektívneho investovania (ďalej len „princíp zosúladenia rizík“),</w:t>
            </w:r>
          </w:p>
          <w:p w:rsidR="00DA5DED" w:rsidRPr="00DA5DED" w:rsidP="00DA5DED">
            <w:pPr>
              <w:numPr>
                <w:numId w:val="18"/>
              </w:numPr>
              <w:tabs>
                <w:tab w:val="num" w:pos="0"/>
                <w:tab w:val="clear" w:pos="720"/>
              </w:tabs>
              <w:autoSpaceDE/>
              <w:autoSpaceDN/>
              <w:bidi w:val="0"/>
              <w:spacing w:after="0" w:line="240" w:lineRule="auto"/>
              <w:ind w:left="0" w:firstLine="720"/>
              <w:jc w:val="both"/>
              <w:rPr>
                <w:rFonts w:ascii="Arial Narrow" w:hAnsi="Arial Narrow"/>
                <w:b/>
                <w:sz w:val="22"/>
                <w:szCs w:val="22"/>
              </w:rPr>
            </w:pPr>
            <w:r w:rsidRPr="00DA5DED">
              <w:rPr>
                <w:rFonts w:ascii="Arial Narrow" w:hAnsi="Arial Narrow"/>
                <w:b/>
                <w:sz w:val="22"/>
                <w:szCs w:val="22"/>
              </w:rPr>
              <w:t>zásady odmeňovania sú v súlade s obchodnou stratégiou, cieľmi, hodnotami a záujmami správcovskej spoločnosti a subjektov kolektívneho investovania, ktoré spravuje, a ich investorov a zahŕňajú opatrenia na zabránenie konfliktu záujmov,</w:t>
            </w:r>
          </w:p>
          <w:p w:rsidR="00DA5DED" w:rsidRPr="00DA5DED" w:rsidP="00DA5DED">
            <w:pPr>
              <w:numPr>
                <w:numId w:val="18"/>
              </w:numPr>
              <w:tabs>
                <w:tab w:val="num" w:pos="0"/>
                <w:tab w:val="clear" w:pos="720"/>
              </w:tabs>
              <w:autoSpaceDE/>
              <w:autoSpaceDN/>
              <w:bidi w:val="0"/>
              <w:spacing w:after="0" w:line="240" w:lineRule="auto"/>
              <w:ind w:left="0" w:firstLine="720"/>
              <w:jc w:val="both"/>
              <w:rPr>
                <w:rFonts w:ascii="Arial Narrow" w:hAnsi="Arial Narrow"/>
                <w:b/>
                <w:sz w:val="22"/>
                <w:szCs w:val="22"/>
              </w:rPr>
            </w:pPr>
            <w:r w:rsidRPr="00DA5DED">
              <w:rPr>
                <w:rFonts w:ascii="Arial Narrow" w:hAnsi="Arial Narrow"/>
                <w:b/>
                <w:sz w:val="22"/>
                <w:szCs w:val="22"/>
              </w:rPr>
              <w:t>dozorná rada správcovskej spoločnosti prijíma a pravidelne preskúmava všeobecné princípy zásad odmeňovania a zodpovedá za ich uplatňovanie,</w:t>
            </w:r>
          </w:p>
          <w:p w:rsidR="00DA5DED" w:rsidRPr="00DA5DED" w:rsidP="00DA5DED">
            <w:pPr>
              <w:numPr>
                <w:numId w:val="18"/>
              </w:numPr>
              <w:tabs>
                <w:tab w:val="num" w:pos="0"/>
                <w:tab w:val="clear" w:pos="720"/>
              </w:tabs>
              <w:autoSpaceDE/>
              <w:autoSpaceDN/>
              <w:bidi w:val="0"/>
              <w:spacing w:after="0" w:line="240" w:lineRule="auto"/>
              <w:ind w:left="0" w:firstLine="720"/>
              <w:jc w:val="both"/>
              <w:rPr>
                <w:rFonts w:ascii="Arial Narrow" w:hAnsi="Arial Narrow"/>
                <w:b/>
                <w:sz w:val="22"/>
                <w:szCs w:val="22"/>
              </w:rPr>
            </w:pPr>
            <w:r w:rsidRPr="00DA5DED">
              <w:rPr>
                <w:rFonts w:ascii="Arial Narrow" w:hAnsi="Arial Narrow"/>
                <w:b/>
                <w:sz w:val="22"/>
                <w:szCs w:val="22"/>
              </w:rPr>
              <w:t>dozorná rada správcovskej spoločnosti aspoň raz ročne nezávisle preskúma uplatňovanie zásad odmeňovania v správcovskej spoločnosti,</w:t>
            </w:r>
          </w:p>
          <w:p w:rsidR="00DA5DED" w:rsidRPr="00DA5DED" w:rsidP="00DA5DED">
            <w:pPr>
              <w:numPr>
                <w:numId w:val="18"/>
              </w:numPr>
              <w:tabs>
                <w:tab w:val="num" w:pos="0"/>
                <w:tab w:val="clear" w:pos="720"/>
              </w:tabs>
              <w:autoSpaceDE/>
              <w:autoSpaceDN/>
              <w:bidi w:val="0"/>
              <w:spacing w:after="0" w:line="240" w:lineRule="auto"/>
              <w:ind w:left="0" w:firstLine="720"/>
              <w:jc w:val="both"/>
              <w:rPr>
                <w:rFonts w:ascii="Arial Narrow" w:hAnsi="Arial Narrow"/>
                <w:b/>
                <w:sz w:val="22"/>
                <w:szCs w:val="22"/>
              </w:rPr>
            </w:pPr>
            <w:r w:rsidRPr="00DA5DED">
              <w:rPr>
                <w:rFonts w:ascii="Arial Narrow" w:hAnsi="Arial Narrow"/>
                <w:b/>
                <w:sz w:val="22"/>
                <w:szCs w:val="22"/>
              </w:rPr>
              <w:t>zamestnanci zodpovední alebo vykonávajúci funkciu dodržiavania, funkciu riadenia rizík, funkciu vnútorného auditu alebo inú kontrolnú funkciu sú odmeňovaní na základe plnenia cieľov súvisiacich s ich funkciami bez ohľadu na výkonnosť činností správcovskej spoločnosti, ktoré kontrolujú,</w:t>
            </w:r>
          </w:p>
          <w:p w:rsidR="00DA5DED" w:rsidRPr="00DA5DED" w:rsidP="00DA5DED">
            <w:pPr>
              <w:numPr>
                <w:numId w:val="18"/>
              </w:numPr>
              <w:tabs>
                <w:tab w:val="num" w:pos="0"/>
                <w:tab w:val="clear" w:pos="720"/>
              </w:tabs>
              <w:autoSpaceDE/>
              <w:autoSpaceDN/>
              <w:bidi w:val="0"/>
              <w:spacing w:after="0" w:line="240" w:lineRule="auto"/>
              <w:ind w:left="0" w:firstLine="720"/>
              <w:jc w:val="both"/>
              <w:rPr>
                <w:rFonts w:ascii="Arial Narrow" w:hAnsi="Arial Narrow"/>
                <w:b/>
                <w:sz w:val="22"/>
                <w:szCs w:val="22"/>
              </w:rPr>
            </w:pPr>
            <w:r w:rsidRPr="00DA5DED">
              <w:rPr>
                <w:rFonts w:ascii="Arial Narrow" w:hAnsi="Arial Narrow"/>
                <w:b/>
                <w:sz w:val="22"/>
                <w:szCs w:val="22"/>
              </w:rPr>
              <w:t>odmeňovanie vedúcich zamestnancov zodpovedných za funkciu riadenia rizík a funkciu dodržiavania je priamo podriadené dohľadu výboru pre odmeňovanie, ak sa zriaďuje,</w:t>
            </w:r>
          </w:p>
          <w:p w:rsidR="00DA5DED" w:rsidRPr="00DA5DED" w:rsidP="00DA5DED">
            <w:pPr>
              <w:numPr>
                <w:numId w:val="18"/>
              </w:numPr>
              <w:tabs>
                <w:tab w:val="num" w:pos="0"/>
                <w:tab w:val="clear" w:pos="720"/>
              </w:tabs>
              <w:autoSpaceDE/>
              <w:autoSpaceDN/>
              <w:bidi w:val="0"/>
              <w:spacing w:after="0" w:line="240" w:lineRule="auto"/>
              <w:ind w:left="0" w:firstLine="720"/>
              <w:jc w:val="both"/>
              <w:rPr>
                <w:rFonts w:ascii="Arial Narrow" w:hAnsi="Arial Narrow"/>
                <w:b/>
                <w:sz w:val="22"/>
                <w:szCs w:val="22"/>
              </w:rPr>
            </w:pPr>
            <w:r w:rsidRPr="00DA5DED">
              <w:rPr>
                <w:rFonts w:ascii="Arial Narrow" w:hAnsi="Arial Narrow"/>
                <w:b/>
                <w:sz w:val="22"/>
                <w:szCs w:val="22"/>
              </w:rPr>
              <w:t>ak je odmeňovanie závislé od výkonnosti, celková výška odmeny sa zakladá na kombinácii hodnotenia výkonnosti príslušného zamestnanca a príslušného organizačného útvaru alebo príslušného spravovaného subjektu kolektívneho investovania a hodnotenia celkových výsledkov správcovskej spoločnosti, pričom sa pri hodnotení výkonnosti príslušného zamestnanca berú do úvahy finančné aj nefinančné kritériá,</w:t>
            </w:r>
          </w:p>
          <w:p w:rsidR="00DA5DED" w:rsidRPr="00DA5DED" w:rsidP="00DA5DED">
            <w:pPr>
              <w:numPr>
                <w:numId w:val="18"/>
              </w:numPr>
              <w:tabs>
                <w:tab w:val="num" w:pos="0"/>
                <w:tab w:val="clear" w:pos="720"/>
              </w:tabs>
              <w:autoSpaceDE/>
              <w:autoSpaceDN/>
              <w:bidi w:val="0"/>
              <w:spacing w:after="0" w:line="240" w:lineRule="auto"/>
              <w:ind w:left="0" w:firstLine="720"/>
              <w:jc w:val="both"/>
              <w:rPr>
                <w:rFonts w:ascii="Arial Narrow" w:hAnsi="Arial Narrow"/>
                <w:b/>
                <w:sz w:val="22"/>
                <w:szCs w:val="22"/>
              </w:rPr>
            </w:pPr>
            <w:r w:rsidRPr="00DA5DED">
              <w:rPr>
                <w:rFonts w:ascii="Arial Narrow" w:hAnsi="Arial Narrow"/>
                <w:b/>
                <w:sz w:val="22"/>
                <w:szCs w:val="22"/>
              </w:rPr>
              <w:t>hodnotenie výkonnosti sa uskutočňuje na viacročnom základe, ktorý je primeraný z hľadiska životného cyklu spravovaných subjektov kolektívneho investovania, s cieľom zabezpečiť, aby sa proces hodnotenia zakladal na dlhodobej výkonnosti a aby sa skutočná výplata výkonnostných zložiek odmeňovania rozložila na obdobie zohľadňujúce vyplácanie cenných papierov alebo majetkových účastí spravovaných subjektov kolektívneho investovania a ich investičné riziká,</w:t>
            </w:r>
          </w:p>
          <w:p w:rsidR="00DA5DED" w:rsidRPr="00DA5DED" w:rsidP="00DA5DED">
            <w:pPr>
              <w:numPr>
                <w:numId w:val="18"/>
              </w:numPr>
              <w:tabs>
                <w:tab w:val="num" w:pos="0"/>
                <w:tab w:val="clear" w:pos="720"/>
              </w:tabs>
              <w:autoSpaceDE/>
              <w:autoSpaceDN/>
              <w:bidi w:val="0"/>
              <w:spacing w:after="0" w:line="240" w:lineRule="auto"/>
              <w:ind w:left="0" w:firstLine="720"/>
              <w:jc w:val="both"/>
              <w:rPr>
                <w:rFonts w:ascii="Arial Narrow" w:hAnsi="Arial Narrow"/>
                <w:b/>
                <w:sz w:val="22"/>
                <w:szCs w:val="22"/>
              </w:rPr>
            </w:pPr>
            <w:r w:rsidRPr="00DA5DED">
              <w:rPr>
                <w:rFonts w:ascii="Arial Narrow" w:hAnsi="Arial Narrow"/>
                <w:b/>
                <w:sz w:val="22"/>
                <w:szCs w:val="22"/>
              </w:rPr>
              <w:t>garantovaná pohyblivá zložka odmeňovania sa používa len výnimočne a len v súvislosti s prijímaním nových zamestnancov a obmedzuje sa na prvý rok,</w:t>
            </w:r>
          </w:p>
          <w:p w:rsidR="00DA5DED" w:rsidRPr="00DA5DED" w:rsidP="00DA5DED">
            <w:pPr>
              <w:numPr>
                <w:numId w:val="18"/>
              </w:numPr>
              <w:tabs>
                <w:tab w:val="num" w:pos="0"/>
                <w:tab w:val="clear" w:pos="720"/>
              </w:tabs>
              <w:autoSpaceDE/>
              <w:autoSpaceDN/>
              <w:bidi w:val="0"/>
              <w:spacing w:after="0" w:line="240" w:lineRule="auto"/>
              <w:ind w:left="0" w:firstLine="720"/>
              <w:jc w:val="both"/>
              <w:rPr>
                <w:rFonts w:ascii="Arial Narrow" w:hAnsi="Arial Narrow"/>
                <w:b/>
                <w:sz w:val="22"/>
                <w:szCs w:val="22"/>
              </w:rPr>
            </w:pPr>
            <w:r w:rsidRPr="00DA5DED">
              <w:rPr>
                <w:rFonts w:ascii="Arial Narrow" w:hAnsi="Arial Narrow"/>
                <w:b/>
                <w:sz w:val="22"/>
                <w:szCs w:val="22"/>
              </w:rPr>
              <w:t>pevná a pohyblivá zložka celkového odmeňovania sú primerane vyvážené a pevná zložka predstavuje dostatočne vysoký podiel celkového odmeňovania, aby bolo možné uplatňovať plne pružnú politiku v oblasti pohyblivých zložiek odmeňovania vrátane možnosti nevyplatiť žiadnu pohyblivú zložku,</w:t>
            </w:r>
          </w:p>
          <w:p w:rsidR="00DA5DED" w:rsidRPr="00DA5DED" w:rsidP="00DA5DED">
            <w:pPr>
              <w:numPr>
                <w:numId w:val="18"/>
              </w:numPr>
              <w:tabs>
                <w:tab w:val="num" w:pos="0"/>
                <w:tab w:val="clear" w:pos="720"/>
              </w:tabs>
              <w:autoSpaceDE/>
              <w:autoSpaceDN/>
              <w:bidi w:val="0"/>
              <w:spacing w:after="0" w:line="240" w:lineRule="auto"/>
              <w:ind w:left="0" w:firstLine="720"/>
              <w:jc w:val="both"/>
              <w:rPr>
                <w:rFonts w:ascii="Arial Narrow" w:hAnsi="Arial Narrow"/>
                <w:b/>
                <w:sz w:val="22"/>
                <w:szCs w:val="22"/>
              </w:rPr>
            </w:pPr>
            <w:r w:rsidRPr="00DA5DED">
              <w:rPr>
                <w:rFonts w:ascii="Arial Narrow" w:hAnsi="Arial Narrow"/>
                <w:b/>
                <w:sz w:val="22"/>
                <w:szCs w:val="22"/>
              </w:rPr>
              <w:t>platby spojené s predčasným ukončením pracovného pomeru odrážajú dosiahnuté výsledky za dlhšie obdobie a sú navrhnuté tak, aby sa neodmeňovalo zlyhanie,</w:t>
            </w:r>
          </w:p>
          <w:p w:rsidR="00DA5DED" w:rsidRPr="00DA5DED" w:rsidP="00DA5DED">
            <w:pPr>
              <w:numPr>
                <w:numId w:val="18"/>
              </w:numPr>
              <w:tabs>
                <w:tab w:val="num" w:pos="0"/>
                <w:tab w:val="clear" w:pos="720"/>
              </w:tabs>
              <w:autoSpaceDE/>
              <w:autoSpaceDN/>
              <w:bidi w:val="0"/>
              <w:spacing w:after="0" w:line="240" w:lineRule="auto"/>
              <w:ind w:left="0" w:firstLine="720"/>
              <w:jc w:val="both"/>
              <w:rPr>
                <w:rFonts w:ascii="Arial Narrow" w:hAnsi="Arial Narrow"/>
                <w:b/>
                <w:sz w:val="22"/>
                <w:szCs w:val="22"/>
              </w:rPr>
            </w:pPr>
            <w:r w:rsidRPr="00DA5DED">
              <w:rPr>
                <w:rFonts w:ascii="Arial Narrow" w:hAnsi="Arial Narrow"/>
                <w:b/>
                <w:sz w:val="22"/>
                <w:szCs w:val="22"/>
              </w:rPr>
              <w:t>meranie výkonnosti používané na výpočet pohyblivých zložiek odmeňovania alebo súborov pohyblivých zložiek odmeňovania obsahuje všeobecný mechanizmus úpravy zahŕňajúci všetky relevantné typy súčasných a budúcich rizík,</w:t>
            </w:r>
          </w:p>
          <w:p w:rsidR="00DA5DED" w:rsidRPr="00DA5DED" w:rsidP="00DA5DED">
            <w:pPr>
              <w:numPr>
                <w:numId w:val="18"/>
              </w:numPr>
              <w:tabs>
                <w:tab w:val="num" w:pos="0"/>
                <w:tab w:val="clear" w:pos="720"/>
              </w:tabs>
              <w:autoSpaceDE/>
              <w:autoSpaceDN/>
              <w:bidi w:val="0"/>
              <w:spacing w:after="0" w:line="240" w:lineRule="auto"/>
              <w:ind w:left="0" w:firstLine="720"/>
              <w:jc w:val="both"/>
              <w:rPr>
                <w:rFonts w:ascii="Arial Narrow" w:hAnsi="Arial Narrow"/>
                <w:b/>
                <w:sz w:val="22"/>
                <w:szCs w:val="22"/>
              </w:rPr>
            </w:pPr>
            <w:r w:rsidRPr="00DA5DED">
              <w:rPr>
                <w:rFonts w:ascii="Arial Narrow" w:hAnsi="Arial Narrow"/>
                <w:b/>
                <w:sz w:val="22"/>
                <w:szCs w:val="22"/>
              </w:rPr>
              <w:t>v závislosti od právnej formy subjektu kolektívneho investovania, jeho štatútu alebo zakladajúcich dokumentov, významná časť, predstavujúca minimálne 50 % akejkoľvek pohyblivej odmeny sa skladá z podielových listov, akcií alebo majetkových účastí príslušného subjektu kolektívneho investovania, alebo nástrojov, ktoré sú na podielové listy, akcie alebo majetkové účasti viazané alebo rovnocenných bezhotovostných nástrojov, pričom</w:t>
            </w:r>
          </w:p>
          <w:p w:rsidR="00DA5DED" w:rsidRPr="00DA5DED" w:rsidP="003A74AE">
            <w:pPr>
              <w:numPr>
                <w:ilvl w:val="1"/>
                <w:numId w:val="18"/>
              </w:numPr>
              <w:tabs>
                <w:tab w:val="clear" w:pos="1440"/>
              </w:tabs>
              <w:autoSpaceDE/>
              <w:autoSpaceDN/>
              <w:bidi w:val="0"/>
              <w:spacing w:after="0" w:line="240" w:lineRule="auto"/>
              <w:ind w:left="0" w:firstLine="0"/>
              <w:jc w:val="both"/>
              <w:rPr>
                <w:rFonts w:ascii="Arial Narrow" w:hAnsi="Arial Narrow"/>
                <w:b/>
                <w:sz w:val="22"/>
                <w:szCs w:val="22"/>
              </w:rPr>
            </w:pPr>
            <w:r w:rsidRPr="00DA5DED">
              <w:rPr>
                <w:rFonts w:ascii="Arial Narrow" w:hAnsi="Arial Narrow"/>
                <w:b/>
                <w:sz w:val="22"/>
                <w:szCs w:val="22"/>
              </w:rPr>
              <w:t>ak správa subjektov kolektívneho investovania predstavuje menej ako 50 % z celkového objemu aktív pod správou správcovskej spoločnosti, limit 50 % sa neuplatňuje,</w:t>
            </w:r>
          </w:p>
          <w:p w:rsidR="00DA5DED" w:rsidRPr="00DA5DED" w:rsidP="003A74AE">
            <w:pPr>
              <w:numPr>
                <w:ilvl w:val="1"/>
                <w:numId w:val="18"/>
              </w:numPr>
              <w:tabs>
                <w:tab w:val="clear" w:pos="1440"/>
              </w:tabs>
              <w:autoSpaceDE/>
              <w:autoSpaceDN/>
              <w:bidi w:val="0"/>
              <w:spacing w:after="0" w:line="240" w:lineRule="auto"/>
              <w:ind w:left="0" w:firstLine="0"/>
              <w:jc w:val="both"/>
              <w:rPr>
                <w:rFonts w:ascii="Arial Narrow" w:hAnsi="Arial Narrow"/>
                <w:b/>
                <w:sz w:val="22"/>
                <w:szCs w:val="22"/>
              </w:rPr>
            </w:pPr>
            <w:r w:rsidRPr="00DA5DED">
              <w:rPr>
                <w:rFonts w:ascii="Arial Narrow" w:hAnsi="Arial Narrow"/>
                <w:b/>
                <w:sz w:val="22"/>
                <w:szCs w:val="22"/>
              </w:rPr>
              <w:t>nástroje uvedené v tomto písmene podliehajú náležitým podmienkam zadržania, ktoré sú zamerané na zosúladenie motivácie so záujmami správcovskej spoločnosti a subjektov kolektívneho investovania, ktoré spravuje a ich investorov,</w:t>
            </w:r>
          </w:p>
          <w:p w:rsidR="00DA5DED" w:rsidRPr="00DA5DED" w:rsidP="003A74AE">
            <w:pPr>
              <w:numPr>
                <w:ilvl w:val="1"/>
                <w:numId w:val="18"/>
              </w:numPr>
              <w:tabs>
                <w:tab w:val="clear" w:pos="1440"/>
              </w:tabs>
              <w:autoSpaceDE/>
              <w:autoSpaceDN/>
              <w:bidi w:val="0"/>
              <w:spacing w:after="0" w:line="240" w:lineRule="auto"/>
              <w:ind w:left="0" w:firstLine="0"/>
              <w:jc w:val="both"/>
              <w:rPr>
                <w:rFonts w:ascii="Arial Narrow" w:hAnsi="Arial Narrow"/>
                <w:b/>
                <w:sz w:val="22"/>
                <w:szCs w:val="22"/>
              </w:rPr>
            </w:pPr>
            <w:r w:rsidRPr="00DA5DED">
              <w:rPr>
                <w:rFonts w:ascii="Arial Narrow" w:hAnsi="Arial Narrow"/>
                <w:b/>
                <w:sz w:val="22"/>
                <w:szCs w:val="22"/>
              </w:rPr>
              <w:t>Národná banka Slovenska je oprávnená rozhodnutím obmedziť druhy a formy nástrojov uvedených v tomto písmene alebo niektoré nástroje zakázať,</w:t>
            </w:r>
          </w:p>
          <w:p w:rsidR="00DA5DED" w:rsidRPr="00DA5DED" w:rsidP="003A74AE">
            <w:pPr>
              <w:numPr>
                <w:ilvl w:val="1"/>
                <w:numId w:val="18"/>
              </w:numPr>
              <w:tabs>
                <w:tab w:val="num" w:pos="0"/>
                <w:tab w:val="clear" w:pos="1440"/>
              </w:tabs>
              <w:autoSpaceDE/>
              <w:autoSpaceDN/>
              <w:bidi w:val="0"/>
              <w:spacing w:after="0" w:line="240" w:lineRule="auto"/>
              <w:ind w:left="0" w:firstLine="0"/>
              <w:jc w:val="both"/>
              <w:rPr>
                <w:rFonts w:ascii="Arial Narrow" w:hAnsi="Arial Narrow"/>
                <w:b/>
                <w:sz w:val="22"/>
                <w:szCs w:val="22"/>
              </w:rPr>
            </w:pPr>
            <w:r w:rsidRPr="00DA5DED">
              <w:rPr>
                <w:rFonts w:ascii="Arial Narrow" w:hAnsi="Arial Narrow"/>
                <w:b/>
                <w:sz w:val="22"/>
                <w:szCs w:val="22"/>
              </w:rPr>
              <w:t>sa to uplatňuje ako na časť pohyblivej zložky odmeňovania odloženú v súlade s písmenom n) a tak na neodloženú časť pohyblivej zložky,</w:t>
            </w:r>
          </w:p>
          <w:p w:rsidR="00DA5DED" w:rsidRPr="00DA5DED" w:rsidP="003A74AE">
            <w:pPr>
              <w:numPr>
                <w:numId w:val="18"/>
              </w:numPr>
              <w:tabs>
                <w:tab w:val="num" w:pos="0"/>
                <w:tab w:val="clear" w:pos="720"/>
              </w:tabs>
              <w:autoSpaceDE/>
              <w:autoSpaceDN/>
              <w:bidi w:val="0"/>
              <w:spacing w:after="0" w:line="240" w:lineRule="auto"/>
              <w:ind w:left="0" w:firstLine="0"/>
              <w:jc w:val="both"/>
              <w:rPr>
                <w:rFonts w:ascii="Arial Narrow" w:hAnsi="Arial Narrow"/>
                <w:b/>
                <w:sz w:val="22"/>
                <w:szCs w:val="22"/>
              </w:rPr>
            </w:pPr>
            <w:r w:rsidRPr="00DA5DED">
              <w:rPr>
                <w:rFonts w:ascii="Arial Narrow" w:hAnsi="Arial Narrow"/>
                <w:b/>
                <w:sz w:val="22"/>
                <w:szCs w:val="22"/>
              </w:rPr>
              <w:t>významná časť, ktorá tvorí minimálne 40 % pohyblivej zložky odmeňovania, sa odkladá na obdobie, ktoré je primerané z hľadiska životného cyklu a vyplácania príslušného subjektu kolektívneho investovania a je náležite zosúladená s povahou rizík príslušného subjektu kolektívneho investovania, pričom</w:t>
            </w:r>
          </w:p>
          <w:p w:rsidR="00DA5DED" w:rsidRPr="00DA5DED" w:rsidP="003A74AE">
            <w:pPr>
              <w:numPr>
                <w:ilvl w:val="1"/>
                <w:numId w:val="18"/>
              </w:numPr>
              <w:tabs>
                <w:tab w:val="num" w:pos="0"/>
                <w:tab w:val="clear" w:pos="1440"/>
              </w:tabs>
              <w:autoSpaceDE/>
              <w:autoSpaceDN/>
              <w:bidi w:val="0"/>
              <w:spacing w:after="0" w:line="240" w:lineRule="auto"/>
              <w:ind w:left="-43" w:firstLine="0"/>
              <w:jc w:val="both"/>
              <w:rPr>
                <w:rFonts w:ascii="Arial Narrow" w:hAnsi="Arial Narrow"/>
                <w:b/>
                <w:sz w:val="22"/>
                <w:szCs w:val="22"/>
              </w:rPr>
            </w:pPr>
            <w:r w:rsidRPr="00DA5DED">
              <w:rPr>
                <w:rFonts w:ascii="Arial Narrow" w:hAnsi="Arial Narrow"/>
                <w:b/>
                <w:sz w:val="22"/>
                <w:szCs w:val="22"/>
              </w:rPr>
              <w:t>obdobie uvedené v tomto písmene je minimálne tri až päť rokov, ak nie je životný cyklus príslušného subjektu kolektívneho investovania kratší,</w:t>
            </w:r>
          </w:p>
          <w:p w:rsidR="00DA5DED" w:rsidRPr="00DA5DED" w:rsidP="003A74AE">
            <w:pPr>
              <w:numPr>
                <w:ilvl w:val="1"/>
                <w:numId w:val="18"/>
              </w:numPr>
              <w:tabs>
                <w:tab w:val="num" w:pos="0"/>
                <w:tab w:val="clear" w:pos="1440"/>
              </w:tabs>
              <w:autoSpaceDE/>
              <w:autoSpaceDN/>
              <w:bidi w:val="0"/>
              <w:spacing w:after="0" w:line="240" w:lineRule="auto"/>
              <w:ind w:left="-43" w:firstLine="0"/>
              <w:jc w:val="both"/>
              <w:rPr>
                <w:rFonts w:ascii="Arial Narrow" w:hAnsi="Arial Narrow"/>
                <w:b/>
                <w:sz w:val="22"/>
                <w:szCs w:val="22"/>
              </w:rPr>
            </w:pPr>
            <w:r w:rsidRPr="00DA5DED">
              <w:rPr>
                <w:rFonts w:ascii="Arial Narrow" w:hAnsi="Arial Narrow"/>
                <w:b/>
                <w:sz w:val="22"/>
                <w:szCs w:val="22"/>
              </w:rPr>
              <w:t>splatná odložená odmena sa nepriznáva rýchlejšie ako keby bola vyplácaná na pomernom základe,</w:t>
            </w:r>
          </w:p>
          <w:p w:rsidR="00DA5DED" w:rsidRPr="00DA5DED" w:rsidP="003A74AE">
            <w:pPr>
              <w:numPr>
                <w:ilvl w:val="1"/>
                <w:numId w:val="18"/>
              </w:numPr>
              <w:tabs>
                <w:tab w:val="num" w:pos="0"/>
                <w:tab w:val="clear" w:pos="1440"/>
              </w:tabs>
              <w:autoSpaceDE/>
              <w:autoSpaceDN/>
              <w:bidi w:val="0"/>
              <w:spacing w:after="0" w:line="240" w:lineRule="auto"/>
              <w:ind w:left="-43" w:firstLine="0"/>
              <w:jc w:val="both"/>
              <w:rPr>
                <w:rFonts w:ascii="Arial Narrow" w:hAnsi="Arial Narrow"/>
                <w:b/>
                <w:sz w:val="22"/>
                <w:szCs w:val="22"/>
              </w:rPr>
            </w:pPr>
            <w:r w:rsidRPr="00DA5DED">
              <w:rPr>
                <w:rFonts w:ascii="Arial Narrow" w:hAnsi="Arial Narrow"/>
                <w:b/>
                <w:sz w:val="22"/>
                <w:szCs w:val="22"/>
              </w:rPr>
              <w:t>pri pohyblivej zložke odmeňovania, ktorá je obzvlášť vysoká, sa odkladá minimálne 60 % pohyblivej zložky odmeňovania,</w:t>
            </w:r>
          </w:p>
          <w:p w:rsidR="00DA5DED" w:rsidRPr="00DA5DED" w:rsidP="00DA5DED">
            <w:pPr>
              <w:numPr>
                <w:numId w:val="18"/>
              </w:numPr>
              <w:tabs>
                <w:tab w:val="num" w:pos="0"/>
                <w:tab w:val="clear" w:pos="720"/>
              </w:tabs>
              <w:autoSpaceDE/>
              <w:autoSpaceDN/>
              <w:bidi w:val="0"/>
              <w:spacing w:after="0" w:line="240" w:lineRule="auto"/>
              <w:ind w:left="0" w:firstLine="720"/>
              <w:jc w:val="both"/>
              <w:rPr>
                <w:rFonts w:ascii="Arial Narrow" w:hAnsi="Arial Narrow"/>
                <w:b/>
                <w:sz w:val="22"/>
                <w:szCs w:val="22"/>
              </w:rPr>
            </w:pPr>
            <w:r w:rsidRPr="00DA5DED">
              <w:rPr>
                <w:rFonts w:ascii="Arial Narrow" w:hAnsi="Arial Narrow"/>
                <w:b/>
                <w:sz w:val="22"/>
                <w:szCs w:val="22"/>
              </w:rPr>
              <w:t>pohyblivá zložka odmeňovania vrátane odloženej časti sa vypláca alebo priznáva, len ak je to udržateľné vo vzťahu k celkovej finančnej situácii správcovskej spoločnosti a je to odôvodnené na základe výkonnosti príslušného organizačného útvaru, príslušného subjektu kolektívneho investovania a príslušného zamestnanca; celková pohyblivá zložka odmeňovania sa výrazne zníži, ak sa finančné výsledky správcovskej spoločnosti alebo spravovaných subjektov kolektívneho investovania zhoršia alebo dosiahnu záporné hodnoty, pričom sa zohľadňuje odmena za súčasné obdobie, ako aj zníženie vyplácania súm zarobených skôr, napríklad prostredníctvom dohôd o maluse alebo dohôd o zrážkach,</w:t>
            </w:r>
          </w:p>
          <w:p w:rsidR="00DA5DED" w:rsidRPr="00DA5DED" w:rsidP="003A74AE">
            <w:pPr>
              <w:numPr>
                <w:numId w:val="18"/>
              </w:numPr>
              <w:tabs>
                <w:tab w:val="num" w:pos="0"/>
                <w:tab w:val="clear" w:pos="720"/>
              </w:tabs>
              <w:autoSpaceDE/>
              <w:autoSpaceDN/>
              <w:bidi w:val="0"/>
              <w:spacing w:after="0" w:line="240" w:lineRule="auto"/>
              <w:ind w:left="0" w:firstLine="0"/>
              <w:jc w:val="both"/>
              <w:rPr>
                <w:rFonts w:ascii="Arial Narrow" w:hAnsi="Arial Narrow"/>
                <w:b/>
                <w:sz w:val="22"/>
                <w:szCs w:val="22"/>
              </w:rPr>
            </w:pPr>
            <w:r w:rsidRPr="00DA5DED">
              <w:rPr>
                <w:rFonts w:ascii="Arial Narrow" w:hAnsi="Arial Narrow"/>
                <w:b/>
                <w:sz w:val="22"/>
                <w:szCs w:val="22"/>
              </w:rPr>
              <w:t>politika dôchodkového zabezpečenia je v súlade s obchodnou stratégiou, cieľmi, hodnotami a dlhodobými záujmami správcovskej spoločnosti a spravovaných subjektov kolektívneho investovania, pričom</w:t>
            </w:r>
          </w:p>
          <w:p w:rsidR="00DA5DED" w:rsidRPr="00DA5DED" w:rsidP="003A74AE">
            <w:pPr>
              <w:numPr>
                <w:ilvl w:val="1"/>
                <w:numId w:val="18"/>
              </w:numPr>
              <w:tabs>
                <w:tab w:val="num" w:pos="98"/>
                <w:tab w:val="clear" w:pos="1440"/>
              </w:tabs>
              <w:autoSpaceDE/>
              <w:autoSpaceDN/>
              <w:bidi w:val="0"/>
              <w:spacing w:after="0" w:line="240" w:lineRule="auto"/>
              <w:ind w:left="-43" w:firstLine="43"/>
              <w:jc w:val="both"/>
              <w:rPr>
                <w:rFonts w:ascii="Arial Narrow" w:hAnsi="Arial Narrow"/>
                <w:b/>
                <w:sz w:val="22"/>
                <w:szCs w:val="22"/>
              </w:rPr>
            </w:pPr>
            <w:r w:rsidRPr="00DA5DED">
              <w:rPr>
                <w:rFonts w:ascii="Arial Narrow" w:hAnsi="Arial Narrow"/>
                <w:b/>
                <w:sz w:val="22"/>
                <w:szCs w:val="22"/>
              </w:rPr>
              <w:t xml:space="preserve">ak zamestnanec rozviaže pracovný pomer so správcovskou spoločnosťou pred odchodom do dôchodku, dobrovoľné príspevky dôchodkového zabezpečenia správcovská spoločnosť zadrží počas obdobia piatich rokov vo forme nástrojov uvedených v písmene m), </w:t>
            </w:r>
          </w:p>
          <w:p w:rsidR="00DA5DED" w:rsidRPr="00DA5DED" w:rsidP="003A74AE">
            <w:pPr>
              <w:numPr>
                <w:ilvl w:val="1"/>
                <w:numId w:val="18"/>
              </w:numPr>
              <w:tabs>
                <w:tab w:val="num" w:pos="98"/>
                <w:tab w:val="clear" w:pos="1440"/>
              </w:tabs>
              <w:autoSpaceDE/>
              <w:autoSpaceDN/>
              <w:bidi w:val="0"/>
              <w:spacing w:after="0" w:line="240" w:lineRule="auto"/>
              <w:ind w:left="-43" w:firstLine="43"/>
              <w:jc w:val="both"/>
              <w:rPr>
                <w:rFonts w:ascii="Arial Narrow" w:hAnsi="Arial Narrow"/>
                <w:b/>
                <w:sz w:val="22"/>
                <w:szCs w:val="22"/>
              </w:rPr>
            </w:pPr>
            <w:r w:rsidRPr="00DA5DED">
              <w:rPr>
                <w:rFonts w:ascii="Arial Narrow" w:hAnsi="Arial Narrow"/>
                <w:b/>
                <w:sz w:val="22"/>
                <w:szCs w:val="22"/>
              </w:rPr>
              <w:t>u zamestnanca, ktorý dosiahne dôchodkový vek, sa dobrovoľné platby dôchodkového zabezpečenia vyplácajú zamestnancovi formou nástrojov uvedených v písmene m) a podliehajú päťročnému obdobiu zadržania,</w:t>
            </w:r>
          </w:p>
          <w:p w:rsidR="00DA5DED" w:rsidRPr="00DA5DED" w:rsidP="00DA5DED">
            <w:pPr>
              <w:numPr>
                <w:numId w:val="18"/>
              </w:numPr>
              <w:tabs>
                <w:tab w:val="num" w:pos="0"/>
                <w:tab w:val="clear" w:pos="720"/>
              </w:tabs>
              <w:autoSpaceDE/>
              <w:autoSpaceDN/>
              <w:bidi w:val="0"/>
              <w:spacing w:after="0" w:line="240" w:lineRule="auto"/>
              <w:ind w:left="0" w:firstLine="720"/>
              <w:jc w:val="both"/>
              <w:rPr>
                <w:rFonts w:ascii="Arial Narrow" w:hAnsi="Arial Narrow"/>
                <w:b/>
                <w:sz w:val="22"/>
                <w:szCs w:val="22"/>
              </w:rPr>
            </w:pPr>
            <w:r w:rsidRPr="00DA5DED">
              <w:rPr>
                <w:rFonts w:ascii="Arial Narrow" w:hAnsi="Arial Narrow"/>
                <w:b/>
                <w:sz w:val="22"/>
                <w:szCs w:val="22"/>
              </w:rPr>
              <w:t>od zamestnancov sa požaduje, aby sa zaviazali, že nebudú využívať stratégie osobného zaistenia ani poistenia odmeňovania a zodpovednosti, ktorými by oslabovali účinky zosúladenia rizík vyplývajúce zo spôsobu ich odmeňovania,</w:t>
            </w:r>
          </w:p>
          <w:p w:rsidR="00DA5DED" w:rsidRPr="00DA5DED" w:rsidP="00DA5DED">
            <w:pPr>
              <w:numPr>
                <w:numId w:val="18"/>
              </w:numPr>
              <w:tabs>
                <w:tab w:val="num" w:pos="0"/>
                <w:tab w:val="clear" w:pos="720"/>
              </w:tabs>
              <w:autoSpaceDE/>
              <w:autoSpaceDN/>
              <w:bidi w:val="0"/>
              <w:spacing w:after="0" w:line="240" w:lineRule="auto"/>
              <w:ind w:left="0" w:firstLine="720"/>
              <w:jc w:val="both"/>
              <w:rPr>
                <w:rFonts w:ascii="Arial Narrow" w:hAnsi="Arial Narrow"/>
                <w:b/>
                <w:sz w:val="22"/>
                <w:szCs w:val="22"/>
              </w:rPr>
            </w:pPr>
            <w:r w:rsidRPr="00DA5DED">
              <w:rPr>
                <w:rFonts w:ascii="Arial Narrow" w:hAnsi="Arial Narrow"/>
                <w:b/>
                <w:sz w:val="22"/>
                <w:szCs w:val="22"/>
              </w:rPr>
              <w:t>pohyblivá zložka odmeňovania sa nevypláca prostredníctvom nástrojov ani metód, ktoré napomáhajú obchádzaniu požiadaviek tohto zákona.</w:t>
            </w:r>
          </w:p>
          <w:p w:rsidR="00DA5DED" w:rsidRPr="00DA5DED" w:rsidP="00DA5DED">
            <w:pPr>
              <w:pStyle w:val="CM1"/>
              <w:bidi w:val="0"/>
              <w:spacing w:after="0" w:line="240" w:lineRule="auto"/>
              <w:jc w:val="both"/>
              <w:rPr>
                <w:rFonts w:ascii="Arial Narrow" w:hAnsi="Arial Narrow"/>
                <w:b/>
                <w:color w:val="000000"/>
                <w:sz w:val="22"/>
                <w:szCs w:val="22"/>
              </w:rPr>
            </w:pPr>
          </w:p>
          <w:p w:rsidR="00DA5DED" w:rsidRPr="00DA5DED" w:rsidP="003A74AE">
            <w:pPr>
              <w:bidi w:val="0"/>
              <w:spacing w:after="0" w:line="240" w:lineRule="auto"/>
              <w:jc w:val="both"/>
              <w:rPr>
                <w:rFonts w:ascii="Arial Narrow" w:hAnsi="Arial Narrow"/>
                <w:b/>
                <w:sz w:val="22"/>
                <w:szCs w:val="22"/>
              </w:rPr>
            </w:pPr>
            <w:r w:rsidRPr="00DA5DED">
              <w:rPr>
                <w:rFonts w:ascii="Arial Narrow" w:hAnsi="Arial Narrow"/>
                <w:b/>
                <w:sz w:val="22"/>
                <w:szCs w:val="22"/>
              </w:rPr>
              <w:t>Zásady odmeňovania podľa odseku 8 sa uplatňujú na všetky druhy odmeňovania vyplácaného správcovskou spoločnosťou v prospech osôb podľa odseku 9, na každú sumu, ktorú priamo vypláca spravovaný subjekt kolektívneho investovania, vrátane odplaty za zhodnotenie vyplácaného  v prospech osôb podľa odseku 9, a na každý prevod cenných papierov alebo majetkových účastí v prospech osôb podľa odseku 9.</w:t>
            </w:r>
          </w:p>
          <w:p w:rsidR="00DA5DED" w:rsidRPr="00DA5DED" w:rsidP="00DA5DED">
            <w:pPr>
              <w:bidi w:val="0"/>
              <w:spacing w:after="0" w:line="240" w:lineRule="auto"/>
              <w:ind w:firstLine="708"/>
              <w:jc w:val="both"/>
              <w:rPr>
                <w:rFonts w:ascii="Arial Narrow" w:hAnsi="Arial Narrow"/>
                <w:b/>
                <w:sz w:val="22"/>
                <w:szCs w:val="22"/>
              </w:rPr>
            </w:pPr>
          </w:p>
          <w:p w:rsidR="00DA5DED" w:rsidRPr="00DA5DED" w:rsidP="003A74AE">
            <w:pPr>
              <w:bidi w:val="0"/>
              <w:spacing w:after="0" w:line="240" w:lineRule="auto"/>
              <w:jc w:val="both"/>
              <w:rPr>
                <w:rFonts w:ascii="Arial Narrow" w:hAnsi="Arial Narrow"/>
                <w:b/>
                <w:sz w:val="22"/>
                <w:szCs w:val="22"/>
              </w:rPr>
            </w:pPr>
            <w:r w:rsidRPr="00DA5DED">
              <w:rPr>
                <w:rFonts w:ascii="Arial Narrow" w:hAnsi="Arial Narrow"/>
                <w:b/>
                <w:sz w:val="22"/>
                <w:szCs w:val="22"/>
              </w:rPr>
              <w:t>Ak je správcovská spoločnosť významná z hľadiska svojej veľkosti alebo veľkosti ňou spravovaných subjektov kolektívneho investovania alebo z hľadiska svojej vnútornej organizácie a charakteru, rozsahu a zložitosti svojich činností, je povinná zriadiť výbor pre odmeňovanie. Výbor pre odmeňovanie sa zriadi takým spôsobom, aby bol spôsobilý kompetentne a nezávisle posudzovať zásady a postupy odmeňovania a motivácie vytvorené na riadenie rizika. Výbor pre odmeňovanie zodpovedá za prípravu rozhodnutí týkajúcich sa odmeňovania vrátane tých, ktoré majú dôsledky na riziká a riadenie rizík správcovskej spoločnosti alebo spravovaných subjektov kolektívneho investovania a ktoré má prijímať dozorná rada správcovskej spoločnosti. Výboru pre odmeňovanie predsedá člen dozornej rady správcovskej spoločnosti. Členmi výboru pre odmeňovanie môžu byť len členovia dozornej rady správcovskej spoločnosti.</w:t>
            </w:r>
          </w:p>
          <w:p w:rsidR="00DA5DED" w:rsidRPr="00DA5DED" w:rsidP="003A74AE">
            <w:pPr>
              <w:bidi w:val="0"/>
              <w:spacing w:after="0" w:line="240" w:lineRule="auto"/>
              <w:jc w:val="both"/>
              <w:rPr>
                <w:rFonts w:ascii="Arial Narrow" w:hAnsi="Arial Narrow"/>
                <w:b/>
                <w:sz w:val="22"/>
                <w:szCs w:val="22"/>
              </w:rPr>
            </w:pPr>
            <w:r w:rsidRPr="00DA5DED">
              <w:rPr>
                <w:rFonts w:ascii="Arial Narrow" w:hAnsi="Arial Narrow"/>
                <w:b/>
                <w:sz w:val="22"/>
                <w:szCs w:val="22"/>
              </w:rPr>
              <w:t>Národná banka Slovenska môže ustanoviť opatrením, ktoré sa vyhlasuje v zbierke zákonov</w:t>
            </w:r>
          </w:p>
          <w:p w:rsidR="00DA5DED" w:rsidRPr="00DA5DED" w:rsidP="003A74AE">
            <w:pPr>
              <w:numPr>
                <w:numId w:val="19"/>
              </w:numPr>
              <w:tabs>
                <w:tab w:val="num" w:pos="0"/>
                <w:tab w:val="clear" w:pos="1065"/>
              </w:tabs>
              <w:autoSpaceDE/>
              <w:autoSpaceDN/>
              <w:bidi w:val="0"/>
              <w:spacing w:after="0" w:line="240" w:lineRule="auto"/>
              <w:ind w:left="0" w:firstLine="0"/>
              <w:jc w:val="both"/>
              <w:rPr>
                <w:rFonts w:ascii="Arial Narrow" w:hAnsi="Arial Narrow"/>
                <w:b/>
                <w:sz w:val="22"/>
                <w:szCs w:val="22"/>
              </w:rPr>
            </w:pPr>
            <w:r w:rsidRPr="00DA5DED">
              <w:rPr>
                <w:rFonts w:ascii="Arial Narrow" w:hAnsi="Arial Narrow"/>
                <w:b/>
                <w:sz w:val="22"/>
                <w:szCs w:val="22"/>
              </w:rPr>
              <w:t>formy odmeňovania, na ktoré sa vzťahujú zásady odmeňovania podľa odseku 8,</w:t>
            </w:r>
          </w:p>
          <w:p w:rsidR="00DA5DED" w:rsidRPr="00DA5DED" w:rsidP="003A74AE">
            <w:pPr>
              <w:numPr>
                <w:numId w:val="19"/>
              </w:numPr>
              <w:tabs>
                <w:tab w:val="num" w:pos="0"/>
                <w:tab w:val="clear" w:pos="1065"/>
              </w:tabs>
              <w:autoSpaceDE/>
              <w:autoSpaceDN/>
              <w:bidi w:val="0"/>
              <w:spacing w:after="0" w:line="240" w:lineRule="auto"/>
              <w:ind w:left="0" w:firstLine="0"/>
              <w:jc w:val="both"/>
              <w:rPr>
                <w:rFonts w:ascii="Arial Narrow" w:hAnsi="Arial Narrow"/>
                <w:b/>
                <w:sz w:val="22"/>
                <w:szCs w:val="22"/>
              </w:rPr>
            </w:pPr>
            <w:r w:rsidRPr="00DA5DED">
              <w:rPr>
                <w:rFonts w:ascii="Arial Narrow" w:hAnsi="Arial Narrow"/>
                <w:b/>
                <w:sz w:val="22"/>
                <w:szCs w:val="22"/>
              </w:rPr>
              <w:t>rozsah uplatňovania zásad odmeňovania podľa odseku 8,</w:t>
            </w:r>
          </w:p>
          <w:p w:rsidR="00DA5DED" w:rsidRPr="00DA5DED" w:rsidP="003A74AE">
            <w:pPr>
              <w:numPr>
                <w:numId w:val="19"/>
              </w:numPr>
              <w:tabs>
                <w:tab w:val="num" w:pos="0"/>
                <w:tab w:val="clear" w:pos="1065"/>
              </w:tabs>
              <w:autoSpaceDE/>
              <w:autoSpaceDN/>
              <w:bidi w:val="0"/>
              <w:spacing w:after="0" w:line="240" w:lineRule="auto"/>
              <w:ind w:left="0" w:firstLine="0"/>
              <w:jc w:val="both"/>
              <w:rPr>
                <w:rFonts w:ascii="Arial Narrow" w:hAnsi="Arial Narrow"/>
                <w:b/>
                <w:sz w:val="22"/>
                <w:szCs w:val="22"/>
              </w:rPr>
            </w:pPr>
            <w:r w:rsidRPr="00DA5DED">
              <w:rPr>
                <w:rFonts w:ascii="Arial Narrow" w:hAnsi="Arial Narrow"/>
                <w:b/>
                <w:sz w:val="22"/>
                <w:szCs w:val="22"/>
              </w:rPr>
              <w:t>spôsob uplatňovania zásad odmeňovania v prípade zverenia riadenia investícií alebo riadenia rizík správcovskou spoločnosťou,</w:t>
            </w:r>
          </w:p>
          <w:p w:rsidR="00DA5DED" w:rsidRPr="00DA5DED" w:rsidP="003A74AE">
            <w:pPr>
              <w:numPr>
                <w:numId w:val="19"/>
              </w:numPr>
              <w:tabs>
                <w:tab w:val="num" w:pos="0"/>
                <w:tab w:val="clear" w:pos="1065"/>
              </w:tabs>
              <w:autoSpaceDE/>
              <w:autoSpaceDN/>
              <w:bidi w:val="0"/>
              <w:spacing w:after="0" w:line="240" w:lineRule="auto"/>
              <w:ind w:left="0" w:firstLine="0"/>
              <w:jc w:val="both"/>
              <w:rPr>
                <w:rFonts w:ascii="Arial Narrow" w:hAnsi="Arial Narrow"/>
                <w:b/>
                <w:sz w:val="22"/>
                <w:szCs w:val="22"/>
              </w:rPr>
            </w:pPr>
            <w:r w:rsidRPr="00DA5DED">
              <w:rPr>
                <w:rFonts w:ascii="Arial Narrow" w:hAnsi="Arial Narrow"/>
                <w:b/>
                <w:sz w:val="22"/>
                <w:szCs w:val="22"/>
              </w:rPr>
              <w:t>spôsob uplatňovania princípu podľa odseku 11 vo vzťahu k zásadám odmeňovania,,</w:t>
            </w:r>
          </w:p>
          <w:p w:rsidR="00DA5DED" w:rsidRPr="00DA5DED" w:rsidP="003A74AE">
            <w:pPr>
              <w:numPr>
                <w:numId w:val="19"/>
              </w:numPr>
              <w:tabs>
                <w:tab w:val="num" w:pos="0"/>
                <w:tab w:val="clear" w:pos="1065"/>
              </w:tabs>
              <w:autoSpaceDE/>
              <w:autoSpaceDN/>
              <w:bidi w:val="0"/>
              <w:spacing w:after="0" w:line="240" w:lineRule="auto"/>
              <w:ind w:left="0" w:firstLine="0"/>
              <w:jc w:val="both"/>
              <w:rPr>
                <w:rFonts w:ascii="Arial Narrow" w:hAnsi="Arial Narrow"/>
                <w:b/>
                <w:sz w:val="22"/>
                <w:szCs w:val="22"/>
              </w:rPr>
            </w:pPr>
            <w:r w:rsidRPr="00DA5DED">
              <w:rPr>
                <w:rFonts w:ascii="Arial Narrow" w:hAnsi="Arial Narrow"/>
                <w:b/>
                <w:sz w:val="22"/>
                <w:szCs w:val="22"/>
              </w:rPr>
              <w:t>spôsob uplatňovania zásad odmeňovania u správcovských spoločností, ktoré sú členmi finančnej skupiny alebo finančného konglomerátu,</w:t>
            </w:r>
          </w:p>
          <w:p w:rsidR="00DA5DED" w:rsidRPr="00DA5DED" w:rsidP="003A74AE">
            <w:pPr>
              <w:numPr>
                <w:numId w:val="19"/>
              </w:numPr>
              <w:tabs>
                <w:tab w:val="num" w:pos="0"/>
                <w:tab w:val="clear" w:pos="1065"/>
              </w:tabs>
              <w:autoSpaceDE/>
              <w:autoSpaceDN/>
              <w:bidi w:val="0"/>
              <w:spacing w:after="0" w:line="240" w:lineRule="auto"/>
              <w:ind w:left="0" w:firstLine="0"/>
              <w:jc w:val="both"/>
              <w:rPr>
                <w:rFonts w:ascii="Arial Narrow" w:hAnsi="Arial Narrow"/>
                <w:b/>
                <w:sz w:val="22"/>
                <w:szCs w:val="22"/>
              </w:rPr>
            </w:pPr>
            <w:r w:rsidRPr="00DA5DED">
              <w:rPr>
                <w:rFonts w:ascii="Arial Narrow" w:hAnsi="Arial Narrow"/>
                <w:b/>
                <w:sz w:val="22"/>
                <w:szCs w:val="22"/>
              </w:rPr>
              <w:t>spôsob uplatňovania zásad odmeňovania na členov predstavenstva správcovskej spoločnosti a členov dozornej rady správcovskej spoločnosti,</w:t>
            </w:r>
          </w:p>
          <w:p w:rsidR="00DA5DED" w:rsidRPr="00DA5DED" w:rsidP="003A74AE">
            <w:pPr>
              <w:numPr>
                <w:numId w:val="19"/>
              </w:numPr>
              <w:tabs>
                <w:tab w:val="num" w:pos="0"/>
                <w:tab w:val="clear" w:pos="1065"/>
              </w:tabs>
              <w:autoSpaceDE/>
              <w:autoSpaceDN/>
              <w:bidi w:val="0"/>
              <w:spacing w:after="0" w:line="240" w:lineRule="auto"/>
              <w:ind w:left="0" w:firstLine="0"/>
              <w:jc w:val="both"/>
              <w:rPr>
                <w:rFonts w:ascii="Arial Narrow" w:hAnsi="Arial Narrow"/>
                <w:b/>
                <w:sz w:val="22"/>
                <w:szCs w:val="22"/>
              </w:rPr>
            </w:pPr>
            <w:r w:rsidRPr="00DA5DED">
              <w:rPr>
                <w:rFonts w:ascii="Arial Narrow" w:hAnsi="Arial Narrow"/>
                <w:b/>
                <w:sz w:val="22"/>
                <w:szCs w:val="22"/>
              </w:rPr>
              <w:t>skutočnosti, ktoré je potrebné posúdiť, pri vyhodnotení, či je správcovská spoločnosť významná z hľadiska svojej veľkosti alebo veľkosti ňou spravovaných subjektov kolektívneho investovania alebo z hľadiska svojej vnútornej organizácie a charakteru, rozsahu a zložitosti svojich činností podľa odseku 13,</w:t>
            </w:r>
          </w:p>
          <w:p w:rsidR="00DA5DED" w:rsidRPr="00DA5DED" w:rsidP="003A74AE">
            <w:pPr>
              <w:numPr>
                <w:numId w:val="19"/>
              </w:numPr>
              <w:tabs>
                <w:tab w:val="num" w:pos="0"/>
                <w:tab w:val="clear" w:pos="1065"/>
              </w:tabs>
              <w:autoSpaceDE/>
              <w:autoSpaceDN/>
              <w:bidi w:val="0"/>
              <w:spacing w:after="0" w:line="240" w:lineRule="auto"/>
              <w:ind w:left="0" w:firstLine="0"/>
              <w:jc w:val="both"/>
              <w:rPr>
                <w:rFonts w:ascii="Arial Narrow" w:hAnsi="Arial Narrow"/>
                <w:b/>
                <w:sz w:val="22"/>
                <w:szCs w:val="22"/>
              </w:rPr>
            </w:pPr>
            <w:r w:rsidRPr="00DA5DED">
              <w:rPr>
                <w:rFonts w:ascii="Arial Narrow" w:hAnsi="Arial Narrow"/>
                <w:b/>
                <w:sz w:val="22"/>
                <w:szCs w:val="22"/>
              </w:rPr>
              <w:t>spôsob uplatňovania zásad odmeňovania na zamestnancov zodpovedných alebo vykonávajúcich funkciu dodržiavania, funkciu riadenia rizík, funkciu vnútorného auditu alebo inú kontrolnú funkciu,</w:t>
            </w:r>
          </w:p>
          <w:p w:rsidR="00DA5DED" w:rsidRPr="00DA5DED" w:rsidP="003A74AE">
            <w:pPr>
              <w:numPr>
                <w:numId w:val="19"/>
              </w:numPr>
              <w:tabs>
                <w:tab w:val="num" w:pos="0"/>
                <w:tab w:val="clear" w:pos="1065"/>
              </w:tabs>
              <w:autoSpaceDE/>
              <w:autoSpaceDN/>
              <w:bidi w:val="0"/>
              <w:spacing w:after="0" w:line="240" w:lineRule="auto"/>
              <w:ind w:left="0" w:firstLine="0"/>
              <w:jc w:val="both"/>
              <w:rPr>
                <w:rFonts w:ascii="Arial Narrow" w:hAnsi="Arial Narrow"/>
                <w:b/>
                <w:sz w:val="22"/>
                <w:szCs w:val="22"/>
              </w:rPr>
            </w:pPr>
            <w:r w:rsidRPr="00DA5DED">
              <w:rPr>
                <w:rFonts w:ascii="Arial Narrow" w:hAnsi="Arial Narrow"/>
                <w:b/>
                <w:sz w:val="22"/>
                <w:szCs w:val="22"/>
              </w:rPr>
              <w:t>čo sa rozumie stratégiami osobného zaistenia a poistenia odmeňovania a zodpovednosti, ktoré oslabujú účinky zosúladenia rizík vyplývajúce zo spôsobu odmeňovania podľa odseku 11 písm. q),</w:t>
            </w:r>
          </w:p>
          <w:p w:rsidR="00DA5DED" w:rsidRPr="00DA5DED" w:rsidP="003A74AE">
            <w:pPr>
              <w:numPr>
                <w:numId w:val="19"/>
              </w:numPr>
              <w:tabs>
                <w:tab w:val="num" w:pos="0"/>
                <w:tab w:val="clear" w:pos="1065"/>
              </w:tabs>
              <w:autoSpaceDE/>
              <w:autoSpaceDN/>
              <w:bidi w:val="0"/>
              <w:spacing w:after="0" w:line="240" w:lineRule="auto"/>
              <w:ind w:left="0" w:firstLine="0"/>
              <w:jc w:val="both"/>
              <w:rPr>
                <w:rFonts w:ascii="Arial Narrow" w:hAnsi="Arial Narrow"/>
                <w:b/>
                <w:sz w:val="22"/>
                <w:szCs w:val="22"/>
              </w:rPr>
            </w:pPr>
            <w:r w:rsidRPr="00DA5DED">
              <w:rPr>
                <w:rFonts w:ascii="Arial Narrow" w:hAnsi="Arial Narrow"/>
                <w:b/>
                <w:sz w:val="22"/>
                <w:szCs w:val="22"/>
              </w:rPr>
              <w:t>spôsob uplatňovania princípu zosúladenia rizík,</w:t>
            </w:r>
          </w:p>
          <w:p w:rsidR="00DA5DED" w:rsidRPr="00DA5DED" w:rsidP="003A74AE">
            <w:pPr>
              <w:numPr>
                <w:numId w:val="19"/>
              </w:numPr>
              <w:tabs>
                <w:tab w:val="num" w:pos="0"/>
                <w:tab w:val="clear" w:pos="1065"/>
              </w:tabs>
              <w:autoSpaceDE/>
              <w:autoSpaceDN/>
              <w:bidi w:val="0"/>
              <w:spacing w:after="0" w:line="240" w:lineRule="auto"/>
              <w:ind w:left="0" w:firstLine="0"/>
              <w:jc w:val="both"/>
              <w:rPr>
                <w:rFonts w:ascii="Arial Narrow" w:hAnsi="Arial Narrow"/>
                <w:b/>
                <w:sz w:val="22"/>
                <w:szCs w:val="22"/>
              </w:rPr>
            </w:pPr>
            <w:r w:rsidRPr="00DA5DED">
              <w:rPr>
                <w:rFonts w:ascii="Arial Narrow" w:hAnsi="Arial Narrow"/>
                <w:b/>
                <w:sz w:val="22"/>
                <w:szCs w:val="22"/>
              </w:rPr>
              <w:t>spôsob hodnotenia výkonnosti podľa odseku 11 písm. g),</w:t>
            </w:r>
          </w:p>
          <w:p w:rsidR="00DA5DED" w:rsidRPr="00DA5DED" w:rsidP="003A74AE">
            <w:pPr>
              <w:numPr>
                <w:numId w:val="19"/>
              </w:numPr>
              <w:tabs>
                <w:tab w:val="num" w:pos="0"/>
                <w:tab w:val="clear" w:pos="1065"/>
              </w:tabs>
              <w:autoSpaceDE/>
              <w:autoSpaceDN/>
              <w:bidi w:val="0"/>
              <w:spacing w:after="0" w:line="240" w:lineRule="auto"/>
              <w:ind w:left="0" w:firstLine="0"/>
              <w:jc w:val="both"/>
              <w:rPr>
                <w:rFonts w:ascii="Arial Narrow" w:hAnsi="Arial Narrow"/>
                <w:b/>
                <w:sz w:val="22"/>
                <w:szCs w:val="22"/>
              </w:rPr>
            </w:pPr>
            <w:r w:rsidRPr="00DA5DED">
              <w:rPr>
                <w:rFonts w:ascii="Arial Narrow" w:hAnsi="Arial Narrow"/>
                <w:b/>
                <w:sz w:val="22"/>
                <w:szCs w:val="22"/>
              </w:rPr>
              <w:t>spôsob udeľovania pohyblivej zložky odmeňovania,</w:t>
            </w:r>
          </w:p>
          <w:p w:rsidR="00DA5DED" w:rsidRPr="00DA5DED" w:rsidP="003A74AE">
            <w:pPr>
              <w:numPr>
                <w:numId w:val="19"/>
              </w:numPr>
              <w:tabs>
                <w:tab w:val="num" w:pos="0"/>
                <w:tab w:val="clear" w:pos="1065"/>
              </w:tabs>
              <w:autoSpaceDE/>
              <w:autoSpaceDN/>
              <w:bidi w:val="0"/>
              <w:spacing w:after="0" w:line="240" w:lineRule="auto"/>
              <w:ind w:left="0" w:firstLine="0"/>
              <w:jc w:val="both"/>
              <w:rPr>
                <w:rFonts w:ascii="Arial Narrow" w:hAnsi="Arial Narrow"/>
                <w:b/>
                <w:sz w:val="22"/>
                <w:szCs w:val="22"/>
              </w:rPr>
            </w:pPr>
            <w:r w:rsidRPr="00DA5DED">
              <w:rPr>
                <w:rFonts w:ascii="Arial Narrow" w:hAnsi="Arial Narrow"/>
                <w:b/>
                <w:sz w:val="22"/>
                <w:szCs w:val="22"/>
              </w:rPr>
              <w:t>spôsob vyplácania pohyblivej zložky odmeňovania,</w:t>
            </w:r>
          </w:p>
          <w:p w:rsidR="00DA5DED" w:rsidRPr="00DA5DED" w:rsidP="003A74AE">
            <w:pPr>
              <w:numPr>
                <w:numId w:val="19"/>
              </w:numPr>
              <w:tabs>
                <w:tab w:val="num" w:pos="0"/>
                <w:tab w:val="clear" w:pos="1065"/>
              </w:tabs>
              <w:autoSpaceDE/>
              <w:autoSpaceDN/>
              <w:bidi w:val="0"/>
              <w:spacing w:after="0" w:line="240" w:lineRule="auto"/>
              <w:ind w:left="0" w:firstLine="0"/>
              <w:jc w:val="both"/>
              <w:rPr>
                <w:rFonts w:ascii="Arial Narrow" w:hAnsi="Arial Narrow"/>
                <w:b/>
                <w:sz w:val="22"/>
                <w:szCs w:val="22"/>
              </w:rPr>
            </w:pPr>
            <w:r w:rsidRPr="00DA5DED">
              <w:rPr>
                <w:rFonts w:ascii="Arial Narrow" w:hAnsi="Arial Narrow"/>
                <w:b/>
                <w:sz w:val="22"/>
                <w:szCs w:val="22"/>
              </w:rPr>
              <w:t>čo sa rozumie náležitými podmienkami zadržania podľa odseku 11 písm. m) druhého bodu,</w:t>
            </w:r>
          </w:p>
          <w:p w:rsidR="00A9063F" w:rsidRPr="00DA5DED" w:rsidP="004760F7">
            <w:pPr>
              <w:numPr>
                <w:numId w:val="19"/>
              </w:numPr>
              <w:tabs>
                <w:tab w:val="num" w:pos="0"/>
                <w:tab w:val="clear" w:pos="1065"/>
              </w:tabs>
              <w:autoSpaceDE/>
              <w:autoSpaceDN/>
              <w:bidi w:val="0"/>
              <w:spacing w:after="0" w:line="240" w:lineRule="auto"/>
              <w:ind w:left="0" w:firstLine="0"/>
              <w:jc w:val="both"/>
              <w:rPr>
                <w:rFonts w:ascii="Arial Narrow" w:hAnsi="Arial Narrow"/>
                <w:sz w:val="22"/>
                <w:szCs w:val="22"/>
              </w:rPr>
            </w:pPr>
            <w:r w:rsidRPr="00DA5DED" w:rsidR="00DA5DED">
              <w:rPr>
                <w:rFonts w:ascii="Arial Narrow" w:hAnsi="Arial Narrow"/>
                <w:b/>
                <w:sz w:val="22"/>
                <w:szCs w:val="22"/>
              </w:rPr>
              <w:t>spôsob znižovania pohyblivej zložky odmeňovania podľa odseku 11 písm. o).</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A5DED">
            <w:pPr>
              <w:bidi w:val="0"/>
              <w:spacing w:after="0" w:line="240" w:lineRule="auto"/>
              <w:jc w:val="center"/>
              <w:rPr>
                <w:rFonts w:ascii="Arial Narrow" w:hAnsi="Arial Narrow"/>
                <w:sz w:val="22"/>
                <w:szCs w:val="22"/>
              </w:rPr>
            </w:pPr>
            <w:r w:rsidR="004760F7">
              <w:rPr>
                <w:rFonts w:ascii="Arial Narrow" w:hAnsi="Arial Narrow"/>
                <w:sz w:val="22"/>
                <w:szCs w:val="22"/>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A9063F" w:rsidRPr="00DA5DED">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DA5DED" w:rsidP="00DA5DED">
            <w:pPr>
              <w:bidi w:val="0"/>
              <w:spacing w:after="0" w:line="240" w:lineRule="auto"/>
              <w:rPr>
                <w:rFonts w:ascii="Arial Narrow" w:hAnsi="Arial Narrow"/>
                <w:sz w:val="22"/>
                <w:szCs w:val="22"/>
              </w:rPr>
            </w:pPr>
            <w:r w:rsidR="00DA5DED">
              <w:rPr>
                <w:rFonts w:ascii="Arial Narrow" w:hAnsi="Arial Narrow"/>
                <w:sz w:val="22"/>
                <w:szCs w:val="22"/>
              </w:rPr>
              <w:t>Príloha č.</w:t>
            </w:r>
            <w:r w:rsidRPr="00DA5DED" w:rsidR="002E1D16">
              <w:rPr>
                <w:rFonts w:ascii="Arial Narrow" w:hAnsi="Arial Narrow"/>
                <w:sz w:val="22"/>
                <w:szCs w:val="22"/>
              </w:rPr>
              <w:t>3</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DA5DED" w:rsidRPr="00DA5DED" w:rsidP="00DA5DED">
            <w:pPr>
              <w:pStyle w:val="Normlny"/>
              <w:bidi w:val="0"/>
              <w:spacing w:after="0" w:line="240" w:lineRule="auto"/>
              <w:jc w:val="both"/>
              <w:rPr>
                <w:rFonts w:ascii="Arial Narrow" w:hAnsi="Arial Narrow"/>
                <w:sz w:val="22"/>
                <w:szCs w:val="22"/>
              </w:rPr>
            </w:pPr>
            <w:r w:rsidRPr="00DA5DED">
              <w:rPr>
                <w:rFonts w:ascii="Arial Narrow" w:hAnsi="Arial Narrow"/>
                <w:i/>
                <w:iCs/>
                <w:sz w:val="22"/>
                <w:szCs w:val="22"/>
              </w:rPr>
              <w:t xml:space="preserve">PRÍLOHA III </w:t>
            </w:r>
          </w:p>
          <w:p w:rsidR="00DA5DED" w:rsidRPr="00DA5DED" w:rsidP="00DA5DED">
            <w:pPr>
              <w:pStyle w:val="Normlny"/>
              <w:bidi w:val="0"/>
              <w:spacing w:after="0" w:line="240" w:lineRule="auto"/>
              <w:jc w:val="both"/>
              <w:rPr>
                <w:rFonts w:ascii="Arial Narrow" w:hAnsi="Arial Narrow"/>
                <w:sz w:val="22"/>
                <w:szCs w:val="22"/>
              </w:rPr>
            </w:pPr>
            <w:r w:rsidRPr="00DA5DED">
              <w:rPr>
                <w:rFonts w:ascii="Arial Narrow" w:hAnsi="Arial Narrow"/>
                <w:b/>
                <w:bCs/>
                <w:sz w:val="22"/>
                <w:szCs w:val="22"/>
              </w:rPr>
              <w:t xml:space="preserve">DOKUMENTÁCIA A INFORMÁCIE, KTORÉ SA POSKYTUJÚ V PRÍPADE ZAMÝŠĽANÉHO UVÁDZANIA NA TRH V DOMOVSKOM ČLENSKOM ŠTÁTE SPRÁVCU AIF </w:t>
            </w:r>
          </w:p>
          <w:p w:rsidR="00DA5DED" w:rsidRPr="00DA5DED" w:rsidP="00DA5DED">
            <w:pPr>
              <w:pStyle w:val="Normlny"/>
              <w:bidi w:val="0"/>
              <w:spacing w:after="0" w:line="240" w:lineRule="auto"/>
              <w:jc w:val="both"/>
              <w:rPr>
                <w:rFonts w:ascii="Arial Narrow" w:hAnsi="Arial Narrow"/>
                <w:sz w:val="22"/>
                <w:szCs w:val="22"/>
              </w:rPr>
            </w:pPr>
            <w:r w:rsidRPr="00DA5DED">
              <w:rPr>
                <w:rFonts w:ascii="Arial Narrow" w:hAnsi="Arial Narrow"/>
                <w:sz w:val="22"/>
                <w:szCs w:val="22"/>
              </w:rPr>
              <w:t xml:space="preserve">a) Oznámenie vrátane programu činností, v ktorom sa uvedú AIF, ktoré má správca AIF v úmysle uvádzať na trh, a informácie o tom, kde sú tieto AIF usadené; </w:t>
            </w:r>
          </w:p>
          <w:p w:rsidR="00DA5DED" w:rsidRPr="00DA5DED" w:rsidP="00DA5DED">
            <w:pPr>
              <w:pStyle w:val="Normlny"/>
              <w:bidi w:val="0"/>
              <w:spacing w:after="0" w:line="240" w:lineRule="auto"/>
              <w:jc w:val="both"/>
              <w:rPr>
                <w:rFonts w:ascii="Arial Narrow" w:hAnsi="Arial Narrow"/>
                <w:sz w:val="22"/>
                <w:szCs w:val="22"/>
              </w:rPr>
            </w:pPr>
            <w:r w:rsidRPr="00DA5DED">
              <w:rPr>
                <w:rFonts w:ascii="Arial Narrow" w:hAnsi="Arial Narrow"/>
                <w:sz w:val="22"/>
                <w:szCs w:val="22"/>
              </w:rPr>
              <w:t xml:space="preserve">b) štatút alebo zakladajúce dokumenty AIF; </w:t>
            </w:r>
          </w:p>
          <w:p w:rsidR="00DA5DED" w:rsidRPr="00DA5DED" w:rsidP="00DA5DED">
            <w:pPr>
              <w:pStyle w:val="Normlny"/>
              <w:bidi w:val="0"/>
              <w:spacing w:after="0" w:line="240" w:lineRule="auto"/>
              <w:jc w:val="both"/>
              <w:rPr>
                <w:rFonts w:ascii="Arial Narrow" w:hAnsi="Arial Narrow"/>
                <w:sz w:val="22"/>
                <w:szCs w:val="22"/>
              </w:rPr>
            </w:pPr>
            <w:r w:rsidRPr="00DA5DED">
              <w:rPr>
                <w:rFonts w:ascii="Arial Narrow" w:hAnsi="Arial Narrow"/>
                <w:sz w:val="22"/>
                <w:szCs w:val="22"/>
              </w:rPr>
              <w:t xml:space="preserve">c) údaje o totožnosti depozitára AIF; </w:t>
            </w:r>
          </w:p>
          <w:p w:rsidR="00DA5DED" w:rsidRPr="00DA5DED" w:rsidP="00DA5DED">
            <w:pPr>
              <w:pStyle w:val="Normlny"/>
              <w:bidi w:val="0"/>
              <w:spacing w:after="0" w:line="240" w:lineRule="auto"/>
              <w:jc w:val="both"/>
              <w:rPr>
                <w:rFonts w:ascii="Arial Narrow" w:hAnsi="Arial Narrow"/>
                <w:sz w:val="22"/>
                <w:szCs w:val="22"/>
              </w:rPr>
            </w:pPr>
            <w:r w:rsidRPr="00DA5DED">
              <w:rPr>
                <w:rFonts w:ascii="Arial Narrow" w:hAnsi="Arial Narrow"/>
                <w:sz w:val="22"/>
                <w:szCs w:val="22"/>
              </w:rPr>
              <w:t xml:space="preserve">d) opis AIF alebo akékoľvek informácie o AIF dostupné pre investorov; </w:t>
            </w:r>
          </w:p>
          <w:p w:rsidR="00DA5DED" w:rsidRPr="00DA5DED" w:rsidP="00DA5DED">
            <w:pPr>
              <w:pStyle w:val="Normlny"/>
              <w:bidi w:val="0"/>
              <w:spacing w:after="0" w:line="240" w:lineRule="auto"/>
              <w:jc w:val="both"/>
              <w:rPr>
                <w:rFonts w:ascii="Arial Narrow" w:hAnsi="Arial Narrow"/>
                <w:sz w:val="22"/>
                <w:szCs w:val="22"/>
              </w:rPr>
            </w:pPr>
            <w:r w:rsidRPr="00DA5DED">
              <w:rPr>
                <w:rFonts w:ascii="Arial Narrow" w:hAnsi="Arial Narrow"/>
                <w:sz w:val="22"/>
                <w:szCs w:val="22"/>
              </w:rPr>
              <w:t xml:space="preserve">e) informácie o mieste, kde je usadený hlavný AIF, ak je tento AIF zberným AIF; </w:t>
            </w:r>
          </w:p>
          <w:p w:rsidR="00DA5DED" w:rsidRPr="00DA5DED" w:rsidP="00DA5DED">
            <w:pPr>
              <w:pStyle w:val="Normlny"/>
              <w:bidi w:val="0"/>
              <w:spacing w:after="0" w:line="240" w:lineRule="auto"/>
              <w:jc w:val="both"/>
              <w:rPr>
                <w:rFonts w:ascii="Arial Narrow" w:hAnsi="Arial Narrow"/>
                <w:sz w:val="22"/>
                <w:szCs w:val="22"/>
              </w:rPr>
            </w:pPr>
            <w:r w:rsidRPr="00DA5DED">
              <w:rPr>
                <w:rFonts w:ascii="Arial Narrow" w:hAnsi="Arial Narrow"/>
                <w:sz w:val="22"/>
                <w:szCs w:val="22"/>
              </w:rPr>
              <w:t xml:space="preserve">f) akékoľvek ďalšie informácie uvedené v článku 23 ods. 1 o každom AIF, ktorý má správca AIF v úmysle uvádzať na trh; </w:t>
            </w:r>
          </w:p>
          <w:p w:rsidR="00A9063F" w:rsidRPr="00DA5DED" w:rsidP="00DA5DED">
            <w:pPr>
              <w:pStyle w:val="Normlny"/>
              <w:bidi w:val="0"/>
              <w:spacing w:after="0" w:line="240" w:lineRule="auto"/>
              <w:jc w:val="both"/>
              <w:rPr>
                <w:rFonts w:ascii="Arial Narrow" w:hAnsi="Arial Narrow"/>
                <w:sz w:val="22"/>
                <w:szCs w:val="22"/>
              </w:rPr>
            </w:pPr>
            <w:r w:rsidRPr="00DA5DED" w:rsidR="00DA5DED">
              <w:rPr>
                <w:rFonts w:ascii="Arial Narrow" w:hAnsi="Arial Narrow"/>
                <w:sz w:val="22"/>
                <w:szCs w:val="22"/>
              </w:rPr>
              <w:t>g) prípadne informácie o mechanizmoch vytvorených s cieľom zabrániť, aby sa podielové listy alebo akcie AIF uvádzali na trh pre retailových investorov vrátane prípadu, keď správca AIF v súvislosti s týmto AIF využíva pri poskytovaní investičných služieb činnosti nezávislých subjektov.</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DA5DED">
            <w:pPr>
              <w:bidi w:val="0"/>
              <w:spacing w:after="0" w:line="240" w:lineRule="auto"/>
              <w:jc w:val="center"/>
              <w:rPr>
                <w:rFonts w:ascii="Arial Narrow" w:hAnsi="Arial Narrow"/>
                <w:sz w:val="22"/>
                <w:szCs w:val="22"/>
              </w:rPr>
            </w:pPr>
            <w:r w:rsidR="004760F7">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DA5DED">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DA5DED" w:rsidP="004577EC">
            <w:pPr>
              <w:pStyle w:val="Normlny"/>
              <w:bidi w:val="0"/>
              <w:spacing w:after="0" w:line="240" w:lineRule="auto"/>
              <w:jc w:val="center"/>
              <w:rPr>
                <w:rFonts w:ascii="Arial Narrow" w:hAnsi="Arial Narrow"/>
                <w:sz w:val="22"/>
                <w:szCs w:val="22"/>
              </w:rPr>
            </w:pPr>
            <w:r w:rsidR="004760F7">
              <w:rPr>
                <w:rFonts w:ascii="Arial Narrow" w:hAnsi="Arial Narrow"/>
                <w:sz w:val="22"/>
                <w:szCs w:val="22"/>
              </w:rPr>
              <w:t>§ 150b ods.1</w:t>
            </w:r>
          </w:p>
        </w:tc>
        <w:tc>
          <w:tcPr>
            <w:tcW w:w="6379" w:type="dxa"/>
            <w:tcBorders>
              <w:top w:val="single" w:sz="4" w:space="0" w:color="auto"/>
              <w:left w:val="single" w:sz="4" w:space="0" w:color="auto"/>
              <w:bottom w:val="single" w:sz="4" w:space="0" w:color="auto"/>
              <w:right w:val="single" w:sz="4" w:space="0" w:color="auto"/>
            </w:tcBorders>
            <w:textDirection w:val="lrTb"/>
            <w:vAlign w:val="top"/>
          </w:tcPr>
          <w:p w:rsidR="004760F7" w:rsidRPr="004760F7" w:rsidP="004760F7">
            <w:pPr>
              <w:autoSpaceDE/>
              <w:autoSpaceDN/>
              <w:bidi w:val="0"/>
              <w:spacing w:after="0" w:line="240" w:lineRule="auto"/>
              <w:jc w:val="both"/>
              <w:rPr>
                <w:rFonts w:ascii="Arial Narrow" w:hAnsi="Arial Narrow"/>
                <w:b/>
                <w:i/>
                <w:iCs/>
                <w:sz w:val="22"/>
                <w:szCs w:val="22"/>
              </w:rPr>
            </w:pPr>
            <w:r w:rsidRPr="004760F7">
              <w:rPr>
                <w:rFonts w:ascii="Arial Narrow" w:hAnsi="Arial Narrow"/>
                <w:b/>
                <w:sz w:val="22"/>
                <w:szCs w:val="22"/>
              </w:rPr>
              <w:t>Správcovská spoločnosť s povolením podľa § 28a, ktorá sa rozhodla distribuovať ňou spravovaný alternatívny investičný fond alebo európsky alternatívny investičný fond na území Slovenskej republiky, je povinná pred začatím tejto činnosti oznámiť svoj zámer Národnej banke Slovenska, pričom v oznámení sa uvedie</w:t>
            </w:r>
          </w:p>
          <w:p w:rsidR="004760F7" w:rsidRPr="004760F7" w:rsidP="004760F7">
            <w:pPr>
              <w:pStyle w:val="CM4"/>
              <w:numPr>
                <w:ilvl w:val="1"/>
                <w:numId w:val="20"/>
              </w:numPr>
              <w:bidi w:val="0"/>
              <w:spacing w:after="0" w:line="240" w:lineRule="auto"/>
              <w:ind w:left="0" w:firstLine="0"/>
              <w:jc w:val="both"/>
              <w:rPr>
                <w:rFonts w:ascii="Arial Narrow" w:hAnsi="Arial Narrow"/>
                <w:b/>
                <w:color w:val="000000"/>
                <w:sz w:val="22"/>
                <w:szCs w:val="22"/>
              </w:rPr>
            </w:pPr>
            <w:r w:rsidRPr="004760F7">
              <w:rPr>
                <w:rFonts w:ascii="Arial Narrow" w:hAnsi="Arial Narrow"/>
                <w:b/>
                <w:color w:val="000000"/>
                <w:sz w:val="22"/>
                <w:szCs w:val="22"/>
              </w:rPr>
              <w:t xml:space="preserve">program činností obsahujúci názov </w:t>
            </w:r>
            <w:r w:rsidRPr="004760F7">
              <w:rPr>
                <w:rFonts w:ascii="Arial Narrow" w:hAnsi="Arial Narrow"/>
                <w:b/>
                <w:sz w:val="22"/>
                <w:szCs w:val="22"/>
              </w:rPr>
              <w:t xml:space="preserve">alternatívneho investičného fondu alebo </w:t>
            </w:r>
            <w:r w:rsidRPr="004760F7">
              <w:rPr>
                <w:rFonts w:ascii="Arial Narrow" w:hAnsi="Arial Narrow"/>
                <w:b/>
                <w:color w:val="000000"/>
                <w:sz w:val="22"/>
                <w:szCs w:val="22"/>
              </w:rPr>
              <w:t xml:space="preserve">európskeho alternatívneho investičného fondu a miesto usadenia európskeho alternatívneho investičného fondu, ktorý správcovská spoločnosť  plánuje distribuovať, </w:t>
            </w:r>
          </w:p>
          <w:p w:rsidR="004760F7" w:rsidRPr="004760F7" w:rsidP="004760F7">
            <w:pPr>
              <w:pStyle w:val="CM4"/>
              <w:numPr>
                <w:ilvl w:val="1"/>
                <w:numId w:val="20"/>
              </w:numPr>
              <w:bidi w:val="0"/>
              <w:spacing w:after="0" w:line="240" w:lineRule="auto"/>
              <w:ind w:left="0" w:firstLine="0"/>
              <w:jc w:val="both"/>
              <w:rPr>
                <w:rFonts w:ascii="Arial Narrow" w:hAnsi="Arial Narrow"/>
                <w:b/>
                <w:color w:val="000000"/>
                <w:sz w:val="22"/>
                <w:szCs w:val="22"/>
              </w:rPr>
            </w:pPr>
            <w:r w:rsidRPr="004760F7">
              <w:rPr>
                <w:rFonts w:ascii="Arial Narrow" w:hAnsi="Arial Narrow"/>
                <w:b/>
                <w:color w:val="000000"/>
                <w:sz w:val="22"/>
                <w:szCs w:val="22"/>
              </w:rPr>
              <w:t xml:space="preserve">štatút alebo zakladajúce dokumenty </w:t>
            </w:r>
            <w:r w:rsidRPr="004760F7">
              <w:rPr>
                <w:rFonts w:ascii="Arial Narrow" w:hAnsi="Arial Narrow"/>
                <w:b/>
                <w:sz w:val="22"/>
                <w:szCs w:val="22"/>
              </w:rPr>
              <w:t xml:space="preserve">alternatívneho investičného fondu alebo </w:t>
            </w:r>
            <w:r w:rsidRPr="004760F7">
              <w:rPr>
                <w:rFonts w:ascii="Arial Narrow" w:hAnsi="Arial Narrow"/>
                <w:b/>
                <w:color w:val="000000"/>
                <w:sz w:val="22"/>
                <w:szCs w:val="22"/>
              </w:rPr>
              <w:t xml:space="preserve">európskeho alternatívneho investičného fondu, </w:t>
            </w:r>
          </w:p>
          <w:p w:rsidR="004760F7" w:rsidRPr="004760F7" w:rsidP="004760F7">
            <w:pPr>
              <w:pStyle w:val="CM4"/>
              <w:numPr>
                <w:ilvl w:val="1"/>
                <w:numId w:val="20"/>
              </w:numPr>
              <w:bidi w:val="0"/>
              <w:spacing w:after="0" w:line="240" w:lineRule="auto"/>
              <w:ind w:left="0" w:firstLine="0"/>
              <w:jc w:val="both"/>
              <w:rPr>
                <w:rFonts w:ascii="Arial Narrow" w:hAnsi="Arial Narrow"/>
                <w:b/>
                <w:color w:val="000000"/>
                <w:sz w:val="22"/>
                <w:szCs w:val="22"/>
              </w:rPr>
            </w:pPr>
            <w:r w:rsidRPr="004760F7">
              <w:rPr>
                <w:rFonts w:ascii="Arial Narrow" w:hAnsi="Arial Narrow"/>
                <w:b/>
                <w:color w:val="000000"/>
                <w:sz w:val="22"/>
                <w:szCs w:val="22"/>
              </w:rPr>
              <w:t xml:space="preserve">identifikačné údaje depozitára  </w:t>
            </w:r>
            <w:r w:rsidRPr="004760F7">
              <w:rPr>
                <w:rFonts w:ascii="Arial Narrow" w:hAnsi="Arial Narrow"/>
                <w:b/>
                <w:sz w:val="22"/>
                <w:szCs w:val="22"/>
              </w:rPr>
              <w:t xml:space="preserve">alternatívneho investičného fondu alebo </w:t>
            </w:r>
            <w:r w:rsidRPr="004760F7">
              <w:rPr>
                <w:rFonts w:ascii="Arial Narrow" w:hAnsi="Arial Narrow"/>
                <w:b/>
                <w:color w:val="000000"/>
                <w:sz w:val="22"/>
                <w:szCs w:val="22"/>
              </w:rPr>
              <w:t>európskeho alternatívneho investičného fondu,</w:t>
            </w:r>
          </w:p>
          <w:p w:rsidR="004760F7" w:rsidRPr="004760F7" w:rsidP="004760F7">
            <w:pPr>
              <w:pStyle w:val="CM4"/>
              <w:numPr>
                <w:ilvl w:val="1"/>
                <w:numId w:val="20"/>
              </w:numPr>
              <w:bidi w:val="0"/>
              <w:spacing w:after="0" w:line="240" w:lineRule="auto"/>
              <w:ind w:left="0" w:firstLine="0"/>
              <w:jc w:val="both"/>
              <w:rPr>
                <w:rFonts w:ascii="Arial Narrow" w:hAnsi="Arial Narrow"/>
                <w:b/>
                <w:color w:val="000000"/>
                <w:sz w:val="22"/>
                <w:szCs w:val="22"/>
              </w:rPr>
            </w:pPr>
            <w:r w:rsidRPr="004760F7">
              <w:rPr>
                <w:rFonts w:ascii="Arial Narrow" w:hAnsi="Arial Narrow"/>
                <w:b/>
                <w:color w:val="000000"/>
                <w:sz w:val="22"/>
                <w:szCs w:val="22"/>
              </w:rPr>
              <w:t xml:space="preserve">popis </w:t>
            </w:r>
            <w:r w:rsidRPr="004760F7">
              <w:rPr>
                <w:rFonts w:ascii="Arial Narrow" w:hAnsi="Arial Narrow"/>
                <w:b/>
                <w:sz w:val="22"/>
                <w:szCs w:val="22"/>
              </w:rPr>
              <w:t xml:space="preserve">alternatívneho investičného fondu alebo </w:t>
            </w:r>
            <w:r w:rsidRPr="004760F7">
              <w:rPr>
                <w:rFonts w:ascii="Arial Narrow" w:hAnsi="Arial Narrow"/>
                <w:b/>
                <w:color w:val="000000"/>
                <w:sz w:val="22"/>
                <w:szCs w:val="22"/>
              </w:rPr>
              <w:t xml:space="preserve">európskeho alternatívneho investičného fondu a ďalšie informácie, ktoré sú  dostupné pre investorov, </w:t>
            </w:r>
          </w:p>
          <w:p w:rsidR="004760F7" w:rsidRPr="004760F7" w:rsidP="004760F7">
            <w:pPr>
              <w:pStyle w:val="CM4"/>
              <w:numPr>
                <w:ilvl w:val="1"/>
                <w:numId w:val="20"/>
              </w:numPr>
              <w:bidi w:val="0"/>
              <w:spacing w:after="0" w:line="240" w:lineRule="auto"/>
              <w:ind w:left="0" w:firstLine="0"/>
              <w:jc w:val="both"/>
              <w:rPr>
                <w:rFonts w:ascii="Arial Narrow" w:hAnsi="Arial Narrow"/>
                <w:b/>
                <w:color w:val="000000"/>
                <w:sz w:val="22"/>
                <w:szCs w:val="22"/>
              </w:rPr>
            </w:pPr>
            <w:r w:rsidRPr="004760F7">
              <w:rPr>
                <w:rFonts w:ascii="Arial Narrow" w:hAnsi="Arial Narrow"/>
                <w:b/>
                <w:color w:val="000000"/>
                <w:sz w:val="22"/>
                <w:szCs w:val="22"/>
              </w:rPr>
              <w:t xml:space="preserve">informácie o sídle hlavného alternatívneho investičného fondu, ak je príslušný alternatívny investičný fond zberným alternatívnym investičným fondom alebo európsky alternatívny investičný fond zberným zahraničným alternatívnym investičným fondom, </w:t>
            </w:r>
          </w:p>
          <w:p w:rsidR="004760F7" w:rsidRPr="004760F7" w:rsidP="004760F7">
            <w:pPr>
              <w:pStyle w:val="CM4"/>
              <w:numPr>
                <w:ilvl w:val="1"/>
                <w:numId w:val="20"/>
              </w:numPr>
              <w:bidi w:val="0"/>
              <w:spacing w:after="0" w:line="240" w:lineRule="auto"/>
              <w:ind w:left="0" w:firstLine="0"/>
              <w:jc w:val="both"/>
              <w:rPr>
                <w:rFonts w:ascii="Arial Narrow" w:hAnsi="Arial Narrow"/>
                <w:b/>
                <w:color w:val="000000"/>
                <w:sz w:val="22"/>
                <w:szCs w:val="22"/>
              </w:rPr>
            </w:pPr>
            <w:r w:rsidRPr="004760F7">
              <w:rPr>
                <w:rFonts w:ascii="Arial Narrow" w:hAnsi="Arial Narrow"/>
                <w:b/>
                <w:color w:val="000000"/>
                <w:sz w:val="22"/>
                <w:szCs w:val="22"/>
              </w:rPr>
              <w:t xml:space="preserve">akékoľvek ďalšie informácie podľa § 159a ods. 1 o </w:t>
            </w:r>
            <w:r w:rsidRPr="004760F7">
              <w:rPr>
                <w:rFonts w:ascii="Arial Narrow" w:hAnsi="Arial Narrow"/>
                <w:b/>
                <w:sz w:val="22"/>
                <w:szCs w:val="22"/>
              </w:rPr>
              <w:t xml:space="preserve">alternatívnom investičnom fonde alebo </w:t>
            </w:r>
            <w:r w:rsidRPr="004760F7">
              <w:rPr>
                <w:rFonts w:ascii="Arial Narrow" w:hAnsi="Arial Narrow"/>
                <w:b/>
                <w:color w:val="000000"/>
                <w:sz w:val="22"/>
                <w:szCs w:val="22"/>
              </w:rPr>
              <w:t xml:space="preserve">európskom alternatívnom investičnom fonde, okrem tých, ktoré sú uvedené v písmene d), </w:t>
            </w:r>
          </w:p>
          <w:p w:rsidR="004760F7" w:rsidRPr="004760F7" w:rsidP="004760F7">
            <w:pPr>
              <w:pStyle w:val="CM4"/>
              <w:numPr>
                <w:ilvl w:val="1"/>
                <w:numId w:val="20"/>
              </w:numPr>
              <w:bidi w:val="0"/>
              <w:spacing w:after="0" w:line="240" w:lineRule="auto"/>
              <w:ind w:left="0" w:firstLine="0"/>
              <w:jc w:val="both"/>
              <w:rPr>
                <w:rFonts w:ascii="Arial Narrow" w:hAnsi="Arial Narrow"/>
                <w:b/>
                <w:color w:val="000000"/>
                <w:sz w:val="22"/>
                <w:szCs w:val="22"/>
              </w:rPr>
            </w:pPr>
            <w:r w:rsidRPr="004760F7">
              <w:rPr>
                <w:rFonts w:ascii="Arial Narrow" w:hAnsi="Arial Narrow"/>
                <w:b/>
                <w:color w:val="000000"/>
                <w:sz w:val="22"/>
                <w:szCs w:val="22"/>
              </w:rPr>
              <w:t xml:space="preserve"> informácie o mechanizmoch vytvorených s cieľom zabrániť, aby boli cenné papiere alebo majetkové účasti tohto fondu distribuované neprofesionálnym investorom v Slovenskej republike, a to aj, ak správcovská  spoločnosť v súvislosti s týmto fondom využíva pri distribúcii a poskytovaní investičných služieb iné osoby, ak ide o </w:t>
            </w:r>
          </w:p>
          <w:p w:rsidR="004760F7" w:rsidRPr="004760F7" w:rsidP="004760F7">
            <w:pPr>
              <w:pStyle w:val="CM4"/>
              <w:numPr>
                <w:ilvl w:val="3"/>
                <w:numId w:val="20"/>
              </w:numPr>
              <w:bidi w:val="0"/>
              <w:spacing w:after="0" w:line="240" w:lineRule="auto"/>
              <w:ind w:left="98" w:firstLine="0"/>
              <w:jc w:val="both"/>
              <w:rPr>
                <w:rFonts w:ascii="Arial Narrow" w:hAnsi="Arial Narrow"/>
                <w:b/>
                <w:color w:val="000000"/>
                <w:sz w:val="22"/>
                <w:szCs w:val="22"/>
              </w:rPr>
            </w:pPr>
            <w:r w:rsidRPr="004760F7">
              <w:rPr>
                <w:rFonts w:ascii="Arial Narrow" w:hAnsi="Arial Narrow"/>
                <w:b/>
                <w:color w:val="000000"/>
                <w:sz w:val="22"/>
                <w:szCs w:val="22"/>
              </w:rPr>
              <w:t>alternatívny investičný fond podľa § 4 ods. 2 písm. b),</w:t>
            </w:r>
          </w:p>
          <w:p w:rsidR="004760F7" w:rsidRPr="000C5202" w:rsidP="004760F7">
            <w:pPr>
              <w:pStyle w:val="CM4"/>
              <w:numPr>
                <w:ilvl w:val="3"/>
                <w:numId w:val="20"/>
              </w:numPr>
              <w:bidi w:val="0"/>
              <w:spacing w:after="0" w:line="240" w:lineRule="auto"/>
              <w:ind w:left="98" w:firstLine="0"/>
              <w:jc w:val="both"/>
              <w:rPr>
                <w:rFonts w:ascii="Times New Roman" w:hAnsi="Times New Roman"/>
                <w:color w:val="000000"/>
              </w:rPr>
            </w:pPr>
            <w:r w:rsidRPr="004760F7">
              <w:rPr>
                <w:rFonts w:ascii="Arial Narrow" w:hAnsi="Arial Narrow"/>
                <w:b/>
                <w:color w:val="000000"/>
                <w:sz w:val="22"/>
                <w:szCs w:val="22"/>
              </w:rPr>
              <w:t>európsky alternatívny investičný fond, ktoré nie je možné v jeho domovskom štáte distribuovať neprofesionálnym investorom</w:t>
            </w:r>
            <w:r w:rsidRPr="000C5202">
              <w:rPr>
                <w:rFonts w:ascii="Times New Roman" w:hAnsi="Times New Roman"/>
                <w:color w:val="000000"/>
              </w:rPr>
              <w:t>.</w:t>
            </w:r>
          </w:p>
          <w:p w:rsidR="00A9063F" w:rsidRPr="00DA5DED" w:rsidP="004577EC">
            <w:pPr>
              <w:tabs>
                <w:tab w:val="left" w:pos="1425"/>
              </w:tabs>
              <w:bidi w:val="0"/>
              <w:spacing w:after="0" w:line="240" w:lineRule="auto"/>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A5DED">
            <w:pPr>
              <w:bidi w:val="0"/>
              <w:spacing w:after="0" w:line="240" w:lineRule="auto"/>
              <w:jc w:val="center"/>
              <w:rPr>
                <w:rFonts w:ascii="Arial Narrow" w:hAnsi="Arial Narrow"/>
                <w:sz w:val="22"/>
                <w:szCs w:val="22"/>
              </w:rPr>
            </w:pPr>
            <w:r w:rsidR="004760F7">
              <w:rPr>
                <w:rFonts w:ascii="Arial Narrow" w:hAnsi="Arial Narrow"/>
                <w:sz w:val="22"/>
                <w:szCs w:val="22"/>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A9063F" w:rsidRPr="00DA5DED">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DA5DED">
            <w:pPr>
              <w:bidi w:val="0"/>
              <w:spacing w:after="0" w:line="240" w:lineRule="auto"/>
              <w:jc w:val="center"/>
              <w:rPr>
                <w:rFonts w:ascii="Arial Narrow" w:hAnsi="Arial Narrow"/>
                <w:sz w:val="22"/>
                <w:szCs w:val="22"/>
              </w:rPr>
            </w:pPr>
            <w:r w:rsidR="00DA5DED">
              <w:rPr>
                <w:rFonts w:ascii="Arial Narrow" w:hAnsi="Arial Narrow"/>
                <w:sz w:val="22"/>
                <w:szCs w:val="22"/>
              </w:rPr>
              <w:t xml:space="preserve">Príloha č. </w:t>
            </w:r>
            <w:r w:rsidRPr="00DA5DED" w:rsidR="002E1D16">
              <w:rPr>
                <w:rFonts w:ascii="Arial Narrow" w:hAnsi="Arial Narrow"/>
                <w:sz w:val="22"/>
                <w:szCs w:val="22"/>
              </w:rPr>
              <w:t>4</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DA5DED" w:rsidRPr="00DA5DED" w:rsidP="00DA5DED">
            <w:pPr>
              <w:bidi w:val="0"/>
              <w:adjustRightInd w:val="0"/>
              <w:spacing w:after="0" w:line="240" w:lineRule="auto"/>
              <w:rPr>
                <w:rFonts w:ascii="Arial Narrow" w:hAnsi="Arial Narrow"/>
                <w:sz w:val="22"/>
                <w:szCs w:val="22"/>
              </w:rPr>
            </w:pPr>
            <w:r w:rsidRPr="00DA5DED">
              <w:rPr>
                <w:rFonts w:ascii="Arial Narrow" w:hAnsi="Arial Narrow"/>
                <w:i/>
                <w:iCs/>
                <w:sz w:val="22"/>
                <w:szCs w:val="22"/>
              </w:rPr>
              <w:t xml:space="preserve">PRÍLOHA IV </w:t>
            </w:r>
          </w:p>
          <w:p w:rsidR="00DA5DED" w:rsidRPr="00DA5DED" w:rsidP="00DA5DED">
            <w:pPr>
              <w:bidi w:val="0"/>
              <w:adjustRightInd w:val="0"/>
              <w:spacing w:after="0" w:line="240" w:lineRule="auto"/>
              <w:rPr>
                <w:rFonts w:ascii="Arial Narrow" w:hAnsi="Arial Narrow"/>
                <w:sz w:val="22"/>
                <w:szCs w:val="22"/>
              </w:rPr>
            </w:pPr>
            <w:r w:rsidRPr="00DA5DED">
              <w:rPr>
                <w:rFonts w:ascii="Arial Narrow" w:hAnsi="Arial Narrow"/>
                <w:b/>
                <w:bCs/>
                <w:sz w:val="22"/>
                <w:szCs w:val="22"/>
              </w:rPr>
              <w:t xml:space="preserve">DOKUMENTÁCIA A INFORMÁCIE, KTORÉ SA POSKYTUJÚ V PRÍPADE ZAMÝŠĽANÉHO UVÁDZANIA NA TRH V ČLENSKÝCH ŠTÁTOCH INÝCH AKO V DOMOVSKOM ČLENSKOM ŠTÁTE SPRÁVCU AIF </w:t>
            </w:r>
          </w:p>
          <w:p w:rsidR="00DA5DED" w:rsidRPr="00DA5DED" w:rsidP="00DA5DED">
            <w:pPr>
              <w:bidi w:val="0"/>
              <w:adjustRightInd w:val="0"/>
              <w:spacing w:after="0" w:line="240" w:lineRule="auto"/>
              <w:rPr>
                <w:rFonts w:ascii="Arial Narrow" w:hAnsi="Arial Narrow"/>
                <w:sz w:val="22"/>
                <w:szCs w:val="22"/>
              </w:rPr>
            </w:pPr>
            <w:r w:rsidRPr="00DA5DED">
              <w:rPr>
                <w:rFonts w:ascii="Arial Narrow" w:hAnsi="Arial Narrow"/>
                <w:sz w:val="22"/>
                <w:szCs w:val="22"/>
              </w:rPr>
              <w:t xml:space="preserve">a) Oznámenie vrátane programu činností, v ktorom sa uvedú AIF, ktoré má správca AIF v úmysle uvádzať na trh, a informácie o tom, kde sú tieto AIF usadené; </w:t>
            </w:r>
          </w:p>
          <w:p w:rsidR="00DA5DED" w:rsidRPr="00DA5DED" w:rsidP="00DA5DED">
            <w:pPr>
              <w:bidi w:val="0"/>
              <w:adjustRightInd w:val="0"/>
              <w:spacing w:after="0" w:line="240" w:lineRule="auto"/>
              <w:rPr>
                <w:rFonts w:ascii="Arial Narrow" w:hAnsi="Arial Narrow"/>
                <w:sz w:val="22"/>
                <w:szCs w:val="22"/>
              </w:rPr>
            </w:pPr>
            <w:r w:rsidRPr="00DA5DED">
              <w:rPr>
                <w:rFonts w:ascii="Arial Narrow" w:hAnsi="Arial Narrow"/>
                <w:sz w:val="22"/>
                <w:szCs w:val="22"/>
              </w:rPr>
              <w:t xml:space="preserve">b) štatút alebo zakladajúce dokumenty AIF; </w:t>
            </w:r>
          </w:p>
          <w:p w:rsidR="00DA5DED" w:rsidRPr="00DA5DED" w:rsidP="00DA5DED">
            <w:pPr>
              <w:bidi w:val="0"/>
              <w:adjustRightInd w:val="0"/>
              <w:spacing w:after="0" w:line="240" w:lineRule="auto"/>
              <w:rPr>
                <w:rFonts w:ascii="Arial Narrow" w:hAnsi="Arial Narrow"/>
                <w:sz w:val="22"/>
                <w:szCs w:val="22"/>
              </w:rPr>
            </w:pPr>
            <w:r w:rsidRPr="00DA5DED">
              <w:rPr>
                <w:rFonts w:ascii="Arial Narrow" w:hAnsi="Arial Narrow"/>
                <w:sz w:val="22"/>
                <w:szCs w:val="22"/>
              </w:rPr>
              <w:t xml:space="preserve">c) údaje o totožnosti depozitára AIF; </w:t>
            </w:r>
          </w:p>
          <w:p w:rsidR="00DA5DED" w:rsidRPr="00DA5DED" w:rsidP="00DA5DED">
            <w:pPr>
              <w:bidi w:val="0"/>
              <w:adjustRightInd w:val="0"/>
              <w:spacing w:after="0" w:line="240" w:lineRule="auto"/>
              <w:rPr>
                <w:rFonts w:ascii="Arial Narrow" w:hAnsi="Arial Narrow"/>
                <w:sz w:val="22"/>
                <w:szCs w:val="22"/>
              </w:rPr>
            </w:pPr>
            <w:r w:rsidRPr="00DA5DED">
              <w:rPr>
                <w:rFonts w:ascii="Arial Narrow" w:hAnsi="Arial Narrow"/>
                <w:sz w:val="22"/>
                <w:szCs w:val="22"/>
              </w:rPr>
              <w:t xml:space="preserve">d) opis AIF alebo akékoľvek informácie o AIF dostupné pre investorov; </w:t>
            </w:r>
          </w:p>
          <w:p w:rsidR="00DA5DED" w:rsidRPr="00DA5DED" w:rsidP="00DA5DED">
            <w:pPr>
              <w:bidi w:val="0"/>
              <w:adjustRightInd w:val="0"/>
              <w:spacing w:after="0" w:line="240" w:lineRule="auto"/>
              <w:rPr>
                <w:rFonts w:ascii="Arial Narrow" w:hAnsi="Arial Narrow"/>
                <w:sz w:val="22"/>
                <w:szCs w:val="22"/>
              </w:rPr>
            </w:pPr>
            <w:r w:rsidRPr="00DA5DED">
              <w:rPr>
                <w:rFonts w:ascii="Arial Narrow" w:hAnsi="Arial Narrow"/>
                <w:sz w:val="22"/>
                <w:szCs w:val="22"/>
              </w:rPr>
              <w:t xml:space="preserve">e) informácie o mieste, kde je usadený hlavný AIF, ak je tento AIF zberným AIF; </w:t>
            </w:r>
          </w:p>
          <w:p w:rsidR="00DA5DED" w:rsidRPr="00DA5DED" w:rsidP="00DA5DED">
            <w:pPr>
              <w:bidi w:val="0"/>
              <w:adjustRightInd w:val="0"/>
              <w:spacing w:after="0" w:line="240" w:lineRule="auto"/>
              <w:rPr>
                <w:rFonts w:ascii="Arial Narrow" w:hAnsi="Arial Narrow"/>
                <w:sz w:val="22"/>
                <w:szCs w:val="22"/>
              </w:rPr>
            </w:pPr>
            <w:r w:rsidRPr="00DA5DED">
              <w:rPr>
                <w:rFonts w:ascii="Arial Narrow" w:hAnsi="Arial Narrow"/>
                <w:sz w:val="22"/>
                <w:szCs w:val="22"/>
              </w:rPr>
              <w:t xml:space="preserve">f) akékoľvek ďalšie informácie uvedené v článku 23 ods. 1 o každom AIF, ktorý má správca AIF v úmysle uvádzať na trh; </w:t>
            </w:r>
          </w:p>
          <w:p w:rsidR="00DA5DED" w:rsidRPr="00DA5DED" w:rsidP="00DA5DED">
            <w:pPr>
              <w:bidi w:val="0"/>
              <w:adjustRightInd w:val="0"/>
              <w:spacing w:after="0" w:line="240" w:lineRule="auto"/>
              <w:rPr>
                <w:rFonts w:ascii="Arial Narrow" w:hAnsi="Arial Narrow"/>
                <w:sz w:val="22"/>
                <w:szCs w:val="22"/>
              </w:rPr>
            </w:pPr>
            <w:r w:rsidRPr="00DA5DED">
              <w:rPr>
                <w:rFonts w:ascii="Arial Narrow" w:hAnsi="Arial Narrow"/>
                <w:sz w:val="22"/>
                <w:szCs w:val="22"/>
              </w:rPr>
              <w:t xml:space="preserve">g) uvedenie členského štátu, v ktorom má v úmysle uvádzať na trh podielové listy alebo akcie AIF pre profesionálnych investorov; </w:t>
            </w:r>
          </w:p>
          <w:p w:rsidR="002E1D16" w:rsidRPr="00DA5DED" w:rsidP="00DA5DED">
            <w:pPr>
              <w:bidi w:val="0"/>
              <w:adjustRightInd w:val="0"/>
              <w:spacing w:after="0" w:line="240" w:lineRule="auto"/>
              <w:rPr>
                <w:rFonts w:ascii="Arial Narrow" w:hAnsi="Arial Narrow"/>
                <w:sz w:val="22"/>
                <w:szCs w:val="22"/>
              </w:rPr>
            </w:pPr>
            <w:r w:rsidRPr="00DA5DED" w:rsidR="00DA5DED">
              <w:rPr>
                <w:rFonts w:ascii="Arial Narrow" w:hAnsi="Arial Narrow"/>
                <w:sz w:val="22"/>
                <w:szCs w:val="22"/>
              </w:rPr>
              <w:t>h) informácie o mechanizmoch uvádzania AIF na trh a prípadne informácie o mechanizmoch vytvorených s cieľom zabrániť tomu, aby sa podielové listy alebo akcie tohto AIF uvádzali na trh pre retailových investorov vrátane prípadu, keď správca AIF v súvislosti s týmto AIF využíva pri poskytovaní investičných služieb činnosti nezávislých subjektov.</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DA5DED">
            <w:pPr>
              <w:bidi w:val="0"/>
              <w:spacing w:after="0" w:line="240" w:lineRule="auto"/>
              <w:jc w:val="center"/>
              <w:rPr>
                <w:rFonts w:ascii="Arial Narrow" w:hAnsi="Arial Narrow"/>
                <w:sz w:val="22"/>
                <w:szCs w:val="22"/>
              </w:rPr>
            </w:pPr>
            <w:r w:rsidR="00DE2619">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DA5DED">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DA5DED">
            <w:pPr>
              <w:pStyle w:val="Normlny"/>
              <w:bidi w:val="0"/>
              <w:spacing w:after="0" w:line="240" w:lineRule="auto"/>
              <w:jc w:val="center"/>
              <w:rPr>
                <w:rFonts w:ascii="Arial Narrow" w:hAnsi="Arial Narrow"/>
                <w:sz w:val="22"/>
                <w:szCs w:val="22"/>
              </w:rPr>
            </w:pPr>
            <w:r w:rsidR="00DE2619">
              <w:rPr>
                <w:rFonts w:ascii="Arial Narrow" w:hAnsi="Arial Narrow"/>
                <w:sz w:val="22"/>
                <w:szCs w:val="22"/>
              </w:rPr>
              <w:t>§ 150c ods.1</w:t>
            </w:r>
          </w:p>
        </w:tc>
        <w:tc>
          <w:tcPr>
            <w:tcW w:w="6379" w:type="dxa"/>
            <w:tcBorders>
              <w:top w:val="single" w:sz="4" w:space="0" w:color="auto"/>
              <w:left w:val="single" w:sz="4" w:space="0" w:color="auto"/>
              <w:bottom w:val="single" w:sz="4" w:space="0" w:color="auto"/>
              <w:right w:val="single" w:sz="4" w:space="0" w:color="auto"/>
            </w:tcBorders>
            <w:textDirection w:val="lrTb"/>
            <w:vAlign w:val="top"/>
          </w:tcPr>
          <w:p w:rsidR="00DE2619" w:rsidRPr="00DE2619" w:rsidP="00DE2619">
            <w:pPr>
              <w:autoSpaceDE/>
              <w:autoSpaceDN/>
              <w:bidi w:val="0"/>
              <w:spacing w:after="0" w:line="240" w:lineRule="auto"/>
              <w:jc w:val="both"/>
              <w:rPr>
                <w:rFonts w:ascii="Arial Narrow" w:hAnsi="Arial Narrow"/>
                <w:b/>
                <w:sz w:val="22"/>
                <w:szCs w:val="22"/>
              </w:rPr>
            </w:pPr>
            <w:r w:rsidRPr="00DE2619">
              <w:rPr>
                <w:rFonts w:ascii="Arial Narrow" w:hAnsi="Arial Narrow"/>
                <w:b/>
                <w:sz w:val="22"/>
                <w:szCs w:val="22"/>
              </w:rPr>
              <w:t xml:space="preserve">Správcovská spoločnosť s povolením podľa § 28a, ktorá sa rozhodla distribuovať ňou spravovaný alternatívny investičný fond alebo európsky alternatívny investičný fond na území iného členského štátu, je povinná pred začatím tejto činnosti oznámiť svoj zámer Národnej banke Slovenska, pričom v oznámení sa uvedú informácie a dokumenty podľa § 150b ods. 1 písm. a) až f) a </w:t>
            </w:r>
            <w:r w:rsidRPr="00DE2619">
              <w:rPr>
                <w:rFonts w:ascii="Arial Narrow" w:hAnsi="Arial Narrow"/>
                <w:b/>
                <w:color w:val="000000"/>
                <w:sz w:val="22"/>
                <w:szCs w:val="22"/>
              </w:rPr>
              <w:t xml:space="preserve">informácie o spôsoboch distribúcie alternatívneho investičného fondu alebo európskeho alternatívneho investičného fondu a ak ide o alternatívny investičný fond alebo </w:t>
            </w:r>
            <w:r w:rsidRPr="00DE2619">
              <w:rPr>
                <w:rFonts w:ascii="Arial Narrow" w:hAnsi="Arial Narrow"/>
                <w:b/>
                <w:sz w:val="22"/>
                <w:szCs w:val="22"/>
              </w:rPr>
              <w:t xml:space="preserve">európsky alternatívny investičný fond, ktorého cenné papiere alebo majetkové účasti nie je možné v hostiteľskom členskom štáte správcovskej spoločnosti distribuovať neprofesionálnym investorom, </w:t>
            </w:r>
            <w:r w:rsidRPr="00DE2619">
              <w:rPr>
                <w:rFonts w:ascii="Arial Narrow" w:hAnsi="Arial Narrow"/>
                <w:b/>
                <w:color w:val="000000"/>
                <w:sz w:val="22"/>
                <w:szCs w:val="22"/>
              </w:rPr>
              <w:t xml:space="preserve">informácie o mechanizmoch vytvorených s cieľom zabrániť, aby boli cenné papiere alebo majetkové účasti tohto fondu distribuované  </w:t>
            </w:r>
            <w:r w:rsidRPr="00DE2619">
              <w:rPr>
                <w:rFonts w:ascii="Arial Narrow" w:hAnsi="Arial Narrow"/>
                <w:b/>
                <w:sz w:val="22"/>
                <w:szCs w:val="22"/>
              </w:rPr>
              <w:t>neprofesionálnym</w:t>
            </w:r>
            <w:r w:rsidRPr="00DE2619">
              <w:rPr>
                <w:rFonts w:ascii="Arial Narrow" w:hAnsi="Arial Narrow"/>
                <w:b/>
                <w:color w:val="000000"/>
                <w:sz w:val="22"/>
                <w:szCs w:val="22"/>
              </w:rPr>
              <w:t xml:space="preserve"> investorom v príslušnom členskom štáte; to platí aj, ak správcovská spoločnosť v súvislosti s týmto fondom využíva pri distribúcii alebo poskytovaní investičných služieb iné osoby.</w:t>
            </w:r>
          </w:p>
          <w:p w:rsidR="00A9063F" w:rsidRPr="00DA5DED">
            <w:pPr>
              <w:pStyle w:val="Normlny"/>
              <w:bidi w:val="0"/>
              <w:spacing w:after="0" w:line="240" w:lineRule="auto"/>
              <w:jc w:val="both"/>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A5DED">
            <w:pPr>
              <w:bidi w:val="0"/>
              <w:spacing w:after="0" w:line="240" w:lineRule="auto"/>
              <w:jc w:val="center"/>
              <w:rPr>
                <w:rFonts w:ascii="Arial Narrow" w:hAnsi="Arial Narrow"/>
                <w:sz w:val="22"/>
                <w:szCs w:val="22"/>
              </w:rPr>
            </w:pPr>
            <w:r w:rsidR="00DE2619">
              <w:rPr>
                <w:rFonts w:ascii="Arial Narrow" w:hAnsi="Arial Narrow"/>
                <w:sz w:val="22"/>
                <w:szCs w:val="22"/>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A9063F" w:rsidRPr="00DA5DED">
            <w:pPr>
              <w:pStyle w:val="Heading1"/>
              <w:bidi w:val="0"/>
              <w:spacing w:after="0" w:line="240" w:lineRule="auto"/>
              <w:rPr>
                <w:rFonts w:ascii="Arial Narrow" w:hAnsi="Arial Narrow"/>
                <w:b w:val="0"/>
                <w:bCs w:val="0"/>
                <w:sz w:val="22"/>
                <w:szCs w:val="22"/>
              </w:rPr>
            </w:pPr>
          </w:p>
        </w:tc>
      </w:tr>
    </w:tbl>
    <w:p w:rsidR="008C54C3" w:rsidRPr="00DA5DED">
      <w:pPr>
        <w:autoSpaceDE/>
        <w:autoSpaceDN/>
        <w:bidi w:val="0"/>
        <w:ind w:left="360"/>
        <w:rPr>
          <w:rFonts w:ascii="Arial Narrow" w:hAnsi="Arial Narrow"/>
          <w:sz w:val="22"/>
          <w:szCs w:val="22"/>
        </w:rPr>
      </w:pPr>
    </w:p>
    <w:p w:rsidR="008C54C3" w:rsidRPr="00DA5DED">
      <w:pPr>
        <w:pStyle w:val="Header"/>
        <w:tabs>
          <w:tab w:val="clear" w:pos="4536"/>
          <w:tab w:val="clear" w:pos="9072"/>
        </w:tabs>
        <w:autoSpaceDE/>
        <w:autoSpaceDN/>
        <w:bidi w:val="0"/>
        <w:rPr>
          <w:rFonts w:ascii="Arial Narrow" w:hAnsi="Arial Narrow"/>
          <w:sz w:val="22"/>
          <w:szCs w:val="22"/>
        </w:rPr>
      </w:pPr>
    </w:p>
    <w:sectPr>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5D">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47DE2">
      <w:rPr>
        <w:rStyle w:val="PageNumber"/>
        <w:rFonts w:ascii="Times New Roman" w:hAnsi="Times New Roman"/>
        <w:noProof/>
      </w:rPr>
      <w:t>1</w:t>
    </w:r>
    <w:r>
      <w:rPr>
        <w:rStyle w:val="PageNumber"/>
        <w:rFonts w:ascii="Times New Roman" w:hAnsi="Times New Roman"/>
      </w:rPr>
      <w:fldChar w:fldCharType="end"/>
    </w:r>
  </w:p>
  <w:p w:rsidR="00CB2E5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274C3FEB"/>
    <w:multiLevelType w:val="hybridMultilevel"/>
    <w:tmpl w:val="469424C6"/>
    <w:lvl w:ilvl="0">
      <w:start w:val="1"/>
      <w:numFmt w:val="lowerLetter"/>
      <w:lvlText w:val="%1)"/>
      <w:lvlJc w:val="left"/>
      <w:pPr>
        <w:ind w:left="1065" w:hanging="360"/>
      </w:pPr>
      <w:rPr>
        <w:rFonts w:cs="Times New Roman" w:hint="default"/>
        <w:i w:val="0"/>
        <w:iCs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6">
    <w:nsid w:val="322C6E92"/>
    <w:multiLevelType w:val="hybridMultilevel"/>
    <w:tmpl w:val="058651E2"/>
    <w:lvl w:ilvl="0">
      <w:start w:val="1"/>
      <w:numFmt w:val="decimal"/>
      <w:lvlText w:val="(%1)"/>
      <w:lvlJc w:val="left"/>
      <w:pPr>
        <w:ind w:left="1953" w:hanging="1245"/>
      </w:pPr>
      <w:rPr>
        <w:rFonts w:cs="Times New Roman" w:hint="default"/>
        <w:i w:val="0"/>
        <w:iCs w:val="0"/>
        <w:rtl w:val="0"/>
        <w:cs w:val="0"/>
      </w:rPr>
    </w:lvl>
    <w:lvl w:ilvl="1">
      <w:start w:val="1"/>
      <w:numFmt w:val="lowerLetter"/>
      <w:lvlText w:val="%2)"/>
      <w:lvlJc w:val="left"/>
      <w:pPr>
        <w:ind w:left="1788" w:hanging="360"/>
      </w:pPr>
      <w:rPr>
        <w:rFonts w:cs="Times New Roman" w:hint="default"/>
        <w:i w:val="0"/>
        <w:iCs w:val="0"/>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
    <w:nsid w:val="36C561F7"/>
    <w:multiLevelType w:val="hybridMultilevel"/>
    <w:tmpl w:val="FC9E00B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8">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10">
    <w:nsid w:val="48216874"/>
    <w:multiLevelType w:val="hybridMultilevel"/>
    <w:tmpl w:val="15B66B80"/>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4475627"/>
    <w:multiLevelType w:val="hybridMultilevel"/>
    <w:tmpl w:val="329ACB4C"/>
    <w:lvl w:ilvl="0">
      <w:start w:val="1"/>
      <w:numFmt w:val="decimal"/>
      <w:lvlText w:val="(%1)"/>
      <w:lvlJc w:val="left"/>
      <w:pPr>
        <w:ind w:left="1830" w:hanging="1110"/>
      </w:pPr>
      <w:rPr>
        <w:rFonts w:cs="Times New Roman" w:hint="default"/>
        <w:i w:val="0"/>
        <w:iCs w:val="0"/>
        <w:vertAlign w:val="baseline"/>
        <w:rtl w:val="0"/>
        <w:cs w:val="0"/>
      </w:rPr>
    </w:lvl>
    <w:lvl w:ilvl="1">
      <w:start w:val="1"/>
      <w:numFmt w:val="lowerLetter"/>
      <w:lvlText w:val="%2)"/>
      <w:lvlJc w:val="left"/>
      <w:pPr>
        <w:ind w:left="1800" w:hanging="360"/>
      </w:pPr>
      <w:rPr>
        <w:rFonts w:cs="Times New Roman" w:hint="default"/>
        <w:i w:val="0"/>
        <w:iCs w:val="0"/>
        <w:vertAlign w:val="baseline"/>
        <w:rtl w:val="0"/>
        <w:cs w:val="0"/>
      </w:rPr>
    </w:lvl>
    <w:lvl w:ilvl="2">
      <w:start w:val="1"/>
      <w:numFmt w:val="decimal"/>
      <w:lvlText w:val="%3."/>
      <w:lvlJc w:val="left"/>
      <w:pPr>
        <w:ind w:left="1211" w:hanging="360"/>
      </w:pPr>
      <w:rPr>
        <w:rFonts w:cs="Times New Roman" w:hint="default"/>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65D023F9"/>
    <w:multiLevelType w:val="hybridMultilevel"/>
    <w:tmpl w:val="B380D704"/>
    <w:lvl w:ilvl="0">
      <w:start w:val="1"/>
      <w:numFmt w:val="lowerLetter"/>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num w:numId="1">
    <w:abstractNumId w:val="3"/>
  </w:num>
  <w:num w:numId="2">
    <w:abstractNumId w:val="3"/>
    <w:lvlOverride w:ilvl="0">
      <w:startOverride w:val="3"/>
    </w:lvlOverride>
  </w:num>
  <w:num w:numId="3">
    <w:abstractNumId w:val="9"/>
  </w:num>
  <w:num w:numId="4">
    <w:abstractNumId w:val="9"/>
    <w:lvlOverride w:ilvl="0">
      <w:startOverride w:val="2"/>
    </w:lvlOverride>
  </w:num>
  <w:num w:numId="5">
    <w:abstractNumId w:val="4"/>
  </w:num>
  <w:num w:numId="6">
    <w:abstractNumId w:val="4"/>
    <w:lvlOverride w:ilvl="0">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4"/>
  </w:num>
  <w:num w:numId="12">
    <w:abstractNumId w:val="2"/>
  </w:num>
  <w:num w:numId="13">
    <w:abstractNumId w:val="13"/>
  </w:num>
  <w:num w:numId="14">
    <w:abstractNumId w:val="1"/>
  </w:num>
  <w:num w:numId="15">
    <w:abstractNumId w:val="12"/>
  </w:num>
  <w:num w:numId="16">
    <w:abstractNumId w:val="15"/>
  </w:num>
  <w:num w:numId="17">
    <w:abstractNumId w:val="5"/>
  </w:num>
  <w:num w:numId="18">
    <w:abstractNumId w:val="10"/>
  </w:num>
  <w:num w:numId="19">
    <w:abstractNumId w:val="16"/>
  </w:num>
  <w:num w:numId="20">
    <w:abstractNumId w:val="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C2E53"/>
    <w:rsid w:val="000C5202"/>
    <w:rsid w:val="00127033"/>
    <w:rsid w:val="00153B33"/>
    <w:rsid w:val="00217BF4"/>
    <w:rsid w:val="00270E65"/>
    <w:rsid w:val="002C5870"/>
    <w:rsid w:val="002D235D"/>
    <w:rsid w:val="002E1D16"/>
    <w:rsid w:val="00387342"/>
    <w:rsid w:val="00391DC5"/>
    <w:rsid w:val="003A74AE"/>
    <w:rsid w:val="003E7B78"/>
    <w:rsid w:val="00424270"/>
    <w:rsid w:val="00427190"/>
    <w:rsid w:val="00440A2A"/>
    <w:rsid w:val="004519E5"/>
    <w:rsid w:val="004577EC"/>
    <w:rsid w:val="004760F7"/>
    <w:rsid w:val="005170A9"/>
    <w:rsid w:val="00547DE2"/>
    <w:rsid w:val="005947B8"/>
    <w:rsid w:val="005E147F"/>
    <w:rsid w:val="006130DA"/>
    <w:rsid w:val="0064397E"/>
    <w:rsid w:val="00683A6B"/>
    <w:rsid w:val="006E689D"/>
    <w:rsid w:val="007537CE"/>
    <w:rsid w:val="0078287E"/>
    <w:rsid w:val="007948F8"/>
    <w:rsid w:val="00846112"/>
    <w:rsid w:val="008A5161"/>
    <w:rsid w:val="008C54C3"/>
    <w:rsid w:val="0091636B"/>
    <w:rsid w:val="009612CE"/>
    <w:rsid w:val="009826E3"/>
    <w:rsid w:val="00A9063F"/>
    <w:rsid w:val="00A91B17"/>
    <w:rsid w:val="00AB6737"/>
    <w:rsid w:val="00B351C9"/>
    <w:rsid w:val="00B64B09"/>
    <w:rsid w:val="00C139A5"/>
    <w:rsid w:val="00C21CEF"/>
    <w:rsid w:val="00C34EF5"/>
    <w:rsid w:val="00CB2E5D"/>
    <w:rsid w:val="00D22A7B"/>
    <w:rsid w:val="00DA0F6C"/>
    <w:rsid w:val="00DA5DED"/>
    <w:rsid w:val="00DE0F85"/>
    <w:rsid w:val="00DE2619"/>
    <w:rsid w:val="00EE7DD6"/>
    <w:rsid w:val="00F047A8"/>
    <w:rsid w:val="00F4080C"/>
    <w:rsid w:val="00F74FC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F1E7-35C0-4BE9-A6EA-627483A8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8</Pages>
  <Words>4298</Words>
  <Characters>24500</Characters>
  <Application>Microsoft Office Word</Application>
  <DocSecurity>0</DocSecurity>
  <Lines>0</Lines>
  <Paragraphs>0</Paragraphs>
  <ScaleCrop>false</ScaleCrop>
  <Company>ÚV SR</Company>
  <LinksUpToDate>false</LinksUpToDate>
  <CharactersWithSpaces>28741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Kassovic Jan</cp:lastModifiedBy>
  <cp:revision>2</cp:revision>
  <cp:lastPrinted>2006-12-14T15:09:00Z</cp:lastPrinted>
  <dcterms:created xsi:type="dcterms:W3CDTF">2013-03-28T07:20:00Z</dcterms:created>
  <dcterms:modified xsi:type="dcterms:W3CDTF">2013-03-28T07:20:00Z</dcterms:modified>
</cp:coreProperties>
</file>