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Ind w:w="-8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970"/>
        <w:gridCol w:w="1701"/>
        <w:gridCol w:w="3970"/>
        <w:gridCol w:w="850"/>
      </w:tblGrid>
      <w:tr>
        <w:tblPrEx>
          <w:tblW w:w="0" w:type="auto"/>
          <w:tblInd w:w="-8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1" w:type="dxa"/>
          <w:cantSplit/>
          <w:trHeight w:val="240"/>
        </w:trPr>
        <w:tc>
          <w:tcPr>
            <w:tcW w:w="963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Logo"/>
              <w:bidi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5" type="#_x0000_t75" style="width:566.95pt;height:62.55pt;margin-top:28.8pt;margin-left:14.4pt;mso-position-horizontal-relative:page;mso-position-vertical-relative:page;position:absolute;z-index:251658240" o:allowincell="f" stroked="f">
                  <v:imagedata r:id="rId4" o:title="" cropright="176f"/>
                  <w10:wrap type="topAndBottom"/>
                  <w10:anchorlock/>
                </v:shape>
              </w:pict>
            </w:r>
          </w:p>
        </w:tc>
      </w:tr>
      <w:tr>
        <w:tblPrEx>
          <w:tblW w:w="0" w:type="auto"/>
          <w:tblInd w:w="-8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/>
        </w:trPr>
        <w:tc>
          <w:tcPr>
            <w:tcW w:w="48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Insti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RADA</w:t>
            </w:r>
          </w:p>
          <w:p w:rsidR="00F41AA2">
            <w:pPr>
              <w:pStyle w:val="EntInsti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EURÓPSKEJ ÚNIE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Bruseli 7. októbra 2008 (07.10)</w:t>
              <w:br/>
              <w:t>(OR. fr, en)</w:t>
            </w:r>
          </w:p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0" w:type="dxa"/>
          <w:cantSplit/>
          <w:trHeight w:val="1480"/>
        </w:trPr>
        <w:tc>
          <w:tcPr>
            <w:tcW w:w="3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F41AA2">
            <w:pPr>
              <w:pStyle w:val="EntRefer"/>
              <w:pBdr>
                <w:top w:val="double" w:sz="4" w:space="4" w:color="auto"/>
                <w:left w:val="double" w:sz="4" w:space="0" w:color="auto"/>
                <w:bottom w:val="double" w:sz="4" w:space="4" w:color="auto"/>
                <w:right w:val="double" w:sz="4" w:space="0" w:color="auto"/>
              </w:pBd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Medziinštitucionálny spis:</w:t>
            </w:r>
          </w:p>
          <w:p w:rsidR="00F41AA2">
            <w:pPr>
              <w:pStyle w:val="EntRefer"/>
              <w:pBdr>
                <w:top w:val="double" w:sz="4" w:space="4" w:color="auto"/>
                <w:left w:val="double" w:sz="4" w:space="0" w:color="auto"/>
                <w:bottom w:val="double" w:sz="4" w:space="4" w:color="auto"/>
                <w:right w:val="double" w:sz="4" w:space="0" w:color="auto"/>
              </w:pBd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2005/0236 (COD)</w:t>
            </w:r>
          </w:p>
          <w:p w:rsidR="00F41AA2">
            <w:pPr>
              <w:pStyle w:val="EntRefer"/>
              <w:pBdr>
                <w:top w:val="double" w:sz="4" w:space="4" w:color="auto"/>
                <w:left w:val="double" w:sz="4" w:space="0" w:color="auto"/>
                <w:bottom w:val="double" w:sz="4" w:space="4" w:color="auto"/>
                <w:right w:val="double" w:sz="4" w:space="0" w:color="auto"/>
              </w:pBd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2005/0242 (COD)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F41AA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bookmarkStart w:id="0" w:name="Cote"/>
            <w:bookmarkEnd w:id="0"/>
            <w:r>
              <w:rPr>
                <w:rFonts w:ascii="Times New Roman" w:hAnsi="Times New Roman"/>
              </w:rPr>
              <w:t>13596/08</w:t>
            </w:r>
          </w:p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bookmarkStart w:id="1" w:name="CoteRev"/>
            <w:bookmarkEnd w:id="1"/>
          </w:p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bookmarkStart w:id="2" w:name="CoteSec"/>
            <w:bookmarkEnd w:id="2"/>
          </w:p>
        </w:tc>
      </w:tr>
      <w:tr>
        <w:tblPrEx>
          <w:tblW w:w="0" w:type="auto"/>
          <w:tblInd w:w="-8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0" w:type="dxa"/>
          <w:cantSplit/>
          <w:trHeight w:val="1000"/>
        </w:trPr>
        <w:tc>
          <w:tcPr>
            <w:tcW w:w="3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F41AA2">
            <w:pPr>
              <w:pStyle w:val="EntRefer"/>
              <w:bidi w:val="0"/>
              <w:spacing w:after="0" w:line="240" w:lineRule="auto"/>
              <w:jc w:val="center"/>
              <w:rPr>
                <w:rFonts w:ascii="Times New Roman" w:hAnsi="Times New Roman"/>
                <w:sz w:val="60"/>
                <w:szCs w:val="60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F41AA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 150</w:t>
            </w:r>
          </w:p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 613</w:t>
            </w:r>
          </w:p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CODEC 1234</w:t>
            </w:r>
          </w:p>
        </w:tc>
      </w:tr>
    </w:tbl>
    <w:p w:rsidR="00F41AA2">
      <w:pPr>
        <w:pStyle w:val="EntRefer"/>
        <w:bidi w:val="0"/>
        <w:rPr>
          <w:rFonts w:ascii="Times New Roman" w:hAnsi="Times New Roman"/>
        </w:rPr>
      </w:pPr>
    </w:p>
    <w:p w:rsidR="00F41AA2">
      <w:pPr>
        <w:pStyle w:val="EntRefer"/>
        <w:bidi w:val="0"/>
        <w:outlineLvl w:val="0"/>
        <w:rPr>
          <w:rFonts w:ascii="Times New Roman" w:hAnsi="Times New Roman"/>
        </w:rPr>
      </w:pPr>
      <w:bookmarkStart w:id="3" w:name="Title"/>
      <w:bookmarkEnd w:id="3"/>
      <w:r>
        <w:rPr>
          <w:rFonts w:ascii="Times New Roman" w:hAnsi="Times New Roman"/>
        </w:rPr>
        <w:t>SPRÁVA</w:t>
      </w:r>
    </w:p>
    <w:tbl>
      <w:tblPr>
        <w:tblStyle w:val="TableNormal"/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7938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Od:</w:t>
            </w:r>
          </w:p>
        </w:tc>
        <w:tc>
          <w:tcPr>
            <w:tcW w:w="793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Výbor stálych predstaviteľov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Komu:</w:t>
            </w:r>
          </w:p>
        </w:tc>
        <w:tc>
          <w:tcPr>
            <w:tcW w:w="7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Rada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Č. predch. dok.:</w:t>
            </w:r>
          </w:p>
        </w:tc>
        <w:tc>
          <w:tcPr>
            <w:tcW w:w="793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13446/08 MAR 146 ENV 596 CODEC 1198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Predmet:</w:t>
            </w:r>
          </w:p>
        </w:tc>
        <w:tc>
          <w:tcPr>
            <w:tcW w:w="793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bidi w:val="0"/>
              <w:spacing w:before="40" w:after="0" w:line="240" w:lineRule="auto"/>
              <w:ind w:left="567" w:hanging="567"/>
              <w:outlineLvl w:val="0"/>
              <w:rPr>
                <w:rFonts w:ascii="Times New Roman" w:hAnsi="Times New Roman"/>
              </w:rPr>
            </w:pPr>
            <w:bookmarkStart w:id="4" w:name="Subject"/>
            <w:r>
              <w:rPr>
                <w:rFonts w:ascii="Times New Roman" w:hAnsi="Times New Roman"/>
              </w:rPr>
              <w:t>Námorná bezpečnosť</w:t>
            </w:r>
          </w:p>
          <w:p w:rsidR="00F41AA2">
            <w:pPr>
              <w:bidi w:val="0"/>
              <w:spacing w:before="40" w:after="0" w:line="240" w:lineRule="auto"/>
              <w:ind w:left="567" w:hanging="567"/>
              <w:outlineLvl w:val="0"/>
              <w:rPr>
                <w:rFonts w:ascii="Times New Roman" w:hAnsi="Times New Roman"/>
              </w:rPr>
            </w:pPr>
            <w:bookmarkEnd w:id="4"/>
            <w:r>
              <w:rPr>
                <w:rFonts w:ascii="Times New Roman" w:hAnsi="Times New Roman"/>
                <w:noProof/>
              </w:rPr>
              <w:t>a)</w:t>
            </w:r>
            <w:r>
              <w:rPr>
                <w:rFonts w:ascii="Times New Roman" w:hAnsi="Times New Roman"/>
              </w:rPr>
              <w:tab/>
              <w:t>Návrh smernice Európskeho parlamentu a Rady o občianskoprávnej zodpovednosti a o finančných zárukách vlastníkov lodí</w:t>
            </w:r>
          </w:p>
          <w:p w:rsidR="00F41AA2">
            <w:pPr>
              <w:bidi w:val="0"/>
              <w:spacing w:before="40" w:after="0" w:line="240" w:lineRule="auto"/>
              <w:ind w:left="567" w:hanging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b)</w:t>
            </w:r>
            <w:r>
              <w:rPr>
                <w:rFonts w:ascii="Times New Roman" w:hAnsi="Times New Roman"/>
              </w:rPr>
              <w:tab/>
              <w:t>Návrh smernice Európskeho parlamentu a Rady o plnení povinností vlajkového štátu</w:t>
            </w:r>
          </w:p>
          <w:p w:rsidR="00F41AA2">
            <w:pPr>
              <w:pStyle w:val="EntEmet"/>
              <w:tabs>
                <w:tab w:val="clear" w:pos="284"/>
                <w:tab w:val="clear" w:pos="851"/>
              </w:tabs>
              <w:bidi w:val="0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  <w:tab/>
              <w:t>politická dohoda</w:t>
            </w:r>
          </w:p>
        </w:tc>
      </w:tr>
    </w:tbl>
    <w:p w:rsidR="00F41AA2">
      <w:pPr>
        <w:bidi w:val="0"/>
        <w:spacing w:line="240" w:lineRule="auto"/>
        <w:rPr>
          <w:rFonts w:ascii="Times New Roman" w:hAnsi="Times New Roman"/>
        </w:rPr>
      </w:pPr>
    </w:p>
    <w:p w:rsidR="00F41AA2">
      <w:pPr>
        <w:bidi w:val="0"/>
        <w:spacing w:line="240" w:lineRule="auto"/>
        <w:rPr>
          <w:rFonts w:ascii="Times New Roman" w:hAnsi="Times New Roman"/>
        </w:rPr>
      </w:pPr>
    </w:p>
    <w:p w:rsidR="00F41AA2">
      <w:pPr>
        <w:bidi w:val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VYHLÁSENIA ČLENSKÝCH ŠTÁTOV</w:t>
      </w:r>
    </w:p>
    <w:p w:rsidR="00F41AA2">
      <w:pPr>
        <w:bidi w:val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O NÁMORNEJ BEZPEČNOSTI</w:t>
      </w:r>
    </w:p>
    <w:p w:rsidR="00F41AA2">
      <w:pPr>
        <w:bidi w:val="0"/>
        <w:spacing w:line="240" w:lineRule="auto"/>
        <w:rPr>
          <w:rFonts w:ascii="Times New Roman" w:hAnsi="Times New Roman"/>
        </w:rPr>
      </w:pPr>
    </w:p>
    <w:p w:rsidR="00F41AA2">
      <w:pPr>
        <w:tabs>
          <w:tab w:val="left" w:pos="3969"/>
        </w:tabs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Úvod</w:t>
      </w:r>
    </w:p>
    <w:p w:rsidR="00F41AA2">
      <w:pPr>
        <w:tabs>
          <w:tab w:val="left" w:pos="3969"/>
        </w:tabs>
        <w:bidi w:val="0"/>
        <w:rPr>
          <w:rFonts w:ascii="Times New Roman" w:hAnsi="Times New Roman"/>
        </w:rPr>
      </w:pPr>
    </w:p>
    <w:p w:rsidR="00F41AA2" w:rsidP="00697222">
      <w:pPr>
        <w:numPr>
          <w:numId w:val="15"/>
        </w:numPr>
        <w:tabs>
          <w:tab w:val="clear" w:pos="360"/>
        </w:tabs>
        <w:bidi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Počas diskusie o smerovaní, ktorú Rada uskutočnila 7. apríla 2008 v súvislosti s dvoma uvedenými návrhmi predloženými Komisiou v rámci tretieho balíka námornej bezpečnosti, členské štáty potvrdili svoju pripravenosť prijať potrebné opatrenia na vykonávanie medzinárodných dohovorov s cieľom zaistiť rovnaké podmienky pre námorné úrady členských štátov.</w:t>
      </w:r>
    </w:p>
    <w:p w:rsidR="00F41AA2" w:rsidP="00697222">
      <w:pPr>
        <w:numPr>
          <w:numId w:val="15"/>
        </w:numPr>
        <w:tabs>
          <w:tab w:val="clear" w:pos="360"/>
        </w:tabs>
        <w:bidi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  <w:t xml:space="preserve">V rámci opätovného začatia prác na uvedených dvoch návrhoch založených na textoch, ktoré predložilo francúzske predsedníctvo, sa vypracoval návrh vyhlásenia členských štátov o námornej bezpečnosti. Tento návrh dopĺňa tieto dva texty a obsahuje politické záväzky členských štátov, najmä pokiaľ ide o ratifikáciu medzinárodných dohovorov a rokovania na medzinárodnej úrovni o kódexe vlajkových štátov, ako aj o audit Medzinárodnej námornej organizácie (IMO). </w:t>
      </w:r>
    </w:p>
    <w:p w:rsidR="00F41AA2">
      <w:pPr>
        <w:bidi w:val="0"/>
        <w:rPr>
          <w:rFonts w:ascii="Times New Roman" w:hAnsi="Times New Roman"/>
        </w:rPr>
      </w:pPr>
    </w:p>
    <w:p w:rsidR="00F41AA2" w:rsidP="00697222">
      <w:pPr>
        <w:numPr>
          <w:numId w:val="15"/>
        </w:numPr>
        <w:tabs>
          <w:tab w:val="clear" w:pos="360"/>
        </w:tabs>
        <w:bidi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Počas preskúmania návrhu vyhlásenia v orgánoch Rady delegácie jednomyseľne takéto vyhlásenie podporili. Niekoľko delegácií však upozornilo na ústavné ťažkosti a právomoci národných parlamentov v súvislosti s procesom ratifikácie medzinárodných nástrojov. Bod 8 sa preto zmenil a doplnil. Okrem toho delegácia AT bola proti nahradeniu úvodnej vety vetou „Členské štáty vyhlasujú/sa zaväzujú“.  Delegácia </w:t>
      </w:r>
      <w:r>
        <w:rPr>
          <w:rFonts w:ascii="Times New Roman" w:hAnsi="Times New Roman"/>
          <w:u w:val="single"/>
        </w:rPr>
        <w:t>PT</w:t>
      </w:r>
      <w:r>
        <w:rPr>
          <w:rFonts w:ascii="Times New Roman" w:hAnsi="Times New Roman"/>
        </w:rPr>
        <w:t xml:space="preserve"> navrhla rok 2015 pre výmeny stanovené v bodoch 3 a 4.</w:t>
      </w:r>
    </w:p>
    <w:p w:rsidR="00F41AA2">
      <w:pPr>
        <w:bidi w:val="0"/>
        <w:ind w:left="567"/>
        <w:rPr>
          <w:rFonts w:ascii="Times New Roman" w:hAnsi="Times New Roman"/>
        </w:rPr>
      </w:pPr>
    </w:p>
    <w:p w:rsidR="00F41AA2">
      <w:pPr>
        <w:bidi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Na účely všeobecnej dohody predsedníctvo predkladá kompromisné znenie, ktoré sa nachádza v prílohe.</w:t>
      </w:r>
    </w:p>
    <w:p w:rsidR="00F41AA2">
      <w:pPr>
        <w:bidi w:val="0"/>
        <w:rPr>
          <w:rFonts w:ascii="Times New Roman" w:hAnsi="Times New Roman"/>
        </w:rPr>
      </w:pPr>
    </w:p>
    <w:p w:rsidR="00F41AA2" w:rsidRPr="00697222">
      <w:pPr>
        <w:pStyle w:val="NormalConseil"/>
        <w:bidi w:val="0"/>
        <w:spacing w:line="360" w:lineRule="auto"/>
        <w:ind w:left="567" w:hanging="567"/>
        <w:rPr>
          <w:rFonts w:ascii="Times New Roman" w:hAnsi="Times New Roman"/>
          <w:lang w:val="sk-SK"/>
        </w:rPr>
      </w:pPr>
      <w:r w:rsidRPr="00697222">
        <w:rPr>
          <w:rFonts w:ascii="Times New Roman" w:hAnsi="Times New Roman"/>
          <w:lang w:val="sk-SK"/>
        </w:rPr>
        <w:t>5.</w:t>
        <w:tab/>
      </w:r>
      <w:r>
        <w:rPr>
          <w:rFonts w:ascii="Times New Roman" w:hAnsi="Times New Roman"/>
          <w:u w:val="single"/>
          <w:lang w:val="sk-SK"/>
        </w:rPr>
        <w:t>Všetky delegácie</w:t>
      </w:r>
      <w:r>
        <w:rPr>
          <w:rFonts w:ascii="Times New Roman" w:hAnsi="Times New Roman"/>
          <w:lang w:val="sk-SK"/>
        </w:rPr>
        <w:t xml:space="preserve"> a </w:t>
      </w:r>
      <w:r>
        <w:rPr>
          <w:rFonts w:ascii="Times New Roman" w:hAnsi="Times New Roman"/>
          <w:u w:val="single"/>
          <w:lang w:val="sk-SK"/>
        </w:rPr>
        <w:t>Komisia</w:t>
      </w:r>
      <w:r>
        <w:rPr>
          <w:rFonts w:ascii="Times New Roman" w:hAnsi="Times New Roman"/>
          <w:lang w:val="sk-SK"/>
        </w:rPr>
        <w:t xml:space="preserve"> majú všeobecnú výhradu preskúmania, najmä k častiam znenia, ktoré sa zmenili a doplnili po zasadnutí Coreperu z 1. októbra 2008.</w:t>
      </w:r>
      <w:r w:rsidRPr="00697222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Delegácia </w:t>
      </w:r>
      <w:r>
        <w:rPr>
          <w:rFonts w:ascii="Times New Roman" w:hAnsi="Times New Roman"/>
          <w:u w:val="single"/>
          <w:lang w:val="sk-SK"/>
        </w:rPr>
        <w:t>MT</w:t>
      </w:r>
      <w:r>
        <w:rPr>
          <w:rFonts w:ascii="Times New Roman" w:hAnsi="Times New Roman"/>
          <w:lang w:val="sk-SK"/>
        </w:rPr>
        <w:t xml:space="preserve"> má okrem toho naďalej výhradu parlamentného preskúmania k celému zneniu.</w:t>
      </w:r>
    </w:p>
    <w:p w:rsidR="00F41AA2" w:rsidRPr="00697222">
      <w:pPr>
        <w:pStyle w:val="NormalConseil"/>
        <w:tabs>
          <w:tab w:val="left" w:pos="567"/>
        </w:tabs>
        <w:bidi w:val="0"/>
        <w:spacing w:line="360" w:lineRule="auto"/>
        <w:ind w:left="567" w:hanging="567"/>
        <w:outlineLvl w:val="0"/>
        <w:rPr>
          <w:rFonts w:ascii="Times New Roman" w:hAnsi="Times New Roman"/>
          <w:b/>
          <w:bCs/>
          <w:noProof/>
          <w:lang w:val="sk-SK"/>
        </w:rPr>
      </w:pPr>
    </w:p>
    <w:p w:rsidR="00F41AA2" w:rsidRPr="00697222">
      <w:pPr>
        <w:pStyle w:val="NormalConseil"/>
        <w:tabs>
          <w:tab w:val="left" w:pos="567"/>
        </w:tabs>
        <w:bidi w:val="0"/>
        <w:spacing w:line="360" w:lineRule="auto"/>
        <w:ind w:left="567" w:hanging="567"/>
        <w:outlineLvl w:val="0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Záver</w:t>
      </w:r>
    </w:p>
    <w:p w:rsidR="00F41AA2" w:rsidRPr="00697222">
      <w:pPr>
        <w:pStyle w:val="NormalConseil"/>
        <w:tabs>
          <w:tab w:val="left" w:pos="567"/>
        </w:tabs>
        <w:bidi w:val="0"/>
        <w:spacing w:line="360" w:lineRule="auto"/>
        <w:ind w:left="567" w:hanging="567"/>
        <w:outlineLvl w:val="0"/>
        <w:rPr>
          <w:rFonts w:ascii="Times New Roman" w:hAnsi="Times New Roman"/>
          <w:b/>
          <w:bCs/>
          <w:lang w:val="sk-SK"/>
        </w:rPr>
      </w:pPr>
    </w:p>
    <w:p w:rsidR="00F41AA2">
      <w:pPr>
        <w:bidi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6.</w:t>
        <w:tab/>
        <w:t>Vzhľadom na uvedené sa Rada vyzýva, aby preskúmala návrh uvedeného vyhlásenia na svojom zasadnutí 9. a 10. októbra 2008 na účely jeho prijatia zástupcami vlád členských štátov Európskej únie, ktorí sa zídu na zasadnutí Rady.</w:t>
      </w:r>
    </w:p>
    <w:p w:rsidR="00F41AA2">
      <w:pPr>
        <w:bidi w:val="0"/>
        <w:ind w:left="567" w:hanging="567"/>
        <w:rPr>
          <w:rFonts w:ascii="Times New Roman" w:hAnsi="Times New Roman"/>
        </w:rPr>
      </w:pPr>
    </w:p>
    <w:p w:rsidR="00F41AA2">
      <w:pPr>
        <w:bidi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</w:t>
      </w:r>
    </w:p>
    <w:p w:rsidR="00F41AA2">
      <w:pPr>
        <w:bidi w:val="0"/>
        <w:spacing w:line="240" w:lineRule="auto"/>
        <w:rPr>
          <w:rFonts w:ascii="Times New Roman" w:hAnsi="Times New Roman"/>
        </w:rPr>
      </w:pPr>
    </w:p>
    <w:p w:rsidR="00F41AA2">
      <w:pPr>
        <w:tabs>
          <w:tab w:val="left" w:pos="3969"/>
        </w:tabs>
        <w:bidi w:val="0"/>
        <w:rPr>
          <w:rFonts w:ascii="Times New Roman" w:hAnsi="Times New Roman"/>
        </w:rPr>
      </w:pPr>
    </w:p>
    <w:p w:rsidR="00F41AA2">
      <w:pPr>
        <w:bidi w:val="0"/>
        <w:jc w:val="right"/>
        <w:rPr>
          <w:rFonts w:ascii="Times New Roman" w:hAnsi="Times New Roman"/>
          <w:b/>
          <w:bCs/>
          <w:u w:val="single"/>
        </w:rPr>
        <w:sectPr w:rsidSect="00AE6B3A">
          <w:footerReference w:type="default" r:id="rId5"/>
          <w:footnotePr>
            <w:numRestart w:val="eachPage"/>
          </w:footnotePr>
          <w:endnotePr>
            <w:numFmt w:val="decimal"/>
          </w:endnotePr>
          <w:pgSz w:w="11907" w:h="16840" w:code="9"/>
          <w:pgMar w:top="1134" w:right="1134" w:bottom="1134" w:left="1134" w:header="567" w:footer="567" w:gutter="0"/>
          <w:lnNumType w:distance="0"/>
          <w:cols w:space="708"/>
          <w:noEndnote w:val="0"/>
          <w:bidi w:val="0"/>
          <w:rtlGutter/>
        </w:sectPr>
      </w:pPr>
    </w:p>
    <w:p w:rsidR="00F41AA2" w:rsidP="00196B18">
      <w:pPr>
        <w:bidi w:val="0"/>
        <w:spacing w:line="336" w:lineRule="auto"/>
        <w:jc w:val="right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PRÍLOHA</w:t>
      </w:r>
    </w:p>
    <w:p w:rsidR="00F41AA2" w:rsidP="00196B18">
      <w:pPr>
        <w:bidi w:val="0"/>
        <w:spacing w:line="336" w:lineRule="auto"/>
        <w:jc w:val="right"/>
        <w:rPr>
          <w:rFonts w:ascii="Times New Roman" w:hAnsi="Times New Roman"/>
          <w:b/>
          <w:bCs/>
          <w:u w:val="single"/>
        </w:rPr>
      </w:pPr>
    </w:p>
    <w:p w:rsidR="00F41AA2" w:rsidP="00196B18">
      <w:pPr>
        <w:bidi w:val="0"/>
        <w:spacing w:line="336" w:lineRule="auto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</w:t>
      </w:r>
    </w:p>
    <w:p w:rsidR="00F41AA2" w:rsidP="00196B18">
      <w:pPr>
        <w:bidi w:val="0"/>
        <w:spacing w:line="336" w:lineRule="auto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VYHLÁSENIE ČLENSKÝCH ŠTÁTOV</w:t>
      </w:r>
    </w:p>
    <w:p w:rsidR="00F41AA2" w:rsidP="00196B18">
      <w:pPr>
        <w:bidi w:val="0"/>
        <w:spacing w:line="336" w:lineRule="auto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námornej bezpečnosti</w:t>
      </w:r>
    </w:p>
    <w:p w:rsidR="00F41AA2" w:rsidP="00196B18">
      <w:pPr>
        <w:bidi w:val="0"/>
        <w:spacing w:line="336" w:lineRule="auto"/>
        <w:rPr>
          <w:rFonts w:ascii="Times New Roman" w:hAnsi="Times New Roman"/>
        </w:rPr>
      </w:pPr>
    </w:p>
    <w:p w:rsidR="00F41AA2" w:rsidP="00196B18">
      <w:pPr>
        <w:bidi w:val="0"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ČLENSKÉ ŠTÁTY SA PEVNE ZAVÄZUJÚ:</w:t>
      </w:r>
    </w:p>
    <w:p w:rsidR="00F41AA2" w:rsidP="00196B18">
      <w:pPr>
        <w:pStyle w:val="Footer"/>
        <w:tabs>
          <w:tab w:val="clear" w:pos="4820"/>
          <w:tab w:val="clear" w:pos="7371"/>
          <w:tab w:val="clear" w:pos="9639"/>
        </w:tabs>
        <w:bidi w:val="0"/>
        <w:spacing w:line="336" w:lineRule="auto"/>
        <w:rPr>
          <w:rFonts w:ascii="Times New Roman" w:hAnsi="Times New Roman"/>
        </w:rPr>
      </w:pPr>
    </w:p>
    <w:p w:rsidR="00F41AA2" w:rsidP="00196B18">
      <w:pPr>
        <w:bidi w:val="0"/>
        <w:spacing w:line="336" w:lineRule="auto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>1.</w:t>
        <w:tab/>
        <w:t xml:space="preserve">Ďalej zlepšovať kvalitu a výkonnosť svojich námorných úradov, aby sa </w:t>
      </w:r>
      <w:r>
        <w:rPr>
          <w:rFonts w:ascii="Times New Roman" w:hAnsi="Times New Roman"/>
          <w:b/>
          <w:bCs/>
        </w:rPr>
        <w:t xml:space="preserve">[...] </w:t>
      </w:r>
      <w:r>
        <w:rPr>
          <w:rFonts w:ascii="Times New Roman" w:hAnsi="Times New Roman"/>
        </w:rPr>
        <w:t xml:space="preserve">vlajky všetkých </w:t>
      </w:r>
      <w:r>
        <w:rPr>
          <w:rFonts w:ascii="Times New Roman" w:hAnsi="Times New Roman"/>
          <w:b/>
          <w:bCs/>
        </w:rPr>
        <w:t>členských štátov</w:t>
      </w:r>
      <w:r>
        <w:rPr>
          <w:rFonts w:ascii="Times New Roman" w:hAnsi="Times New Roman"/>
        </w:rPr>
        <w:t xml:space="preserve"> dostali najneskôr do roku 2012 na biely zoznam Parížskeho memoranda o porozumení o štátnej prístavnej kontrole;</w:t>
      </w:r>
    </w:p>
    <w:p w:rsidR="00F41AA2" w:rsidP="00196B18">
      <w:pPr>
        <w:bidi w:val="0"/>
        <w:spacing w:line="336" w:lineRule="auto"/>
        <w:rPr>
          <w:rFonts w:ascii="Times New Roman" w:hAnsi="Times New Roman"/>
        </w:rPr>
      </w:pPr>
    </w:p>
    <w:p w:rsidR="00F41AA2" w:rsidP="00196B18">
      <w:pPr>
        <w:bidi w:val="0"/>
        <w:spacing w:line="336" w:lineRule="auto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>2.</w:t>
        <w:tab/>
        <w:t>Konať v rámci IMO s cieľom čo najskôr dosiahnuť dohodu o všeobecne prijateľnom medzinárodnom rámci, ktorý bude upravovať zodpovednosť a náhradu škody v súvislosti s prepravou nebezpečných a škodlivých látok po mori;</w:t>
      </w:r>
    </w:p>
    <w:p w:rsidR="00F41AA2" w:rsidP="00196B18">
      <w:pPr>
        <w:bidi w:val="0"/>
        <w:spacing w:line="336" w:lineRule="auto"/>
        <w:ind w:left="540" w:hanging="540"/>
        <w:rPr>
          <w:rFonts w:ascii="Times New Roman" w:hAnsi="Times New Roman"/>
        </w:rPr>
      </w:pPr>
    </w:p>
    <w:p w:rsidR="00F41AA2" w:rsidP="00196B18">
      <w:pPr>
        <w:bidi w:val="0"/>
        <w:spacing w:line="336" w:lineRule="auto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>3.</w:t>
        <w:tab/>
        <w:t>Najneskôr 1. januára 2012 vyjadriť svoj súhlas s tým, že budú viazané týmito medzinárodnými dohovormi:</w:t>
      </w:r>
    </w:p>
    <w:p w:rsidR="00F41AA2" w:rsidP="00196B18">
      <w:pPr>
        <w:bidi w:val="0"/>
        <w:spacing w:line="336" w:lineRule="auto"/>
        <w:ind w:left="540" w:hanging="540"/>
        <w:rPr>
          <w:rFonts w:ascii="Times New Roman" w:hAnsi="Times New Roman"/>
        </w:rPr>
      </w:pPr>
    </w:p>
    <w:p w:rsidR="00F41AA2" w:rsidRPr="00BA56D1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  <w:r w:rsidR="00196B18">
        <w:rPr>
          <w:rFonts w:ascii="Times New Roman" w:hAnsi="Times New Roman"/>
        </w:rPr>
        <w:t>–</w:t>
        <w:tab/>
      </w:r>
      <w:r>
        <w:rPr>
          <w:rFonts w:ascii="Times New Roman" w:hAnsi="Times New Roman"/>
        </w:rPr>
        <w:t>dohovory uvedené v časti I bode 6 kódexu pre vykonávanie povinných nástrojov IMO spoločne s ich protokolmi a ich zmenami a doplneniami, ako aj všetky nástroje, ktoré sú podľa týchto dohovorov povinné, v znení platnom ku dňu prijatia tohto vyhlásenia:</w:t>
      </w:r>
    </w:p>
    <w:p w:rsidR="00F41AA2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</w:p>
    <w:p w:rsidR="00F41AA2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  <w:r w:rsidR="00196B18">
        <w:rPr>
          <w:rFonts w:ascii="Times New Roman" w:hAnsi="Times New Roman"/>
        </w:rPr>
        <w:t>–</w:t>
        <w:tab/>
      </w:r>
      <w:r>
        <w:rPr>
          <w:rFonts w:ascii="Times New Roman" w:hAnsi="Times New Roman"/>
        </w:rPr>
        <w:t>Medzinárodný dohovor z roku 1992 o občianskoprávnej zodpovednosti za škody spôsobené znečistením ropnými látkami,</w:t>
      </w:r>
    </w:p>
    <w:p w:rsidR="00F41AA2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</w:p>
    <w:p w:rsidR="00F41AA2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  <w:r w:rsidR="00196B18">
        <w:rPr>
          <w:rFonts w:ascii="Times New Roman" w:hAnsi="Times New Roman"/>
        </w:rPr>
        <w:t>–</w:t>
        <w:tab/>
      </w:r>
      <w:r>
        <w:rPr>
          <w:rFonts w:ascii="Times New Roman" w:hAnsi="Times New Roman"/>
        </w:rPr>
        <w:t>Medzinárodný dohovor z roku 1992 o zriadení Medzinárodného fondu na kompenzáciu škôd vzniknutých v dôsledku znečistenia ropnými látkami,</w:t>
      </w:r>
    </w:p>
    <w:p w:rsidR="00F41AA2" w:rsidP="00196B18">
      <w:pPr>
        <w:tabs>
          <w:tab w:val="left" w:pos="1475"/>
        </w:tabs>
        <w:bidi w:val="0"/>
        <w:spacing w:line="336" w:lineRule="auto"/>
        <w:ind w:left="1078" w:hanging="539"/>
        <w:rPr>
          <w:rFonts w:ascii="Times New Roman" w:hAnsi="Times New Roman"/>
        </w:rPr>
      </w:pPr>
      <w:r w:rsidR="00196B18">
        <w:rPr>
          <w:rFonts w:ascii="Times New Roman" w:hAnsi="Times New Roman"/>
        </w:rPr>
        <w:tab/>
        <w:tab/>
      </w:r>
    </w:p>
    <w:p w:rsidR="00F41AA2" w:rsidRPr="00BA56D1">
      <w:pPr>
        <w:bidi w:val="0"/>
        <w:ind w:left="1078" w:hanging="539"/>
        <w:rPr>
          <w:rFonts w:ascii="Times New Roman" w:hAnsi="Times New Roman"/>
        </w:rPr>
      </w:pPr>
      <w:r w:rsidR="00196B18">
        <w:rPr>
          <w:rFonts w:ascii="Times New Roman" w:hAnsi="Times New Roman"/>
        </w:rPr>
        <w:t>–</w:t>
        <w:tab/>
      </w:r>
      <w:r>
        <w:rPr>
          <w:rFonts w:ascii="Times New Roman" w:hAnsi="Times New Roman"/>
        </w:rPr>
        <w:t>Protokol z roku 1996 k Dohovoru z roku 1976 o obmedzení občianskoprávnej zodpovednosti vo veci námorných pohľadávok a, ak to bude možné, vypovedať základný dohovor,</w:t>
      </w:r>
    </w:p>
    <w:p w:rsidR="00F41AA2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196B18">
        <w:rPr>
          <w:rFonts w:ascii="Times New Roman" w:hAnsi="Times New Roman"/>
        </w:rPr>
        <w:t>–</w:t>
        <w:tab/>
      </w:r>
      <w:r>
        <w:rPr>
          <w:rFonts w:ascii="Times New Roman" w:hAnsi="Times New Roman"/>
        </w:rPr>
        <w:t>Medzinárodný dohovor z roku 2001 o občianskoprávnej zodpovednosti za škody spôsobené znečistením ropnými látkami,</w:t>
      </w:r>
    </w:p>
    <w:p w:rsidR="00F41AA2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</w:p>
    <w:p w:rsidR="00F41AA2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  <w:r w:rsidR="00196B18">
        <w:rPr>
          <w:rFonts w:ascii="Times New Roman" w:hAnsi="Times New Roman"/>
        </w:rPr>
        <w:t>–</w:t>
        <w:tab/>
      </w:r>
      <w:r>
        <w:rPr>
          <w:rFonts w:ascii="Times New Roman" w:hAnsi="Times New Roman"/>
        </w:rPr>
        <w:t>Protokol z roku 2003 k Medzinárodnému dohovoru z roku 1992 o zriadení medzinárodného fondu na kompenzáciu škôd vzniknutých v dôsledku znečistenia ropnými látkami.</w:t>
      </w:r>
    </w:p>
    <w:p w:rsidR="00F41AA2" w:rsidP="00196B18">
      <w:pPr>
        <w:bidi w:val="0"/>
        <w:spacing w:line="336" w:lineRule="auto"/>
        <w:rPr>
          <w:rFonts w:ascii="Times New Roman" w:hAnsi="Times New Roman"/>
        </w:rPr>
      </w:pPr>
    </w:p>
    <w:p w:rsidR="00F41AA2" w:rsidRPr="00BA56D1" w:rsidP="00196B18">
      <w:pPr>
        <w:bidi w:val="0"/>
        <w:spacing w:line="336" w:lineRule="auto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>4.</w:t>
        <w:tab/>
        <w:t xml:space="preserve">Najneskôr 1. januára 2013 vyjadriť súhlas s tým, že budú viazané Medzinárodným dohovorom o odstraňovaní vrakov prijatým v roku 2007 v Nairobi alebo, v prípade vnútrozemských členských štátov, prijať </w:t>
      </w:r>
      <w:r>
        <w:rPr>
          <w:rFonts w:ascii="Times New Roman" w:hAnsi="Times New Roman"/>
          <w:b/>
          <w:bCs/>
        </w:rPr>
        <w:t>potrebné</w:t>
      </w:r>
      <w:r>
        <w:rPr>
          <w:rFonts w:ascii="Times New Roman" w:hAnsi="Times New Roman"/>
        </w:rPr>
        <w:t xml:space="preserve"> opatrenia </w:t>
      </w:r>
      <w:r>
        <w:rPr>
          <w:rFonts w:ascii="Times New Roman" w:hAnsi="Times New Roman"/>
          <w:b/>
          <w:bCs/>
        </w:rPr>
        <w:t>s cieľom zabezpečiť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[...]</w:t>
      </w:r>
      <w:r>
        <w:rPr>
          <w:rFonts w:ascii="Times New Roman" w:hAnsi="Times New Roman"/>
        </w:rPr>
        <w:t xml:space="preserve">, že lode, ktoré sa plavia pod ich vlajkou, </w:t>
      </w:r>
      <w:r>
        <w:rPr>
          <w:rFonts w:ascii="Times New Roman" w:hAnsi="Times New Roman"/>
          <w:b/>
          <w:bCs/>
        </w:rPr>
        <w:t>majú potvrdenie vydané jednou zo zmluvných strán dohovoru</w:t>
      </w:r>
      <w:r>
        <w:rPr>
          <w:rFonts w:ascii="Times New Roman" w:hAnsi="Times New Roman"/>
        </w:rPr>
        <w:t>.</w:t>
      </w:r>
    </w:p>
    <w:p w:rsidR="00F41AA2" w:rsidP="00196B18">
      <w:pPr>
        <w:bidi w:val="0"/>
        <w:spacing w:line="336" w:lineRule="auto"/>
        <w:rPr>
          <w:rFonts w:ascii="Times New Roman" w:hAnsi="Times New Roman"/>
        </w:rPr>
      </w:pPr>
    </w:p>
    <w:p w:rsidR="00F41AA2" w:rsidP="00697222">
      <w:pPr>
        <w:numPr>
          <w:numId w:val="16"/>
        </w:numPr>
        <w:tabs>
          <w:tab w:val="num" w:pos="567"/>
          <w:tab w:val="clear" w:pos="720"/>
        </w:tabs>
        <w:bidi w:val="0"/>
        <w:spacing w:line="336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Vyjadriť svoju ochotu uplatňovať časti 1 a 2 kódexu pre vykonávanie povinných nástrojov IMO, ktorý IMO prijala prostredníctvom rezolúcie zhromaždenia A.996(25), a umožniť IMO vykonať audit ich úradov.</w:t>
      </w:r>
    </w:p>
    <w:p w:rsidR="00F41AA2" w:rsidP="00196B18">
      <w:pPr>
        <w:tabs>
          <w:tab w:val="num" w:pos="567"/>
        </w:tabs>
        <w:bidi w:val="0"/>
        <w:spacing w:line="336" w:lineRule="auto"/>
        <w:rPr>
          <w:rFonts w:ascii="Times New Roman" w:hAnsi="Times New Roman"/>
        </w:rPr>
      </w:pPr>
    </w:p>
    <w:p w:rsidR="00F41AA2" w:rsidRPr="00BA56D1" w:rsidP="00697222">
      <w:pPr>
        <w:numPr>
          <w:numId w:val="16"/>
        </w:numPr>
        <w:tabs>
          <w:tab w:val="num" w:pos="567"/>
          <w:tab w:val="clear" w:pos="720"/>
        </w:tabs>
        <w:bidi w:val="0"/>
        <w:spacing w:line="336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Konať v súlade s príslušnými ustanoveniami prílohy a dodatku k rezolúcii IMO A.996(25) o vykonávaní nástrojov IMO vlajkovými štátmi s cieľom zabezpečiť, aby ich príslušné úrady boli schopné riadne presadzovať ustanovenia medzinárodných dohovorov.</w:t>
      </w:r>
    </w:p>
    <w:p w:rsidR="00F41AA2" w:rsidP="00196B18">
      <w:pPr>
        <w:tabs>
          <w:tab w:val="num" w:pos="567"/>
        </w:tabs>
        <w:bidi w:val="0"/>
        <w:spacing w:line="336" w:lineRule="auto"/>
        <w:rPr>
          <w:rFonts w:ascii="Times New Roman" w:hAnsi="Times New Roman"/>
        </w:rPr>
      </w:pPr>
    </w:p>
    <w:p w:rsidR="00F41AA2" w:rsidRPr="00BA56D1" w:rsidP="00697222">
      <w:pPr>
        <w:numPr>
          <w:numId w:val="16"/>
        </w:numPr>
        <w:tabs>
          <w:tab w:val="num" w:pos="567"/>
          <w:tab w:val="clear" w:pos="720"/>
        </w:tabs>
        <w:bidi w:val="0"/>
        <w:spacing w:line="336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Prijať všetky vhodné kroky v rámci Spoločenstva a v spolupráci s inými členmi Medzinárodnej námornej organizácie (IMO) tak, aby sa časti 1 a 2 kódexu pre vykonávanie povinných nástrojov IMO, ako aj systém auditu členských štátov IMO stali celosvetovo povinnými, čo by viedlo k minimalizovaniu rozdielov v plnení medzinárodných povinností vlajkových štátov, a tak:</w:t>
      </w:r>
    </w:p>
    <w:p w:rsidR="00F41AA2" w:rsidP="00196B18">
      <w:pPr>
        <w:bidi w:val="0"/>
        <w:spacing w:line="336" w:lineRule="auto"/>
        <w:ind w:left="567"/>
        <w:rPr>
          <w:rFonts w:ascii="Times New Roman" w:hAnsi="Times New Roman"/>
        </w:rPr>
      </w:pPr>
    </w:p>
    <w:p w:rsidR="00F41AA2" w:rsidP="00697222">
      <w:pPr>
        <w:numPr>
          <w:numId w:val="17"/>
        </w:numPr>
        <w:tabs>
          <w:tab w:val="clear" w:pos="1287"/>
        </w:tabs>
        <w:bidi w:val="0"/>
        <w:spacing w:line="336" w:lineRule="auto"/>
        <w:ind w:left="1134" w:hanging="567"/>
        <w:rPr>
          <w:rFonts w:ascii="Times New Roman" w:hAnsi="Times New Roman"/>
        </w:rPr>
      </w:pPr>
      <w:r>
        <w:rPr>
          <w:rFonts w:ascii="Times New Roman" w:hAnsi="Times New Roman"/>
        </w:rPr>
        <w:t>prispieť k zvýšeniu bezpečnosti, bezpečnostnej ochrany a ochrany morského prostredia,</w:t>
      </w:r>
    </w:p>
    <w:p w:rsidR="00F41AA2" w:rsidP="00196B18">
      <w:pPr>
        <w:bidi w:val="0"/>
        <w:spacing w:line="336" w:lineRule="auto"/>
        <w:ind w:left="567"/>
        <w:rPr>
          <w:rFonts w:ascii="Times New Roman" w:hAnsi="Times New Roman"/>
        </w:rPr>
      </w:pPr>
    </w:p>
    <w:p w:rsidR="00F41AA2" w:rsidP="00697222">
      <w:pPr>
        <w:numPr>
          <w:numId w:val="17"/>
        </w:numPr>
        <w:tabs>
          <w:tab w:val="clear" w:pos="1287"/>
        </w:tabs>
        <w:bidi w:val="0"/>
        <w:spacing w:line="336" w:lineRule="auto"/>
        <w:ind w:left="1134" w:hanging="567"/>
        <w:rPr>
          <w:rFonts w:ascii="Times New Roman" w:hAnsi="Times New Roman"/>
        </w:rPr>
      </w:pPr>
      <w:r>
        <w:rPr>
          <w:rFonts w:ascii="Times New Roman" w:hAnsi="Times New Roman"/>
        </w:rPr>
        <w:t>zabezpečiť rovnaké podmienky na medzinárodnej úrovni v oblasti lodnej dopravy, ktoré majú kľúčový význam pre životaschopnosť lodnej dopravy EÚ.</w:t>
      </w:r>
    </w:p>
    <w:p w:rsidR="00F41AA2" w:rsidRPr="00BA56D1" w:rsidP="00697222">
      <w:pPr>
        <w:numPr>
          <w:numId w:val="16"/>
        </w:numPr>
        <w:tabs>
          <w:tab w:val="num" w:pos="567"/>
          <w:tab w:val="clear" w:pos="720"/>
        </w:tabs>
        <w:bidi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  <w:t xml:space="preserve">Toto vyhlásenie nemá vplyv na právomoc členských štátov konať a prijímať medzinárodné záväzky v tejto oblasti </w:t>
      </w:r>
      <w:r>
        <w:rPr>
          <w:rFonts w:ascii="Times New Roman" w:hAnsi="Times New Roman"/>
          <w:b/>
          <w:bCs/>
        </w:rPr>
        <w:t>v súlade s ich ústavnými požiadavkami</w:t>
      </w:r>
      <w:r>
        <w:rPr>
          <w:rFonts w:ascii="Times New Roman" w:hAnsi="Times New Roman"/>
        </w:rPr>
        <w:t xml:space="preserve">. </w:t>
      </w:r>
    </w:p>
    <w:p w:rsidR="00F41AA2">
      <w:pPr>
        <w:bidi w:val="0"/>
        <w:rPr>
          <w:rFonts w:ascii="Times New Roman" w:hAnsi="Times New Roman"/>
          <w:b/>
          <w:bCs/>
          <w:u w:val="single"/>
        </w:rPr>
      </w:pPr>
    </w:p>
    <w:p w:rsidR="00F41AA2">
      <w:pPr>
        <w:bidi w:val="0"/>
        <w:rPr>
          <w:rFonts w:ascii="Times New Roman" w:hAnsi="Times New Roman"/>
          <w:b/>
          <w:bCs/>
          <w:u w:val="single"/>
        </w:rPr>
      </w:pPr>
    </w:p>
    <w:p w:rsidR="00F41AA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</w:p>
    <w:sectPr>
      <w:footerReference w:type="default" r:id="rId6"/>
      <w:pgSz w:w="12240" w:h="15840"/>
      <w:pgMar w:top="1417" w:right="1183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A2">
    <w:pPr>
      <w:pStyle w:val="Footer"/>
      <w:pBdr>
        <w:bottom w:val="single" w:sz="4" w:space="1" w:color="auto"/>
      </w:pBdr>
      <w:bidi w:val="0"/>
      <w:spacing w:after="60"/>
      <w:rPr>
        <w:rFonts w:ascii="Times New Roman" w:hAnsi="Times New Roman"/>
      </w:rPr>
    </w:pPr>
  </w:p>
  <w:p w:rsidR="00F41AA2" w:rsidRPr="00F41AA2">
    <w:pPr>
      <w:pStyle w:val="Footer"/>
      <w:bidi w:val="0"/>
      <w:rPr>
        <w:rFonts w:ascii="Times New Roman" w:hAnsi="Times New Roman"/>
        <w:szCs w:val="24"/>
      </w:rPr>
    </w:pPr>
    <w:r w:rsidRPr="00F41AA2">
      <w:rPr>
        <w:rFonts w:ascii="Times New Roman" w:hAnsi="Times New Roman"/>
        <w:szCs w:val="24"/>
      </w:rPr>
      <w:t>13596/08</w:t>
      <w:tab/>
      <w:tab/>
    </w:r>
    <w:r w:rsidRPr="00F41AA2">
      <w:rPr>
        <w:rFonts w:ascii="Times New Roman" w:hAnsi="Times New Roman"/>
        <w:noProof/>
        <w:szCs w:val="24"/>
      </w:rPr>
      <w:t>dpm/AR/mis</w:t>
    </w:r>
    <w:r w:rsidRPr="00F41AA2">
      <w:rPr>
        <w:rFonts w:ascii="Times New Roman" w:hAnsi="Times New Roman"/>
        <w:szCs w:val="24"/>
      </w:rPr>
      <w:tab/>
    </w:r>
    <w:r w:rsidRPr="00F41AA2">
      <w:rPr>
        <w:rStyle w:val="PageNumber"/>
        <w:rFonts w:ascii="Times New Roman" w:hAnsi="Times New Roman"/>
        <w:szCs w:val="24"/>
      </w:rPr>
      <w:fldChar w:fldCharType="begin"/>
    </w:r>
    <w:r w:rsidRPr="00F41AA2">
      <w:rPr>
        <w:rStyle w:val="PageNumber"/>
        <w:rFonts w:ascii="Times New Roman" w:hAnsi="Times New Roman"/>
        <w:szCs w:val="24"/>
      </w:rPr>
      <w:instrText xml:space="preserve"> PAGE </w:instrText>
    </w:r>
    <w:r w:rsidRPr="00F41AA2">
      <w:rPr>
        <w:rStyle w:val="PageNumber"/>
        <w:rFonts w:ascii="Times New Roman" w:hAnsi="Times New Roman"/>
        <w:szCs w:val="24"/>
      </w:rPr>
      <w:fldChar w:fldCharType="separate"/>
    </w:r>
    <w:r w:rsidR="00847D5B">
      <w:rPr>
        <w:rStyle w:val="PageNumber"/>
        <w:rFonts w:ascii="Times New Roman" w:hAnsi="Times New Roman"/>
        <w:noProof/>
        <w:szCs w:val="24"/>
      </w:rPr>
      <w:t>1</w:t>
    </w:r>
    <w:r w:rsidRPr="00F41AA2">
      <w:rPr>
        <w:rStyle w:val="PageNumber"/>
        <w:rFonts w:ascii="Times New Roman" w:hAnsi="Times New Roman"/>
        <w:szCs w:val="24"/>
      </w:rPr>
      <w:fldChar w:fldCharType="end"/>
    </w:r>
    <w:r w:rsidR="00847D5B">
      <w:rPr>
        <w:rStyle w:val="PageNumber"/>
        <w:rFonts w:ascii="Times New Roman" w:hAnsi="Times New Roman"/>
        <w:szCs w:val="24"/>
      </w:rPr>
      <w:t>/5</w:t>
    </w:r>
  </w:p>
  <w:p w:rsidR="00F41AA2">
    <w:pPr>
      <w:pStyle w:val="Footer"/>
      <w:tabs>
        <w:tab w:val="clear" w:pos="7371"/>
      </w:tabs>
      <w:bidi w:val="0"/>
      <w:spacing w:line="280" w:lineRule="exact"/>
      <w:rPr>
        <w:rFonts w:ascii="Times New Roman" w:hAnsi="Times New Roman"/>
        <w:sz w:val="20"/>
      </w:rPr>
    </w:pPr>
    <w:r w:rsidRPr="00F41AA2">
      <w:rPr>
        <w:rFonts w:ascii="Times New Roman" w:hAnsi="Times New Roman"/>
        <w:szCs w:val="24"/>
      </w:rPr>
      <w:tab/>
    </w:r>
    <w:r w:rsidRPr="00F41AA2">
      <w:rPr>
        <w:rFonts w:ascii="Times New Roman" w:hAnsi="Times New Roman"/>
        <w:noProof/>
        <w:szCs w:val="24"/>
      </w:rPr>
      <w:t>DG C III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b/>
        <w:bCs/>
        <w:position w:val="-4"/>
        <w:sz w:val="36"/>
        <w:szCs w:val="36"/>
      </w:rPr>
      <w:t xml:space="preserve"> </w:t>
    </w:r>
    <w:r>
      <w:rPr>
        <w:rFonts w:ascii="Times New Roman" w:hAnsi="Times New Roman"/>
        <w:b/>
        <w:bCs/>
        <w:position w:val="-4"/>
        <w:sz w:val="36"/>
        <w:szCs w:val="36"/>
      </w:rPr>
      <w:t> </w:t>
    </w:r>
    <w:r>
      <w:rPr>
        <w:rFonts w:ascii="Times New Roman" w:hAnsi="Times New Roman"/>
        <w:b/>
        <w:bCs/>
        <w:noProof/>
        <w:position w:val="-4"/>
        <w:sz w:val="36"/>
        <w:szCs w:val="36"/>
      </w:rPr>
      <w:t>SK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B18">
    <w:pPr>
      <w:pStyle w:val="Footer"/>
      <w:pBdr>
        <w:bottom w:val="single" w:sz="4" w:space="1" w:color="auto"/>
      </w:pBdr>
      <w:bidi w:val="0"/>
      <w:spacing w:after="60"/>
      <w:rPr>
        <w:rFonts w:ascii="Times New Roman" w:hAnsi="Times New Roman"/>
      </w:rPr>
    </w:pPr>
  </w:p>
  <w:p w:rsidR="00196B18" w:rsidRPr="00F41AA2">
    <w:pPr>
      <w:pStyle w:val="Footer"/>
      <w:bidi w:val="0"/>
      <w:rPr>
        <w:rFonts w:ascii="Times New Roman" w:hAnsi="Times New Roman"/>
        <w:szCs w:val="24"/>
      </w:rPr>
    </w:pPr>
    <w:r w:rsidRPr="00F41AA2">
      <w:rPr>
        <w:rFonts w:ascii="Times New Roman" w:hAnsi="Times New Roman"/>
        <w:szCs w:val="24"/>
      </w:rPr>
      <w:t>13596/08</w:t>
      <w:tab/>
      <w:tab/>
    </w:r>
    <w:r w:rsidRPr="00F41AA2">
      <w:rPr>
        <w:rFonts w:ascii="Times New Roman" w:hAnsi="Times New Roman"/>
        <w:noProof/>
        <w:szCs w:val="24"/>
      </w:rPr>
      <w:t>dpm/AR/mis</w:t>
    </w:r>
    <w:r w:rsidRPr="00F41AA2">
      <w:rPr>
        <w:rFonts w:ascii="Times New Roman" w:hAnsi="Times New Roman"/>
        <w:szCs w:val="24"/>
      </w:rPr>
      <w:tab/>
    </w:r>
    <w:r w:rsidRPr="00F41AA2">
      <w:rPr>
        <w:rStyle w:val="PageNumber"/>
        <w:rFonts w:ascii="Times New Roman" w:hAnsi="Times New Roman"/>
        <w:szCs w:val="24"/>
      </w:rPr>
      <w:fldChar w:fldCharType="begin"/>
    </w:r>
    <w:r w:rsidRPr="00F41AA2">
      <w:rPr>
        <w:rStyle w:val="PageNumber"/>
        <w:rFonts w:ascii="Times New Roman" w:hAnsi="Times New Roman"/>
        <w:szCs w:val="24"/>
      </w:rPr>
      <w:instrText xml:space="preserve"> PAGE </w:instrText>
    </w:r>
    <w:r w:rsidRPr="00F41AA2">
      <w:rPr>
        <w:rStyle w:val="PageNumber"/>
        <w:rFonts w:ascii="Times New Roman" w:hAnsi="Times New Roman"/>
        <w:szCs w:val="24"/>
      </w:rPr>
      <w:fldChar w:fldCharType="separate"/>
    </w:r>
    <w:r w:rsidR="00847D5B">
      <w:rPr>
        <w:rStyle w:val="PageNumber"/>
        <w:rFonts w:ascii="Times New Roman" w:hAnsi="Times New Roman"/>
        <w:noProof/>
        <w:szCs w:val="24"/>
      </w:rPr>
      <w:t>5</w:t>
    </w:r>
    <w:r w:rsidRPr="00F41AA2">
      <w:rPr>
        <w:rStyle w:val="PageNumber"/>
        <w:rFonts w:ascii="Times New Roman" w:hAnsi="Times New Roman"/>
        <w:szCs w:val="24"/>
      </w:rPr>
      <w:fldChar w:fldCharType="end"/>
    </w:r>
  </w:p>
  <w:p w:rsidR="00196B18">
    <w:pPr>
      <w:pStyle w:val="Footer"/>
      <w:tabs>
        <w:tab w:val="clear" w:pos="7371"/>
      </w:tabs>
      <w:bidi w:val="0"/>
      <w:spacing w:line="280" w:lineRule="exact"/>
      <w:rPr>
        <w:rFonts w:ascii="Times New Roman" w:hAnsi="Times New Roman"/>
        <w:sz w:val="20"/>
      </w:rPr>
    </w:pPr>
    <w:r>
      <w:rPr>
        <w:rFonts w:ascii="Times New Roman" w:hAnsi="Times New Roman"/>
        <w:szCs w:val="24"/>
      </w:rPr>
      <w:t>PRÍLOHA</w:t>
    </w:r>
    <w:r w:rsidRPr="00F41AA2">
      <w:rPr>
        <w:rFonts w:ascii="Times New Roman" w:hAnsi="Times New Roman"/>
        <w:szCs w:val="24"/>
      </w:rPr>
      <w:tab/>
    </w:r>
    <w:r w:rsidRPr="00F41AA2">
      <w:rPr>
        <w:rFonts w:ascii="Times New Roman" w:hAnsi="Times New Roman"/>
        <w:noProof/>
        <w:szCs w:val="24"/>
      </w:rPr>
      <w:t>DG C III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b/>
        <w:bCs/>
        <w:position w:val="-4"/>
        <w:sz w:val="36"/>
        <w:szCs w:val="36"/>
      </w:rPr>
      <w:t xml:space="preserve"> </w:t>
    </w:r>
    <w:r>
      <w:rPr>
        <w:rFonts w:ascii="Times New Roman" w:hAnsi="Times New Roman"/>
        <w:b/>
        <w:bCs/>
        <w:position w:val="-4"/>
        <w:sz w:val="36"/>
        <w:szCs w:val="36"/>
      </w:rPr>
      <w:t> </w:t>
    </w:r>
    <w:r>
      <w:rPr>
        <w:rFonts w:ascii="Times New Roman" w:hAnsi="Times New Roman"/>
        <w:b/>
        <w:bCs/>
        <w:noProof/>
        <w:position w:val="-4"/>
        <w:sz w:val="36"/>
        <w:szCs w:val="36"/>
      </w:rPr>
      <w:t>SK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4273"/>
    <w:multiLevelType w:val="singleLevel"/>
    <w:tmpl w:val="6276CDDE"/>
    <w:lvl w:ilvl="0">
      <w:start w:val="1"/>
      <w:numFmt w:val="upperRoman"/>
      <w:pStyle w:val="Par-dash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1">
    <w:nsid w:val="22CA659A"/>
    <w:multiLevelType w:val="singleLevel"/>
    <w:tmpl w:val="7B9C897A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2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cs="Times New Roman"/>
        <w:rtl w:val="0"/>
        <w:cs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  <w:rtl w:val="0"/>
        <w:cs w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  <w:rtl w:val="0"/>
        <w:cs w:val="0"/>
      </w:rPr>
    </w:lvl>
    <w:lvl w:ilvl="4">
      <w:start w:val="1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  <w:rtl w:val="0"/>
        <w:cs w:val="0"/>
      </w:rPr>
    </w:lvl>
  </w:abstractNum>
  <w:abstractNum w:abstractNumId="3">
    <w:nsid w:val="2D2D468B"/>
    <w:multiLevelType w:val="singleLevel"/>
    <w:tmpl w:val="A18042A8"/>
    <w:lvl w:ilvl="0">
      <w:start w:val="1"/>
      <w:numFmt w:val="upperLetter"/>
      <w:pStyle w:val="TOC3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4">
    <w:nsid w:val="2DB37182"/>
    <w:multiLevelType w:val="singleLevel"/>
    <w:tmpl w:val="F612DBDC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  <w:rtl w:val="0"/>
        <w:cs w:val="0"/>
      </w:rPr>
    </w:lvl>
  </w:abstractNum>
  <w:abstractNum w:abstractNumId="5">
    <w:nsid w:val="394F5925"/>
    <w:multiLevelType w:val="singleLevel"/>
    <w:tmpl w:val="395C08BE"/>
    <w:lvl w:ilvl="0">
      <w:start w:val="1"/>
      <w:numFmt w:val="decimal"/>
      <w:pStyle w:val="Par-number11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6">
    <w:nsid w:val="3DD66C9D"/>
    <w:multiLevelType w:val="singleLevel"/>
    <w:tmpl w:val="E5905DC2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7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8">
    <w:nsid w:val="425C02B2"/>
    <w:multiLevelType w:val="hybridMultilevel"/>
    <w:tmpl w:val="2FD2D4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</w:abstractNum>
  <w:abstractNum w:abstractNumId="9">
    <w:nsid w:val="436E0A5D"/>
    <w:multiLevelType w:val="singleLevel"/>
    <w:tmpl w:val="9C807126"/>
    <w:lvl w:ilvl="0">
      <w:start w:val="1"/>
      <w:numFmt w:val="bullet"/>
      <w:pStyle w:val="TOC1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>
    <w:nsid w:val="4ABD7E9D"/>
    <w:multiLevelType w:val="hybridMultilevel"/>
    <w:tmpl w:val="44C0C9E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5FE064B7"/>
    <w:multiLevelType w:val="hybridMultilevel"/>
    <w:tmpl w:val="F9DAE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</w:abstractNum>
  <w:abstractNum w:abstractNumId="12">
    <w:nsid w:val="6E4E71E4"/>
    <w:multiLevelType w:val="singleLevel"/>
    <w:tmpl w:val="21145626"/>
    <w:lvl w:ilvl="0">
      <w:start w:val="1"/>
      <w:numFmt w:val="decimal"/>
      <w:pStyle w:val="Par-numberI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13">
    <w:nsid w:val="79FA34D6"/>
    <w:multiLevelType w:val="singleLevel"/>
    <w:tmpl w:val="41326E50"/>
    <w:lvl w:ilvl="0">
      <w:start w:val="1"/>
      <w:numFmt w:val="bullet"/>
      <w:pStyle w:val="Par-equa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attachedTemplate r:id="rId1"/>
  <w:stylePaneFormatFilter w:val="3F01"/>
  <w:doNotTrackMoves/>
  <w:defaultTabStop w:val="567"/>
  <w:hyphenationZone w:val="425"/>
  <w:displayHorizontalDrawingGridEvery w:val="0"/>
  <w:displayVerticalDrawingGridEvery w:val="0"/>
  <w:noPunctuationKerning/>
  <w:characterSpacingControl w:val="doNotCompress"/>
  <w:footnotePr>
    <w:numRestart w:val="eachPage"/>
  </w:footnotePr>
  <w:endnotePr>
    <w:numFmt w:val="decimal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543C7"/>
    <w:rsid w:val="0007104E"/>
    <w:rsid w:val="000F7A4B"/>
    <w:rsid w:val="0015674F"/>
    <w:rsid w:val="00196B18"/>
    <w:rsid w:val="0021429E"/>
    <w:rsid w:val="00293F61"/>
    <w:rsid w:val="002E5515"/>
    <w:rsid w:val="003A2248"/>
    <w:rsid w:val="003A4C0D"/>
    <w:rsid w:val="003A6F3C"/>
    <w:rsid w:val="003F7E6C"/>
    <w:rsid w:val="00494021"/>
    <w:rsid w:val="0049672E"/>
    <w:rsid w:val="00551EA9"/>
    <w:rsid w:val="005661F3"/>
    <w:rsid w:val="00641F6D"/>
    <w:rsid w:val="00686361"/>
    <w:rsid w:val="00697222"/>
    <w:rsid w:val="007534E2"/>
    <w:rsid w:val="007C4874"/>
    <w:rsid w:val="00847D5B"/>
    <w:rsid w:val="008543C7"/>
    <w:rsid w:val="00AA44C0"/>
    <w:rsid w:val="00AE6B3A"/>
    <w:rsid w:val="00B204CF"/>
    <w:rsid w:val="00BA56D1"/>
    <w:rsid w:val="00C171FA"/>
    <w:rsid w:val="00CA4323"/>
    <w:rsid w:val="00CC2FC1"/>
    <w:rsid w:val="00D13D17"/>
    <w:rsid w:val="00DD2615"/>
    <w:rsid w:val="00DE6B95"/>
    <w:rsid w:val="00F41A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874"/>
    <w:pPr>
      <w:framePr w:wrap="auto"/>
      <w:widowControl w:val="0"/>
      <w:autoSpaceDE/>
      <w:autoSpaceDN/>
      <w:adjustRightInd/>
      <w:spacing w:line="360" w:lineRule="auto"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fr-BE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widowControl/>
      <w:numPr>
        <w:numId w:val="11"/>
      </w:numPr>
      <w:tabs>
        <w:tab w:val="num" w:pos="851"/>
      </w:tabs>
      <w:spacing w:before="360" w:after="120" w:line="240" w:lineRule="auto"/>
      <w:ind w:left="851" w:hanging="851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widowControl/>
      <w:numPr>
        <w:ilvl w:val="1"/>
        <w:numId w:val="12"/>
      </w:numPr>
      <w:tabs>
        <w:tab w:val="num" w:pos="851"/>
      </w:tabs>
      <w:spacing w:before="120" w:after="120" w:line="240" w:lineRule="auto"/>
      <w:ind w:left="851" w:hanging="851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widowControl/>
      <w:numPr>
        <w:ilvl w:val="2"/>
        <w:numId w:val="13"/>
      </w:numPr>
      <w:tabs>
        <w:tab w:val="num" w:pos="851"/>
      </w:tabs>
      <w:spacing w:before="120" w:after="120" w:line="240" w:lineRule="auto"/>
      <w:ind w:left="851" w:hanging="851"/>
      <w:jc w:val="both"/>
      <w:outlineLvl w:val="2"/>
    </w:pPr>
    <w:rPr>
      <w:i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widowControl/>
      <w:numPr>
        <w:ilvl w:val="3"/>
        <w:numId w:val="14"/>
      </w:numPr>
      <w:tabs>
        <w:tab w:val="num" w:pos="851"/>
      </w:tabs>
      <w:spacing w:before="120" w:after="120" w:line="240" w:lineRule="auto"/>
      <w:ind w:left="851" w:hanging="851"/>
      <w:jc w:val="both"/>
      <w:outlineLvl w:val="3"/>
    </w:pPr>
  </w:style>
  <w:style w:type="paragraph" w:styleId="Heading5">
    <w:name w:val="heading 5"/>
    <w:basedOn w:val="Normal"/>
    <w:next w:val="Normal"/>
    <w:link w:val="Nadpis5Char"/>
    <w:uiPriority w:val="99"/>
    <w:qFormat/>
    <w:pPr>
      <w:widowControl/>
      <w:spacing w:before="240" w:after="60" w:line="240" w:lineRule="auto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Nadpis6Char"/>
    <w:uiPriority w:val="99"/>
    <w:qFormat/>
    <w:pPr>
      <w:widowControl/>
      <w:spacing w:before="240" w:after="60" w:line="240" w:lineRule="auto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widowControl/>
      <w:spacing w:before="240" w:after="60" w:line="240" w:lineRule="auto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Nadpis8Char"/>
    <w:uiPriority w:val="99"/>
    <w:qFormat/>
    <w:pPr>
      <w:widowControl/>
      <w:spacing w:before="240" w:after="60" w:line="240" w:lineRule="auto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Nadpis9Char"/>
    <w:uiPriority w:val="99"/>
    <w:qFormat/>
    <w:pPr>
      <w:widowControl/>
      <w:spacing w:before="240" w:after="60" w:line="240" w:lineRule="auto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fr-BE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x-none" w:eastAsia="fr-BE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  <w:lang w:val="x-none" w:eastAsia="fr-BE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  <w:lang w:val="x-none" w:eastAsia="fr-BE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  <w:lang w:val="x-none" w:eastAsia="fr-BE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rtl w:val="0"/>
      <w:cs w:val="0"/>
      <w:lang w:val="x-none" w:eastAsia="fr-BE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  <w:rtl w:val="0"/>
      <w:cs w:val="0"/>
      <w:lang w:val="x-none" w:eastAsia="fr-BE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  <w:rtl w:val="0"/>
      <w:cs w:val="0"/>
      <w:lang w:val="x-none" w:eastAsia="fr-BE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/>
      <w:rtl w:val="0"/>
      <w:cs w:val="0"/>
      <w:lang w:val="x-none" w:eastAsia="fr-BE"/>
    </w:rPr>
  </w:style>
  <w:style w:type="paragraph" w:styleId="Footer">
    <w:name w:val="footer"/>
    <w:basedOn w:val="Normal"/>
    <w:link w:val="PtaChar"/>
    <w:uiPriority w:val="99"/>
    <w:pPr>
      <w:tabs>
        <w:tab w:val="center" w:pos="4820"/>
        <w:tab w:val="center" w:pos="7371"/>
        <w:tab w:val="right" w:pos="9639"/>
      </w:tabs>
      <w:spacing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fr-BE"/>
    </w:rPr>
  </w:style>
  <w:style w:type="paragraph" w:customStyle="1" w:styleId="EntInstit">
    <w:name w:val="EntInstit"/>
    <w:basedOn w:val="Normal"/>
    <w:uiPriority w:val="99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uiPriority w:val="99"/>
    <w:pPr>
      <w:spacing w:line="240" w:lineRule="auto"/>
      <w:jc w:val="left"/>
    </w:pPr>
    <w:rPr>
      <w:b/>
    </w:rPr>
  </w:style>
  <w:style w:type="paragraph" w:customStyle="1" w:styleId="Par-number1">
    <w:name w:val="Par-number 1)"/>
    <w:basedOn w:val="Normal"/>
    <w:next w:val="Normal"/>
    <w:uiPriority w:val="99"/>
    <w:pPr>
      <w:numPr>
        <w:numId w:val="7"/>
      </w:numPr>
      <w:tabs>
        <w:tab w:val="num" w:pos="567"/>
      </w:tabs>
      <w:ind w:left="567" w:hanging="567"/>
      <w:jc w:val="left"/>
    </w:pPr>
  </w:style>
  <w:style w:type="paragraph" w:customStyle="1" w:styleId="EntEmet">
    <w:name w:val="EntEmet"/>
    <w:basedOn w:val="Normal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  <w:jc w:val="left"/>
    </w:pPr>
  </w:style>
  <w:style w:type="character" w:styleId="FootnoteReference">
    <w:name w:val="footnote reference"/>
    <w:basedOn w:val="DefaultParagraphFont"/>
    <w:uiPriority w:val="99"/>
    <w:rPr>
      <w:rFonts w:cs="Times New Roman"/>
      <w:b/>
      <w:vertAlign w:val="superscript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x-none" w:eastAsia="fr-BE"/>
    </w:rPr>
  </w:style>
  <w:style w:type="paragraph" w:styleId="Header">
    <w:name w:val="header"/>
    <w:basedOn w:val="Normal"/>
    <w:link w:val="HlavikaChar"/>
    <w:uiPriority w:val="99"/>
    <w:pPr>
      <w:tabs>
        <w:tab w:val="center" w:pos="4820"/>
        <w:tab w:val="right" w:pos="7371"/>
        <w:tab w:val="right" w:pos="9639"/>
      </w:tabs>
      <w:spacing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fr-BE"/>
    </w:rPr>
  </w:style>
  <w:style w:type="paragraph" w:customStyle="1" w:styleId="Par-bullet">
    <w:name w:val="Par-bullet"/>
    <w:basedOn w:val="Normal"/>
    <w:next w:val="Normal"/>
    <w:uiPriority w:val="99"/>
    <w:pPr>
      <w:numPr>
        <w:numId w:val="3"/>
      </w:numPr>
      <w:tabs>
        <w:tab w:val="num" w:pos="567"/>
      </w:tabs>
      <w:ind w:left="567" w:hanging="567"/>
      <w:jc w:val="left"/>
    </w:pPr>
  </w:style>
  <w:style w:type="paragraph" w:customStyle="1" w:styleId="Par-equal">
    <w:name w:val="Par-equal"/>
    <w:basedOn w:val="Normal"/>
    <w:next w:val="Normal"/>
    <w:uiPriority w:val="99"/>
    <w:pPr>
      <w:numPr>
        <w:numId w:val="5"/>
      </w:numPr>
      <w:tabs>
        <w:tab w:val="num" w:pos="567"/>
      </w:tabs>
      <w:ind w:left="567" w:hanging="567"/>
      <w:jc w:val="left"/>
    </w:pPr>
  </w:style>
  <w:style w:type="paragraph" w:styleId="TOC1">
    <w:name w:val="toc 1"/>
    <w:basedOn w:val="Normal"/>
    <w:next w:val="Normal"/>
    <w:uiPriority w:val="99"/>
    <w:pPr>
      <w:tabs>
        <w:tab w:val="left" w:pos="567"/>
        <w:tab w:val="right" w:leader="dot" w:pos="9639"/>
      </w:tabs>
      <w:ind w:left="567" w:right="567" w:hanging="567"/>
      <w:jc w:val="left"/>
    </w:pPr>
  </w:style>
  <w:style w:type="paragraph" w:customStyle="1" w:styleId="Par-number10">
    <w:name w:val="Par-number (1)"/>
    <w:basedOn w:val="Normal"/>
    <w:next w:val="Normal"/>
    <w:uiPriority w:val="99"/>
    <w:pPr>
      <w:numPr>
        <w:numId w:val="6"/>
      </w:numPr>
      <w:tabs>
        <w:tab w:val="num" w:pos="567"/>
      </w:tabs>
      <w:ind w:left="567" w:hanging="567"/>
      <w:jc w:val="left"/>
    </w:pPr>
  </w:style>
  <w:style w:type="paragraph" w:customStyle="1" w:styleId="Par-number11">
    <w:name w:val="Par-number 1."/>
    <w:basedOn w:val="Normal"/>
    <w:next w:val="Normal"/>
    <w:uiPriority w:val="99"/>
    <w:pPr>
      <w:numPr>
        <w:numId w:val="8"/>
      </w:numPr>
      <w:tabs>
        <w:tab w:val="num" w:pos="567"/>
      </w:tabs>
      <w:ind w:left="567" w:hanging="567"/>
      <w:jc w:val="left"/>
    </w:pPr>
  </w:style>
  <w:style w:type="paragraph" w:customStyle="1" w:styleId="Par-numberI">
    <w:name w:val="Par-number I."/>
    <w:basedOn w:val="Normal"/>
    <w:next w:val="Normal"/>
    <w:uiPriority w:val="99"/>
    <w:pPr>
      <w:numPr>
        <w:numId w:val="10"/>
      </w:numPr>
      <w:tabs>
        <w:tab w:val="num" w:pos="567"/>
      </w:tabs>
      <w:ind w:left="567" w:hanging="567"/>
      <w:jc w:val="left"/>
    </w:pPr>
  </w:style>
  <w:style w:type="paragraph" w:customStyle="1" w:styleId="Par-dash">
    <w:name w:val="Par-dash"/>
    <w:basedOn w:val="Normal"/>
    <w:next w:val="Normal"/>
    <w:uiPriority w:val="99"/>
    <w:pPr>
      <w:numPr>
        <w:numId w:val="4"/>
      </w:numPr>
      <w:tabs>
        <w:tab w:val="num" w:pos="567"/>
      </w:tabs>
      <w:ind w:left="567" w:hanging="567"/>
      <w:jc w:val="left"/>
    </w:pPr>
  </w:style>
  <w:style w:type="paragraph" w:customStyle="1" w:styleId="EntLogo">
    <w:name w:val="EntLogo"/>
    <w:basedOn w:val="Normal"/>
    <w:next w:val="EntInstit"/>
    <w:uiPriority w:val="99"/>
    <w:pPr>
      <w:jc w:val="left"/>
    </w:pPr>
    <w:rPr>
      <w:b/>
    </w:rPr>
  </w:style>
  <w:style w:type="paragraph" w:customStyle="1" w:styleId="FooterLandscape">
    <w:name w:val="FooterLandscape"/>
    <w:basedOn w:val="Footer"/>
    <w:uiPriority w:val="99"/>
    <w:pPr>
      <w:tabs>
        <w:tab w:val="clear" w:pos="4820"/>
        <w:tab w:val="clear" w:pos="9639"/>
        <w:tab w:val="center" w:pos="11340"/>
        <w:tab w:val="right" w:pos="14572"/>
      </w:tabs>
      <w:spacing w:line="240" w:lineRule="auto"/>
      <w:jc w:val="left"/>
    </w:pPr>
  </w:style>
  <w:style w:type="paragraph" w:customStyle="1" w:styleId="Par-numberA">
    <w:name w:val="Par-number A."/>
    <w:basedOn w:val="Normal"/>
    <w:next w:val="Normal"/>
    <w:uiPriority w:val="99"/>
    <w:pPr>
      <w:numPr>
        <w:numId w:val="9"/>
      </w:numPr>
      <w:tabs>
        <w:tab w:val="num" w:pos="567"/>
      </w:tabs>
      <w:ind w:left="567" w:hanging="567"/>
      <w:jc w:val="left"/>
    </w:pPr>
  </w:style>
  <w:style w:type="paragraph" w:styleId="TOC2">
    <w:name w:val="toc 2"/>
    <w:basedOn w:val="Normal"/>
    <w:next w:val="Normal"/>
    <w:uiPriority w:val="99"/>
    <w:pPr>
      <w:tabs>
        <w:tab w:val="left" w:pos="1134"/>
        <w:tab w:val="right" w:leader="dot" w:pos="9639"/>
      </w:tabs>
      <w:ind w:left="1134" w:right="567" w:hanging="567"/>
      <w:jc w:val="left"/>
    </w:pPr>
  </w:style>
  <w:style w:type="paragraph" w:styleId="TOC3">
    <w:name w:val="toc 3"/>
    <w:basedOn w:val="Normal"/>
    <w:next w:val="Normal"/>
    <w:uiPriority w:val="99"/>
    <w:pPr>
      <w:tabs>
        <w:tab w:val="left" w:pos="1701"/>
        <w:tab w:val="right" w:leader="dot" w:pos="9639"/>
      </w:tabs>
      <w:ind w:left="1701" w:right="567" w:hanging="567"/>
      <w:jc w:val="left"/>
    </w:pPr>
  </w:style>
  <w:style w:type="paragraph" w:styleId="TOC4">
    <w:name w:val="toc 4"/>
    <w:basedOn w:val="Normal"/>
    <w:next w:val="Normal"/>
    <w:uiPriority w:val="99"/>
    <w:pPr>
      <w:tabs>
        <w:tab w:val="left" w:pos="2268"/>
        <w:tab w:val="right" w:pos="9639"/>
      </w:tabs>
      <w:ind w:left="2268" w:right="567" w:hanging="567"/>
      <w:jc w:val="left"/>
    </w:pPr>
  </w:style>
  <w:style w:type="paragraph" w:styleId="TOC5">
    <w:name w:val="toc 5"/>
    <w:basedOn w:val="Normal"/>
    <w:next w:val="Normal"/>
    <w:uiPriority w:val="99"/>
    <w:pPr>
      <w:tabs>
        <w:tab w:val="left" w:pos="2835"/>
        <w:tab w:val="right" w:leader="dot" w:pos="9639"/>
      </w:tabs>
      <w:ind w:left="2835" w:right="567" w:hanging="567"/>
      <w:jc w:val="left"/>
    </w:pPr>
  </w:style>
  <w:style w:type="paragraph" w:styleId="TOC6">
    <w:name w:val="toc 6"/>
    <w:basedOn w:val="Normal"/>
    <w:next w:val="Normal"/>
    <w:uiPriority w:val="99"/>
    <w:pPr>
      <w:tabs>
        <w:tab w:val="left" w:pos="3402"/>
        <w:tab w:val="right" w:leader="dot" w:pos="9639"/>
      </w:tabs>
      <w:ind w:left="3402" w:right="567" w:hanging="567"/>
      <w:jc w:val="left"/>
    </w:pPr>
  </w:style>
  <w:style w:type="paragraph" w:styleId="TOC7">
    <w:name w:val="toc 7"/>
    <w:basedOn w:val="Normal"/>
    <w:next w:val="Normal"/>
    <w:uiPriority w:val="99"/>
    <w:pPr>
      <w:tabs>
        <w:tab w:val="left" w:pos="3969"/>
        <w:tab w:val="right" w:leader="dot" w:pos="9639"/>
      </w:tabs>
      <w:ind w:left="3969" w:right="567" w:hanging="567"/>
      <w:jc w:val="left"/>
    </w:pPr>
  </w:style>
  <w:style w:type="paragraph" w:styleId="TOC8">
    <w:name w:val="toc 8"/>
    <w:basedOn w:val="Normal"/>
    <w:next w:val="Normal"/>
    <w:uiPriority w:val="99"/>
    <w:pPr>
      <w:tabs>
        <w:tab w:val="left" w:pos="4536"/>
        <w:tab w:val="right" w:leader="dot" w:pos="9639"/>
      </w:tabs>
      <w:ind w:left="4536" w:right="567" w:hanging="567"/>
      <w:jc w:val="left"/>
    </w:pPr>
  </w:style>
  <w:style w:type="paragraph" w:styleId="TOC9">
    <w:name w:val="toc 9"/>
    <w:basedOn w:val="Normal"/>
    <w:next w:val="Normal"/>
    <w:uiPriority w:val="99"/>
    <w:pPr>
      <w:tabs>
        <w:tab w:val="left" w:pos="5103"/>
        <w:tab w:val="right" w:leader="dot" w:pos="9639"/>
      </w:tabs>
      <w:ind w:left="5103" w:right="567" w:hanging="567"/>
      <w:jc w:val="left"/>
    </w:pPr>
  </w:style>
  <w:style w:type="paragraph" w:styleId="EndnoteText">
    <w:name w:val="endnote text"/>
    <w:basedOn w:val="Normal"/>
    <w:link w:val="TextkoncovejpoznmkyChar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character" w:customStyle="1" w:styleId="TextkoncovejpoznmkyChar">
    <w:name w:val="Text koncovej poznámky Char"/>
    <w:basedOn w:val="DefaultParagraphFont"/>
    <w:link w:val="EndnoteText"/>
    <w:uiPriority w:val="99"/>
    <w:semiHidden/>
    <w:locked/>
    <w:rPr>
      <w:rFonts w:cs="Times New Roman"/>
      <w:sz w:val="20"/>
      <w:szCs w:val="20"/>
      <w:rtl w:val="0"/>
      <w:cs w:val="0"/>
      <w:lang w:val="x-none" w:eastAsia="fr-BE"/>
    </w:rPr>
  </w:style>
  <w:style w:type="character" w:styleId="EndnoteReference">
    <w:name w:val="endnote reference"/>
    <w:basedOn w:val="DefaultParagraphFont"/>
    <w:uiPriority w:val="99"/>
    <w:rPr>
      <w:rFonts w:cs="Times New Roman"/>
      <w:b/>
      <w:vertAlign w:val="superscript"/>
      <w:rtl w:val="0"/>
      <w:cs w:val="0"/>
    </w:rPr>
  </w:style>
  <w:style w:type="paragraph" w:customStyle="1" w:styleId="AC">
    <w:name w:val="AC"/>
    <w:basedOn w:val="Normal"/>
    <w:next w:val="Normal"/>
    <w:uiPriority w:val="99"/>
    <w:pPr>
      <w:jc w:val="left"/>
    </w:pPr>
    <w:rPr>
      <w:b/>
      <w:sz w:val="4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Par-numberi0">
    <w:name w:val="Par-number (i)"/>
    <w:basedOn w:val="Normal"/>
    <w:next w:val="Normal"/>
    <w:uiPriority w:val="99"/>
    <w:pPr>
      <w:numPr>
        <w:numId w:val="1"/>
      </w:numPr>
      <w:tabs>
        <w:tab w:val="left" w:pos="567"/>
      </w:tabs>
      <w:ind w:left="567" w:hanging="567"/>
      <w:jc w:val="left"/>
    </w:pPr>
  </w:style>
  <w:style w:type="paragraph" w:customStyle="1" w:styleId="Par-numbera0">
    <w:name w:val="Par-number (a)"/>
    <w:basedOn w:val="Normal"/>
    <w:next w:val="Normal"/>
    <w:uiPriority w:val="99"/>
    <w:pPr>
      <w:numPr>
        <w:numId w:val="2"/>
      </w:numPr>
      <w:tabs>
        <w:tab w:val="num" w:pos="567"/>
      </w:tabs>
      <w:ind w:left="567" w:hanging="567"/>
      <w:jc w:val="left"/>
    </w:pPr>
  </w:style>
  <w:style w:type="paragraph" w:customStyle="1" w:styleId="AddReference">
    <w:name w:val="Add Reference"/>
    <w:basedOn w:val="Normal"/>
    <w:uiPriority w:val="99"/>
    <w:rsid w:val="003A4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655" w:right="-454"/>
      <w:jc w:val="left"/>
    </w:pPr>
    <w:rPr>
      <w:i/>
      <w:sz w:val="20"/>
      <w:lang w:val="en-GB" w:eastAsia="en-US"/>
    </w:rPr>
  </w:style>
  <w:style w:type="paragraph" w:customStyle="1" w:styleId="NormalConseil">
    <w:name w:val="NormalConseil"/>
    <w:basedOn w:val="Normal"/>
    <w:uiPriority w:val="99"/>
    <w:rsid w:val="00F41AA2"/>
    <w:pPr>
      <w:widowControl/>
      <w:spacing w:line="240" w:lineRule="auto"/>
      <w:jc w:val="left"/>
    </w:pPr>
    <w:rPr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_GenSK.dot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798</Words>
  <Characters>4864</Characters>
  <Application>Microsoft Office Word</Application>
  <DocSecurity>0</DocSecurity>
  <Lines>0</Lines>
  <Paragraphs>0</Paragraphs>
  <ScaleCrop>false</ScaleCrop>
  <Company>DTI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SYSAKMI</dc:creator>
  <cp:lastModifiedBy>bauml</cp:lastModifiedBy>
  <cp:revision>3</cp:revision>
  <cp:lastPrinted>2013-03-20T13:03:00Z</cp:lastPrinted>
  <dcterms:created xsi:type="dcterms:W3CDTF">2013-01-14T13:15:00Z</dcterms:created>
  <dcterms:modified xsi:type="dcterms:W3CDTF">2013-03-20T13:03:00Z</dcterms:modified>
</cp:coreProperties>
</file>