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31BDF" w:rsidRPr="005E53F3" w:rsidP="00031BDF">
      <w:pPr>
        <w:bidi w:val="0"/>
        <w:ind w:right="-108"/>
        <w:jc w:val="center"/>
        <w:rPr>
          <w:rFonts w:ascii="Times New Roman" w:hAnsi="Times New Roman"/>
          <w:b/>
          <w:bCs/>
          <w:sz w:val="28"/>
          <w:szCs w:val="28"/>
          <w:lang w:eastAsia="cs-CZ"/>
        </w:rPr>
      </w:pPr>
      <w:r w:rsidRPr="005E53F3">
        <w:rPr>
          <w:rFonts w:ascii="Times New Roman" w:hAnsi="Times New Roman"/>
          <w:b/>
          <w:bCs/>
          <w:sz w:val="28"/>
          <w:szCs w:val="28"/>
          <w:lang w:eastAsia="cs-CZ"/>
        </w:rPr>
        <w:t>Doložka vybraných vplyvov</w:t>
      </w:r>
    </w:p>
    <w:p w:rsidR="00031BDF" w:rsidRPr="005E53F3" w:rsidP="00031BDF">
      <w:pPr>
        <w:bidi w:val="0"/>
        <w:rPr>
          <w:rFonts w:ascii="Times New Roman" w:hAnsi="Times New Roman"/>
          <w:b/>
          <w:bCs/>
          <w:sz w:val="24"/>
          <w:szCs w:val="24"/>
          <w:lang w:eastAsia="cs-CZ"/>
        </w:rPr>
      </w:pPr>
    </w:p>
    <w:p w:rsidR="00031BDF" w:rsidP="00895CD2">
      <w:pPr>
        <w:bidi w:val="0"/>
        <w:jc w:val="both"/>
        <w:rPr>
          <w:rFonts w:ascii="Times New Roman" w:hAnsi="Times New Roman"/>
          <w:b/>
          <w:bCs/>
          <w:sz w:val="24"/>
          <w:szCs w:val="24"/>
          <w:lang w:eastAsia="cs-CZ"/>
        </w:rPr>
      </w:pPr>
      <w:r w:rsidRPr="005E53F3">
        <w:rPr>
          <w:rFonts w:ascii="Times New Roman" w:hAnsi="Times New Roman"/>
          <w:b/>
          <w:bCs/>
          <w:sz w:val="24"/>
          <w:szCs w:val="24"/>
          <w:lang w:eastAsia="cs-CZ"/>
        </w:rPr>
        <w:t xml:space="preserve">A.1. Názov materiálu: </w:t>
      </w:r>
    </w:p>
    <w:p w:rsidR="00031BDF" w:rsidRPr="00802BFF" w:rsidP="00031BDF">
      <w:pPr>
        <w:bidi w:val="0"/>
        <w:jc w:val="both"/>
        <w:rPr>
          <w:rFonts w:ascii="Times New Roman" w:hAnsi="Times New Roman"/>
          <w:vanish/>
          <w:sz w:val="24"/>
          <w:szCs w:val="24"/>
        </w:rPr>
      </w:pPr>
      <w:r w:rsidRPr="008B397F">
        <w:rPr>
          <w:rFonts w:ascii="Times New Roman" w:hAnsi="Times New Roman"/>
          <w:sz w:val="24"/>
          <w:szCs w:val="24"/>
        </w:rPr>
        <w:t>Protokol z roku 1992, ktorým sa mení a dopĺňa Medzinárodný dohovor o zriadení medzinárodného fondu na kompenzáciu škôd vzniknutých v dôsledku znečistenia ropnými látkami, 1971 (FUND PROT 1</w:t>
      </w:r>
      <w:r>
        <w:rPr>
          <w:rFonts w:ascii="Times New Roman" w:hAnsi="Times New Roman"/>
          <w:sz w:val="24"/>
          <w:szCs w:val="24"/>
        </w:rPr>
        <w:t>992), Londýn, 27. novembra 1992</w:t>
      </w:r>
      <w:r w:rsidRPr="00802BFF">
        <w:rPr>
          <w:rFonts w:ascii="Times New Roman" w:hAnsi="Times New Roman"/>
          <w:vanish/>
          <w:sz w:val="24"/>
          <w:szCs w:val="24"/>
        </w:rPr>
        <w:t xml:space="preserve">Page Content Obsah stránky </w:t>
      </w:r>
    </w:p>
    <w:p w:rsidR="00031BDF" w:rsidRPr="00787980" w:rsidP="00787980">
      <w:pPr>
        <w:bidi w:val="0"/>
        <w:ind w:right="43"/>
        <w:jc w:val="both"/>
        <w:rPr>
          <w:rFonts w:ascii="Times New Roman" w:hAnsi="Times New Roman"/>
          <w:sz w:val="24"/>
        </w:rPr>
      </w:pPr>
      <w:r w:rsidRPr="00802BFF">
        <w:rPr>
          <w:rFonts w:ascii="MS Mincho" w:eastAsia="MS Mincho" w:hAnsi="MS Mincho" w:cs="MS Mincho" w:hint="eastAsia"/>
          <w:vanish/>
          <w:sz w:val="24"/>
          <w:szCs w:val="24"/>
        </w:rPr>
        <w:t>​</w:t>
      </w:r>
      <w:r w:rsidRPr="00802BFF">
        <w:rPr>
          <w:rFonts w:ascii="Times New Roman" w:hAnsi="Times New Roman"/>
          <w:vanish/>
          <w:sz w:val="24"/>
          <w:szCs w:val="24"/>
        </w:rPr>
        <w:t>The Convention was adopted to ensure that adequate, prompt, and effective compensation is available to persons who suffer damage caused by spills of oil, when carried as fuel in ships' bunkers.</w:t>
      </w:r>
    </w:p>
    <w:p w:rsidR="00031BDF" w:rsidRPr="00AD61C9" w:rsidP="00787980">
      <w:pPr>
        <w:bidi w:val="0"/>
        <w:spacing w:before="120"/>
        <w:rPr>
          <w:rFonts w:ascii="Times New Roman" w:hAnsi="Times New Roman"/>
          <w:bCs/>
          <w:sz w:val="24"/>
          <w:szCs w:val="24"/>
          <w:lang w:eastAsia="cs-CZ"/>
        </w:rPr>
      </w:pPr>
      <w:r w:rsidRPr="005E53F3">
        <w:rPr>
          <w:rFonts w:ascii="Times New Roman" w:hAnsi="Times New Roman"/>
          <w:b/>
          <w:bCs/>
          <w:sz w:val="24"/>
          <w:szCs w:val="24"/>
          <w:lang w:eastAsia="cs-CZ"/>
        </w:rPr>
        <w:t xml:space="preserve">Termín začatia a ukončenia PPK: </w:t>
      </w:r>
      <w:r>
        <w:rPr>
          <w:rFonts w:ascii="Times New Roman" w:hAnsi="Times New Roman"/>
          <w:bCs/>
          <w:sz w:val="24"/>
          <w:szCs w:val="24"/>
          <w:lang w:eastAsia="cs-CZ"/>
        </w:rPr>
        <w:t xml:space="preserve"> 4. – 12.</w:t>
      </w:r>
      <w:r w:rsidR="00895CD2">
        <w:rPr>
          <w:rFonts w:ascii="Times New Roman" w:hAnsi="Times New Roman"/>
          <w:bCs/>
          <w:sz w:val="24"/>
          <w:szCs w:val="24"/>
          <w:lang w:eastAsia="cs-CZ"/>
        </w:rPr>
        <w:t xml:space="preserve"> </w:t>
      </w:r>
      <w:r>
        <w:rPr>
          <w:rFonts w:ascii="Times New Roman" w:hAnsi="Times New Roman"/>
          <w:bCs/>
          <w:sz w:val="24"/>
          <w:szCs w:val="24"/>
          <w:lang w:eastAsia="cs-CZ"/>
        </w:rPr>
        <w:t>10. 2012</w:t>
      </w:r>
    </w:p>
    <w:p w:rsidR="00031BDF" w:rsidRPr="00787980" w:rsidP="00787980">
      <w:pPr>
        <w:bidi w:val="0"/>
        <w:spacing w:before="120"/>
        <w:rPr>
          <w:rFonts w:ascii="Times New Roman" w:hAnsi="Times New Roman"/>
          <w:b/>
          <w:bCs/>
          <w:sz w:val="24"/>
          <w:szCs w:val="24"/>
          <w:lang w:eastAsia="cs-CZ"/>
        </w:rPr>
      </w:pPr>
      <w:r w:rsidRPr="005E53F3">
        <w:rPr>
          <w:rFonts w:ascii="Times New Roman" w:hAnsi="Times New Roman"/>
          <w:b/>
          <w:bCs/>
          <w:sz w:val="24"/>
          <w:szCs w:val="24"/>
          <w:lang w:eastAsia="cs-CZ"/>
        </w:rPr>
        <w:t>A.2. Vplyvy:</w:t>
      </w:r>
    </w:p>
    <w:tbl>
      <w:tblPr>
        <w:tblStyle w:val="TableNormal"/>
        <w:tblW w:w="7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tblPr>
      <w:tblGrid>
        <w:gridCol w:w="3726"/>
        <w:gridCol w:w="1242"/>
        <w:gridCol w:w="1260"/>
        <w:gridCol w:w="1336"/>
      </w:tblGrid>
      <w:tr>
        <w:tblPrEx>
          <w:tblW w:w="7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031BDF" w:rsidRPr="005E53F3" w:rsidP="00F947DA">
            <w:pPr>
              <w:bidi w:val="0"/>
              <w:spacing w:after="0" w:line="240" w:lineRule="auto"/>
              <w:rPr>
                <w:rFonts w:ascii="Times New Roman" w:hAnsi="Times New Roman"/>
                <w:sz w:val="24"/>
                <w:szCs w:val="24"/>
                <w:lang w:eastAsia="cs-CZ"/>
              </w:rPr>
            </w:pPr>
          </w:p>
        </w:tc>
        <w:tc>
          <w:tcPr>
            <w:tcW w:w="1242" w:type="dxa"/>
            <w:tcBorders>
              <w:top w:val="single" w:sz="4" w:space="0" w:color="auto"/>
              <w:left w:val="single" w:sz="4" w:space="0" w:color="auto"/>
              <w:bottom w:val="single" w:sz="4" w:space="0" w:color="auto"/>
              <w:right w:val="single" w:sz="4" w:space="0" w:color="auto"/>
            </w:tcBorders>
            <w:textDirection w:val="lrTb"/>
            <w:vAlign w:val="center"/>
          </w:tcPr>
          <w:p w:rsidR="00031BDF" w:rsidRPr="005E53F3" w:rsidP="00F947DA">
            <w:pPr>
              <w:bidi w:val="0"/>
              <w:spacing w:after="0" w:line="240" w:lineRule="auto"/>
              <w:jc w:val="center"/>
              <w:rPr>
                <w:rFonts w:ascii="Times New Roman" w:hAnsi="Times New Roman"/>
                <w:sz w:val="24"/>
                <w:szCs w:val="24"/>
                <w:lang w:eastAsia="cs-CZ"/>
              </w:rPr>
            </w:pPr>
            <w:r w:rsidRPr="005E53F3">
              <w:rPr>
                <w:rFonts w:ascii="Times New Roman" w:hAnsi="Times New Roman"/>
                <w:sz w:val="24"/>
                <w:szCs w:val="24"/>
                <w:lang w:eastAsia="cs-CZ"/>
              </w:rPr>
              <w:t>Pozitívne</w:t>
            </w:r>
            <w:r w:rsidRPr="005E53F3">
              <w:rPr>
                <w:rFonts w:ascii="Times New Roman" w:hAnsi="Times New Roman"/>
                <w:sz w:val="24"/>
                <w:szCs w:val="24"/>
                <w:vertAlign w:val="superscript"/>
                <w:lang w:eastAsia="cs-CZ"/>
              </w:rPr>
              <w:t>*</w:t>
            </w:r>
            <w:r w:rsidRPr="005E53F3">
              <w:rPr>
                <w:rFonts w:ascii="Times New Roman" w:hAnsi="Times New Roman"/>
                <w:sz w:val="24"/>
                <w:szCs w:val="24"/>
                <w:lang w:eastAsia="cs-CZ"/>
              </w:rPr>
              <w:t xml:space="preserve"> </w:t>
            </w:r>
          </w:p>
        </w:tc>
        <w:tc>
          <w:tcPr>
            <w:tcW w:w="1260" w:type="dxa"/>
            <w:tcBorders>
              <w:top w:val="single" w:sz="4" w:space="0" w:color="auto"/>
              <w:left w:val="single" w:sz="4" w:space="0" w:color="auto"/>
              <w:bottom w:val="single" w:sz="4" w:space="0" w:color="auto"/>
              <w:right w:val="single" w:sz="4" w:space="0" w:color="auto"/>
            </w:tcBorders>
            <w:textDirection w:val="lrTb"/>
            <w:vAlign w:val="center"/>
          </w:tcPr>
          <w:p w:rsidR="00031BDF" w:rsidRPr="005E53F3" w:rsidP="00F947DA">
            <w:pPr>
              <w:bidi w:val="0"/>
              <w:spacing w:after="0" w:line="240" w:lineRule="auto"/>
              <w:jc w:val="center"/>
              <w:rPr>
                <w:rFonts w:ascii="Times New Roman" w:hAnsi="Times New Roman"/>
                <w:sz w:val="24"/>
                <w:szCs w:val="24"/>
                <w:lang w:eastAsia="cs-CZ"/>
              </w:rPr>
            </w:pPr>
            <w:r w:rsidRPr="005E53F3">
              <w:rPr>
                <w:rFonts w:ascii="Times New Roman" w:hAnsi="Times New Roman"/>
                <w:sz w:val="24"/>
                <w:szCs w:val="24"/>
                <w:lang w:eastAsia="cs-CZ"/>
              </w:rPr>
              <w:t>Žiadne</w:t>
            </w:r>
            <w:r w:rsidRPr="005E53F3">
              <w:rPr>
                <w:rFonts w:ascii="Times New Roman" w:hAnsi="Times New Roman"/>
                <w:sz w:val="24"/>
                <w:szCs w:val="24"/>
                <w:vertAlign w:val="superscript"/>
                <w:lang w:eastAsia="cs-CZ"/>
              </w:rPr>
              <w:t>*</w:t>
            </w:r>
          </w:p>
        </w:tc>
        <w:tc>
          <w:tcPr>
            <w:tcW w:w="1336" w:type="dxa"/>
            <w:tcBorders>
              <w:top w:val="single" w:sz="4" w:space="0" w:color="auto"/>
              <w:left w:val="single" w:sz="4" w:space="0" w:color="auto"/>
              <w:bottom w:val="single" w:sz="4" w:space="0" w:color="auto"/>
              <w:right w:val="single" w:sz="4" w:space="0" w:color="auto"/>
            </w:tcBorders>
            <w:textDirection w:val="lrTb"/>
            <w:vAlign w:val="center"/>
          </w:tcPr>
          <w:p w:rsidR="00031BDF" w:rsidRPr="005E53F3" w:rsidP="00F947DA">
            <w:pPr>
              <w:bidi w:val="0"/>
              <w:spacing w:after="0" w:line="240" w:lineRule="auto"/>
              <w:jc w:val="center"/>
              <w:rPr>
                <w:rFonts w:ascii="Times New Roman" w:hAnsi="Times New Roman"/>
                <w:sz w:val="24"/>
                <w:szCs w:val="24"/>
                <w:lang w:eastAsia="cs-CZ"/>
              </w:rPr>
            </w:pPr>
            <w:r w:rsidRPr="005E53F3">
              <w:rPr>
                <w:rFonts w:ascii="Times New Roman" w:hAnsi="Times New Roman"/>
                <w:sz w:val="24"/>
                <w:szCs w:val="24"/>
                <w:lang w:eastAsia="cs-CZ"/>
              </w:rPr>
              <w:t>Negatívne</w:t>
            </w:r>
            <w:r w:rsidRPr="005E53F3">
              <w:rPr>
                <w:rFonts w:ascii="Times New Roman" w:hAnsi="Times New Roman"/>
                <w:sz w:val="24"/>
                <w:szCs w:val="24"/>
                <w:vertAlign w:val="superscript"/>
                <w:lang w:eastAsia="cs-CZ"/>
              </w:rPr>
              <w:t>*</w:t>
            </w:r>
          </w:p>
        </w:tc>
      </w:tr>
      <w:tr>
        <w:tblPrEx>
          <w:tblW w:w="7564" w:type="dxa"/>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031BDF" w:rsidRPr="005E53F3" w:rsidP="00F947DA">
            <w:pPr>
              <w:bidi w:val="0"/>
              <w:spacing w:after="0" w:line="240" w:lineRule="auto"/>
              <w:rPr>
                <w:rFonts w:ascii="Times New Roman" w:hAnsi="Times New Roman"/>
                <w:bCs/>
                <w:szCs w:val="22"/>
                <w:lang w:eastAsia="cs-CZ"/>
              </w:rPr>
            </w:pPr>
            <w:r w:rsidRPr="005E53F3">
              <w:rPr>
                <w:rFonts w:ascii="Times New Roman" w:hAnsi="Times New Roman"/>
                <w:bCs/>
                <w:szCs w:val="22"/>
                <w:lang w:eastAsia="cs-CZ"/>
              </w:rPr>
              <w:t>1. Vplyvy na rozpočet verejnej správy</w:t>
            </w:r>
          </w:p>
          <w:p w:rsidR="00031BDF" w:rsidRPr="005E53F3" w:rsidP="00F947DA">
            <w:pPr>
              <w:bidi w:val="0"/>
              <w:spacing w:after="0" w:line="240" w:lineRule="auto"/>
              <w:rPr>
                <w:rFonts w:ascii="Times New Roman" w:hAnsi="Times New Roman"/>
                <w:i/>
                <w:szCs w:val="22"/>
                <w:lang w:eastAsia="cs-CZ"/>
              </w:rPr>
            </w:pPr>
          </w:p>
        </w:tc>
        <w:tc>
          <w:tcPr>
            <w:tcW w:w="1242" w:type="dxa"/>
            <w:tcBorders>
              <w:top w:val="single" w:sz="4" w:space="0" w:color="auto"/>
              <w:left w:val="single" w:sz="4" w:space="0" w:color="auto"/>
              <w:bottom w:val="single" w:sz="4" w:space="0" w:color="auto"/>
              <w:right w:val="single" w:sz="4" w:space="0" w:color="auto"/>
            </w:tcBorders>
            <w:textDirection w:val="lrTb"/>
            <w:vAlign w:val="top"/>
          </w:tcPr>
          <w:p w:rsidR="00031BDF" w:rsidRPr="005E53F3" w:rsidP="00F947DA">
            <w:pPr>
              <w:bidi w:val="0"/>
              <w:spacing w:after="0" w:line="240" w:lineRule="auto"/>
              <w:jc w:val="center"/>
              <w:rPr>
                <w:rFonts w:ascii="Times New Roman" w:hAnsi="Times New Roman"/>
                <w:sz w:val="24"/>
                <w:szCs w:val="24"/>
                <w:lang w:eastAsia="cs-CZ"/>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031BDF" w:rsidRPr="005E53F3" w:rsidP="00F947DA">
            <w:pPr>
              <w:bidi w:val="0"/>
              <w:spacing w:after="0" w:line="240" w:lineRule="auto"/>
              <w:jc w:val="center"/>
              <w:rPr>
                <w:rFonts w:ascii="Times New Roman" w:hAnsi="Times New Roman"/>
                <w:sz w:val="24"/>
                <w:szCs w:val="24"/>
                <w:lang w:eastAsia="cs-CZ"/>
              </w:rPr>
            </w:pPr>
            <w:r w:rsidRPr="005E53F3">
              <w:rPr>
                <w:rFonts w:ascii="Times New Roman" w:hAnsi="Times New Roman"/>
                <w:sz w:val="24"/>
                <w:szCs w:val="24"/>
                <w:lang w:eastAsia="cs-CZ"/>
              </w:rPr>
              <w:t>x</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031BDF" w:rsidRPr="005E53F3" w:rsidP="00F947DA">
            <w:pPr>
              <w:bidi w:val="0"/>
              <w:spacing w:after="0" w:line="240" w:lineRule="auto"/>
              <w:jc w:val="center"/>
              <w:rPr>
                <w:rFonts w:ascii="Times New Roman" w:hAnsi="Times New Roman"/>
                <w:sz w:val="24"/>
                <w:szCs w:val="24"/>
                <w:lang w:eastAsia="cs-CZ"/>
              </w:rPr>
            </w:pPr>
          </w:p>
        </w:tc>
      </w:tr>
      <w:tr>
        <w:tblPrEx>
          <w:tblW w:w="7564" w:type="dxa"/>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031BDF" w:rsidRPr="005E53F3" w:rsidP="00F947DA">
            <w:pPr>
              <w:bidi w:val="0"/>
              <w:spacing w:after="0" w:line="240" w:lineRule="auto"/>
              <w:rPr>
                <w:rFonts w:ascii="Times New Roman" w:hAnsi="Times New Roman"/>
                <w:szCs w:val="22"/>
                <w:lang w:eastAsia="cs-CZ"/>
              </w:rPr>
            </w:pPr>
            <w:r w:rsidRPr="005E53F3">
              <w:rPr>
                <w:rFonts w:ascii="Times New Roman" w:hAnsi="Times New Roman"/>
                <w:bCs/>
                <w:szCs w:val="22"/>
                <w:lang w:eastAsia="cs-CZ"/>
              </w:rPr>
              <w:t>2. Vplyvy na podnikateľské prostredie – dochádza k zvýšeniu regulačného zaťaženia?</w:t>
            </w:r>
          </w:p>
        </w:tc>
        <w:tc>
          <w:tcPr>
            <w:tcW w:w="1242" w:type="dxa"/>
            <w:tcBorders>
              <w:top w:val="single" w:sz="4" w:space="0" w:color="auto"/>
              <w:left w:val="single" w:sz="4" w:space="0" w:color="auto"/>
              <w:bottom w:val="single" w:sz="4" w:space="0" w:color="auto"/>
              <w:right w:val="single" w:sz="4" w:space="0" w:color="auto"/>
            </w:tcBorders>
            <w:textDirection w:val="lrTb"/>
            <w:vAlign w:val="top"/>
          </w:tcPr>
          <w:p w:rsidR="00031BDF" w:rsidRPr="005E53F3" w:rsidP="00F947DA">
            <w:pPr>
              <w:bidi w:val="0"/>
              <w:spacing w:after="0" w:line="240" w:lineRule="auto"/>
              <w:jc w:val="center"/>
              <w:rPr>
                <w:rFonts w:ascii="Times New Roman" w:hAnsi="Times New Roman"/>
                <w:sz w:val="24"/>
                <w:szCs w:val="24"/>
                <w:lang w:eastAsia="cs-CZ"/>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031BDF" w:rsidRPr="005E53F3" w:rsidP="00F947DA">
            <w:pPr>
              <w:bidi w:val="0"/>
              <w:spacing w:after="0" w:line="240" w:lineRule="auto"/>
              <w:jc w:val="center"/>
              <w:rPr>
                <w:rFonts w:ascii="Times New Roman" w:hAnsi="Times New Roman"/>
                <w:sz w:val="24"/>
                <w:szCs w:val="24"/>
                <w:lang w:eastAsia="cs-CZ"/>
              </w:rPr>
            </w:pPr>
            <w:r w:rsidRPr="005E53F3">
              <w:rPr>
                <w:rFonts w:ascii="Times New Roman" w:hAnsi="Times New Roman"/>
                <w:sz w:val="24"/>
                <w:szCs w:val="24"/>
                <w:lang w:eastAsia="cs-CZ"/>
              </w:rPr>
              <w:t>x</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031BDF" w:rsidRPr="005E53F3" w:rsidP="00F947DA">
            <w:pPr>
              <w:bidi w:val="0"/>
              <w:spacing w:after="0" w:line="240" w:lineRule="auto"/>
              <w:jc w:val="center"/>
              <w:rPr>
                <w:rFonts w:ascii="Times New Roman" w:hAnsi="Times New Roman"/>
                <w:sz w:val="24"/>
                <w:szCs w:val="24"/>
                <w:lang w:eastAsia="cs-CZ"/>
              </w:rPr>
            </w:pPr>
          </w:p>
        </w:tc>
      </w:tr>
      <w:tr>
        <w:tblPrEx>
          <w:tblW w:w="7564" w:type="dxa"/>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031BDF" w:rsidRPr="005E53F3" w:rsidP="00F947DA">
            <w:pPr>
              <w:bidi w:val="0"/>
              <w:spacing w:after="0" w:line="240" w:lineRule="auto"/>
              <w:rPr>
                <w:rFonts w:ascii="Times New Roman" w:hAnsi="Times New Roman"/>
                <w:bCs/>
                <w:szCs w:val="22"/>
                <w:lang w:eastAsia="cs-CZ"/>
              </w:rPr>
            </w:pPr>
            <w:r w:rsidRPr="005E53F3">
              <w:rPr>
                <w:rFonts w:ascii="Times New Roman" w:hAnsi="Times New Roman"/>
                <w:bCs/>
                <w:szCs w:val="22"/>
                <w:lang w:eastAsia="cs-CZ"/>
              </w:rPr>
              <w:t xml:space="preserve">3, Sociálne vplyvy </w:t>
            </w:r>
          </w:p>
          <w:p w:rsidR="00031BDF" w:rsidRPr="005E53F3" w:rsidP="00F947DA">
            <w:pPr>
              <w:bidi w:val="0"/>
              <w:spacing w:after="0" w:line="240" w:lineRule="auto"/>
              <w:rPr>
                <w:rFonts w:ascii="Times New Roman" w:hAnsi="Times New Roman"/>
                <w:bCs/>
                <w:szCs w:val="22"/>
                <w:lang w:eastAsia="cs-CZ"/>
              </w:rPr>
            </w:pPr>
            <w:r w:rsidRPr="005E53F3">
              <w:rPr>
                <w:rFonts w:ascii="Times New Roman" w:hAnsi="Times New Roman"/>
                <w:bCs/>
                <w:szCs w:val="22"/>
                <w:lang w:eastAsia="cs-CZ"/>
              </w:rPr>
              <w:t>– vplyvy  na hospodárenie obyvateľstva,</w:t>
            </w:r>
          </w:p>
          <w:p w:rsidR="00031BDF" w:rsidRPr="005E53F3" w:rsidP="00F947DA">
            <w:pPr>
              <w:bidi w:val="0"/>
              <w:spacing w:after="0" w:line="240" w:lineRule="auto"/>
              <w:rPr>
                <w:rFonts w:ascii="Times New Roman" w:hAnsi="Times New Roman"/>
                <w:bCs/>
                <w:szCs w:val="22"/>
                <w:lang w:eastAsia="cs-CZ"/>
              </w:rPr>
            </w:pPr>
            <w:r w:rsidRPr="005E53F3">
              <w:rPr>
                <w:rFonts w:ascii="Times New Roman" w:hAnsi="Times New Roman"/>
                <w:bCs/>
                <w:szCs w:val="22"/>
                <w:lang w:eastAsia="cs-CZ"/>
              </w:rPr>
              <w:t>-sociálnu exklúziu,</w:t>
            </w:r>
          </w:p>
          <w:p w:rsidR="00031BDF" w:rsidRPr="005E53F3" w:rsidP="00F947DA">
            <w:pPr>
              <w:bidi w:val="0"/>
              <w:spacing w:after="0" w:line="240" w:lineRule="auto"/>
              <w:rPr>
                <w:rFonts w:ascii="Times New Roman" w:hAnsi="Times New Roman"/>
                <w:szCs w:val="22"/>
                <w:lang w:eastAsia="cs-CZ"/>
              </w:rPr>
            </w:pPr>
            <w:r w:rsidRPr="005E53F3">
              <w:rPr>
                <w:rFonts w:ascii="Times New Roman" w:hAnsi="Times New Roman"/>
                <w:bCs/>
                <w:szCs w:val="22"/>
                <w:lang w:eastAsia="cs-CZ"/>
              </w:rPr>
              <w:t>-  rovnosť príležitostí a rodovú rovnosť a vplyvy na zamestnanosť</w:t>
            </w:r>
          </w:p>
        </w:tc>
        <w:tc>
          <w:tcPr>
            <w:tcW w:w="1242" w:type="dxa"/>
            <w:tcBorders>
              <w:top w:val="single" w:sz="4" w:space="0" w:color="auto"/>
              <w:left w:val="single" w:sz="4" w:space="0" w:color="auto"/>
              <w:bottom w:val="single" w:sz="4" w:space="0" w:color="auto"/>
              <w:right w:val="single" w:sz="4" w:space="0" w:color="auto"/>
            </w:tcBorders>
            <w:textDirection w:val="lrTb"/>
            <w:vAlign w:val="top"/>
          </w:tcPr>
          <w:p w:rsidR="00031BDF" w:rsidRPr="005E53F3" w:rsidP="00F947DA">
            <w:pPr>
              <w:bidi w:val="0"/>
              <w:spacing w:after="0" w:line="240" w:lineRule="auto"/>
              <w:jc w:val="center"/>
              <w:rPr>
                <w:rFonts w:ascii="Times New Roman" w:hAnsi="Times New Roman"/>
                <w:sz w:val="24"/>
                <w:szCs w:val="24"/>
                <w:lang w:eastAsia="cs-CZ"/>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031BDF" w:rsidRPr="005E53F3" w:rsidP="00F947DA">
            <w:pPr>
              <w:bidi w:val="0"/>
              <w:spacing w:after="0" w:line="240" w:lineRule="auto"/>
              <w:jc w:val="center"/>
              <w:rPr>
                <w:rFonts w:ascii="Times New Roman" w:hAnsi="Times New Roman"/>
                <w:sz w:val="24"/>
                <w:szCs w:val="24"/>
                <w:lang w:eastAsia="cs-CZ"/>
              </w:rPr>
            </w:pPr>
            <w:r w:rsidRPr="005E53F3">
              <w:rPr>
                <w:rFonts w:ascii="Times New Roman" w:hAnsi="Times New Roman"/>
                <w:sz w:val="24"/>
                <w:szCs w:val="24"/>
                <w:lang w:eastAsia="cs-CZ"/>
              </w:rPr>
              <w:t>x</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031BDF" w:rsidRPr="005E53F3" w:rsidP="00F947DA">
            <w:pPr>
              <w:bidi w:val="0"/>
              <w:spacing w:after="0" w:line="240" w:lineRule="auto"/>
              <w:jc w:val="center"/>
              <w:rPr>
                <w:rFonts w:ascii="Times New Roman" w:hAnsi="Times New Roman"/>
                <w:sz w:val="24"/>
                <w:szCs w:val="24"/>
                <w:lang w:eastAsia="cs-CZ"/>
              </w:rPr>
            </w:pPr>
          </w:p>
        </w:tc>
      </w:tr>
      <w:tr>
        <w:tblPrEx>
          <w:tblW w:w="7564" w:type="dxa"/>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031BDF" w:rsidRPr="005E53F3" w:rsidP="00F947DA">
            <w:pPr>
              <w:bidi w:val="0"/>
              <w:spacing w:after="0" w:line="240" w:lineRule="auto"/>
              <w:rPr>
                <w:rFonts w:ascii="Times New Roman" w:hAnsi="Times New Roman"/>
                <w:szCs w:val="22"/>
                <w:lang w:eastAsia="cs-CZ"/>
              </w:rPr>
            </w:pPr>
            <w:r w:rsidRPr="005E53F3">
              <w:rPr>
                <w:rFonts w:ascii="Times New Roman" w:hAnsi="Times New Roman"/>
                <w:bCs/>
                <w:szCs w:val="22"/>
                <w:lang w:val="pt-BR" w:eastAsia="cs-CZ"/>
              </w:rPr>
              <w:t>4. Vplyvy na životné prostredie</w:t>
            </w:r>
          </w:p>
        </w:tc>
        <w:tc>
          <w:tcPr>
            <w:tcW w:w="1242" w:type="dxa"/>
            <w:tcBorders>
              <w:top w:val="single" w:sz="4" w:space="0" w:color="auto"/>
              <w:left w:val="single" w:sz="4" w:space="0" w:color="auto"/>
              <w:bottom w:val="single" w:sz="4" w:space="0" w:color="auto"/>
              <w:right w:val="single" w:sz="4" w:space="0" w:color="auto"/>
            </w:tcBorders>
            <w:textDirection w:val="lrTb"/>
            <w:vAlign w:val="top"/>
          </w:tcPr>
          <w:p w:rsidR="00031BDF" w:rsidRPr="005E53F3" w:rsidP="00F947DA">
            <w:pPr>
              <w:bidi w:val="0"/>
              <w:spacing w:after="0" w:line="240" w:lineRule="auto"/>
              <w:jc w:val="center"/>
              <w:rPr>
                <w:rFonts w:ascii="Times New Roman" w:hAnsi="Times New Roman"/>
                <w:sz w:val="24"/>
                <w:szCs w:val="24"/>
                <w:lang w:eastAsia="cs-CZ"/>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031BDF" w:rsidRPr="005E53F3" w:rsidP="00F947DA">
            <w:pPr>
              <w:bidi w:val="0"/>
              <w:spacing w:after="0" w:line="240" w:lineRule="auto"/>
              <w:jc w:val="center"/>
              <w:rPr>
                <w:rFonts w:ascii="Times New Roman" w:hAnsi="Times New Roman"/>
                <w:sz w:val="24"/>
                <w:szCs w:val="24"/>
                <w:lang w:eastAsia="cs-CZ"/>
              </w:rPr>
            </w:pPr>
            <w:r w:rsidRPr="005E53F3">
              <w:rPr>
                <w:rFonts w:ascii="Times New Roman" w:hAnsi="Times New Roman"/>
                <w:sz w:val="24"/>
                <w:szCs w:val="24"/>
                <w:lang w:eastAsia="cs-CZ"/>
              </w:rPr>
              <w:t>x</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031BDF" w:rsidRPr="005E53F3" w:rsidP="00F947DA">
            <w:pPr>
              <w:bidi w:val="0"/>
              <w:spacing w:after="0" w:line="240" w:lineRule="auto"/>
              <w:jc w:val="center"/>
              <w:rPr>
                <w:rFonts w:ascii="Times New Roman" w:hAnsi="Times New Roman"/>
                <w:sz w:val="24"/>
                <w:szCs w:val="24"/>
                <w:lang w:eastAsia="cs-CZ"/>
              </w:rPr>
            </w:pPr>
          </w:p>
        </w:tc>
      </w:tr>
      <w:tr>
        <w:tblPrEx>
          <w:tblW w:w="7564" w:type="dxa"/>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031BDF" w:rsidRPr="005E53F3" w:rsidP="00F947DA">
            <w:pPr>
              <w:bidi w:val="0"/>
              <w:spacing w:after="0" w:line="240" w:lineRule="auto"/>
              <w:rPr>
                <w:rFonts w:ascii="Times New Roman" w:hAnsi="Times New Roman"/>
                <w:bCs/>
                <w:szCs w:val="22"/>
                <w:lang w:val="pt-BR" w:eastAsia="cs-CZ"/>
              </w:rPr>
            </w:pPr>
            <w:r w:rsidRPr="005E53F3">
              <w:rPr>
                <w:rFonts w:ascii="Times New Roman" w:hAnsi="Times New Roman"/>
                <w:bCs/>
                <w:szCs w:val="22"/>
                <w:lang w:val="pt-BR" w:eastAsia="cs-CZ"/>
              </w:rPr>
              <w:t>5. Vplyvy na informatizáciu spoločnosti</w:t>
            </w:r>
          </w:p>
        </w:tc>
        <w:tc>
          <w:tcPr>
            <w:tcW w:w="1242" w:type="dxa"/>
            <w:tcBorders>
              <w:top w:val="single" w:sz="4" w:space="0" w:color="auto"/>
              <w:left w:val="single" w:sz="4" w:space="0" w:color="auto"/>
              <w:bottom w:val="single" w:sz="4" w:space="0" w:color="auto"/>
              <w:right w:val="single" w:sz="4" w:space="0" w:color="auto"/>
            </w:tcBorders>
            <w:textDirection w:val="lrTb"/>
            <w:vAlign w:val="top"/>
          </w:tcPr>
          <w:p w:rsidR="00031BDF" w:rsidRPr="005E53F3" w:rsidP="00F947DA">
            <w:pPr>
              <w:bidi w:val="0"/>
              <w:spacing w:after="0" w:line="240" w:lineRule="auto"/>
              <w:jc w:val="center"/>
              <w:rPr>
                <w:rFonts w:ascii="Times New Roman" w:hAnsi="Times New Roman"/>
                <w:sz w:val="24"/>
                <w:szCs w:val="24"/>
                <w:lang w:eastAsia="cs-CZ"/>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031BDF" w:rsidRPr="005E53F3" w:rsidP="00F947DA">
            <w:pPr>
              <w:bidi w:val="0"/>
              <w:spacing w:after="0" w:line="240" w:lineRule="auto"/>
              <w:jc w:val="center"/>
              <w:rPr>
                <w:rFonts w:ascii="Times New Roman" w:hAnsi="Times New Roman"/>
                <w:sz w:val="24"/>
                <w:szCs w:val="24"/>
                <w:lang w:eastAsia="cs-CZ"/>
              </w:rPr>
            </w:pPr>
            <w:r w:rsidRPr="005E53F3">
              <w:rPr>
                <w:rFonts w:ascii="Times New Roman" w:hAnsi="Times New Roman"/>
                <w:sz w:val="24"/>
                <w:szCs w:val="24"/>
                <w:lang w:eastAsia="cs-CZ"/>
              </w:rPr>
              <w:t>x</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031BDF" w:rsidRPr="005E53F3" w:rsidP="00F947DA">
            <w:pPr>
              <w:bidi w:val="0"/>
              <w:spacing w:after="0" w:line="240" w:lineRule="auto"/>
              <w:jc w:val="center"/>
              <w:rPr>
                <w:rFonts w:ascii="Times New Roman" w:hAnsi="Times New Roman"/>
                <w:sz w:val="24"/>
                <w:szCs w:val="24"/>
                <w:lang w:eastAsia="cs-CZ"/>
              </w:rPr>
            </w:pPr>
          </w:p>
        </w:tc>
      </w:tr>
    </w:tbl>
    <w:p w:rsidR="00031BDF" w:rsidRPr="005E53F3" w:rsidP="00787980">
      <w:pPr>
        <w:bidi w:val="0"/>
        <w:spacing w:before="120"/>
        <w:jc w:val="both"/>
        <w:rPr>
          <w:rFonts w:ascii="Times New Roman" w:hAnsi="Times New Roman"/>
          <w:b/>
          <w:bCs/>
          <w:sz w:val="24"/>
          <w:szCs w:val="24"/>
          <w:lang w:eastAsia="cs-CZ"/>
        </w:rPr>
      </w:pPr>
      <w:r w:rsidRPr="005E53F3">
        <w:rPr>
          <w:rFonts w:ascii="Times New Roman" w:hAnsi="Times New Roman"/>
          <w:b/>
          <w:bCs/>
          <w:sz w:val="24"/>
          <w:szCs w:val="24"/>
          <w:lang w:eastAsia="cs-CZ"/>
        </w:rPr>
        <w:t>A.3. Poznámky</w:t>
      </w:r>
    </w:p>
    <w:p w:rsidR="00031BDF" w:rsidRPr="00895CD2" w:rsidP="00031BDF">
      <w:pPr>
        <w:bidi w:val="0"/>
        <w:jc w:val="both"/>
        <w:rPr>
          <w:rStyle w:val="FontStyle16"/>
          <w:rFonts w:ascii="Times New Roman" w:hAnsi="Times New Roman" w:cs="Times New Roman"/>
          <w:sz w:val="24"/>
          <w:lang w:eastAsia="en-US"/>
        </w:rPr>
      </w:pPr>
      <w:r w:rsidRPr="00895CD2">
        <w:rPr>
          <w:rFonts w:ascii="Times New Roman" w:hAnsi="Times New Roman"/>
          <w:sz w:val="24"/>
          <w:szCs w:val="24"/>
          <w:lang w:eastAsia="cs-CZ"/>
        </w:rPr>
        <w:t xml:space="preserve">Podľa čl. 10 </w:t>
      </w:r>
      <w:r w:rsidRPr="00895CD2">
        <w:rPr>
          <w:rFonts w:ascii="Times New Roman" w:hAnsi="Times New Roman"/>
          <w:sz w:val="24"/>
          <w:szCs w:val="24"/>
        </w:rPr>
        <w:t xml:space="preserve">Protokolu z roku 1992, ktorým sa mení a dopĺňa Medzinárodný dohovor </w:t>
      </w:r>
      <w:r w:rsidR="00787980">
        <w:rPr>
          <w:rFonts w:ascii="Times New Roman" w:hAnsi="Times New Roman"/>
          <w:sz w:val="24"/>
          <w:szCs w:val="24"/>
        </w:rPr>
        <w:br/>
      </w:r>
      <w:r w:rsidRPr="00895CD2">
        <w:rPr>
          <w:rFonts w:ascii="Times New Roman" w:hAnsi="Times New Roman"/>
          <w:sz w:val="24"/>
          <w:szCs w:val="24"/>
        </w:rPr>
        <w:t>o zriadení medzinárodného fondu na kompenzáciu škôd vzniknutých v dôsledku znečistenia ropnými látkami, 1971 (FUND PROT 1992) r</w:t>
      </w:r>
      <w:r w:rsidRPr="00895CD2">
        <w:rPr>
          <w:rStyle w:val="FontStyle16"/>
          <w:rFonts w:ascii="Times New Roman" w:hAnsi="Times New Roman" w:cs="Times New Roman"/>
          <w:sz w:val="24"/>
          <w:szCs w:val="24"/>
          <w:lang w:eastAsia="en-US"/>
        </w:rPr>
        <w:t xml:space="preserve">očné príspevky do </w:t>
      </w:r>
      <w:r w:rsidRPr="00895CD2">
        <w:rPr>
          <w:rStyle w:val="FontStyle27"/>
          <w:rFonts w:ascii="Times New Roman" w:hAnsi="Times New Roman" w:cs="Times New Roman"/>
          <w:sz w:val="24"/>
          <w:szCs w:val="24"/>
          <w:lang w:eastAsia="en-US"/>
        </w:rPr>
        <w:t>medzinárodného fondu na kompenzáciu škôd vznikajúcich v dôsledku znečistenia ropnými látkami (ďalej len „fond“)</w:t>
      </w:r>
      <w:r w:rsidRPr="00895CD2">
        <w:rPr>
          <w:rStyle w:val="FontStyle16"/>
          <w:rFonts w:ascii="Times New Roman" w:hAnsi="Times New Roman" w:cs="Times New Roman"/>
          <w:sz w:val="24"/>
          <w:szCs w:val="24"/>
          <w:lang w:eastAsia="en-US"/>
        </w:rPr>
        <w:t xml:space="preserve"> platí za každý zmluvný štát každá osoba, ktorá v priebehu kalendárneho roku uvedeného </w:t>
      </w:r>
      <w:r w:rsidR="00787980">
        <w:rPr>
          <w:rStyle w:val="FontStyle16"/>
          <w:rFonts w:ascii="Times New Roman" w:hAnsi="Times New Roman" w:cs="Times New Roman"/>
          <w:sz w:val="24"/>
          <w:szCs w:val="24"/>
          <w:lang w:eastAsia="en-US"/>
        </w:rPr>
        <w:br/>
      </w:r>
      <w:r w:rsidRPr="00895CD2">
        <w:rPr>
          <w:rStyle w:val="FontStyle16"/>
          <w:rFonts w:ascii="Times New Roman" w:hAnsi="Times New Roman" w:cs="Times New Roman"/>
          <w:sz w:val="24"/>
          <w:szCs w:val="24"/>
          <w:lang w:eastAsia="en-US"/>
        </w:rPr>
        <w:t>v článku 12 ods. 2 písm. a) alebo b) prijala v celkových množstvách prekračujúcich 150.000 ton v prístavoch alebo v zariadeniach terminálov na území daného štátu ropnú látku</w:t>
      </w:r>
      <w:r w:rsidRPr="00895CD2">
        <w:rPr>
          <w:rStyle w:val="FontStyle16"/>
          <w:rFonts w:ascii="Times New Roman" w:hAnsi="Times New Roman" w:cs="Times New Roman"/>
          <w:sz w:val="24"/>
          <w:lang w:eastAsia="en-US"/>
        </w:rPr>
        <w:t xml:space="preserve">, za ktorú sa platia príspevky, prepravenú po mori do týchto prístavov a zariadení terminálov </w:t>
      </w:r>
      <w:r w:rsidR="00787980">
        <w:rPr>
          <w:rStyle w:val="FontStyle16"/>
          <w:rFonts w:ascii="Times New Roman" w:hAnsi="Times New Roman" w:cs="Times New Roman"/>
          <w:sz w:val="24"/>
          <w:lang w:eastAsia="en-US"/>
        </w:rPr>
        <w:br/>
      </w:r>
      <w:r w:rsidRPr="00895CD2">
        <w:rPr>
          <w:rStyle w:val="FontStyle16"/>
          <w:rFonts w:ascii="Times New Roman" w:hAnsi="Times New Roman" w:cs="Times New Roman"/>
          <w:sz w:val="24"/>
          <w:lang w:eastAsia="en-US"/>
        </w:rPr>
        <w:t>a v akýchkoľvek zariadeniach nachádzajúcich sa na území daného zmluvného štátu ropnú látku, za ktorú sa platia príspevky, prepravenú po mori a vyloženú v prístave alebo zariadení terminálu niektorého nezmluvného štátu, za predpokladu, že ropná látka, za ktorú sa platia príspevky, sa na základe tohto pododseku berie do úvahy len pri prvom prevzatí v zmluvnom štáte po jej vyložení v uvedenom nezmluvnom štáte.</w:t>
      </w:r>
    </w:p>
    <w:p w:rsidR="004C0EE4" w:rsidRPr="00787980" w:rsidP="00787980">
      <w:pPr>
        <w:bidi w:val="0"/>
        <w:jc w:val="both"/>
        <w:rPr>
          <w:rFonts w:ascii="Times New Roman" w:hAnsi="Times New Roman"/>
          <w:color w:val="000000"/>
          <w:sz w:val="24"/>
          <w:szCs w:val="24"/>
        </w:rPr>
      </w:pPr>
      <w:r w:rsidRPr="00895CD2" w:rsidR="00031BDF">
        <w:rPr>
          <w:rFonts w:ascii="Times New Roman" w:hAnsi="Times New Roman"/>
          <w:sz w:val="24"/>
          <w:szCs w:val="24"/>
        </w:rPr>
        <w:t xml:space="preserve">FUND </w:t>
      </w:r>
      <w:r w:rsidRPr="00895CD2" w:rsidR="00031BDF">
        <w:rPr>
          <w:rFonts w:ascii="Times New Roman" w:hAnsi="Times New Roman"/>
          <w:bCs/>
          <w:sz w:val="24"/>
          <w:szCs w:val="24"/>
          <w:lang w:eastAsia="en-US"/>
        </w:rPr>
        <w:t xml:space="preserve">protokol 1992 </w:t>
      </w:r>
      <w:r w:rsidRPr="00895CD2" w:rsidR="00031BDF">
        <w:rPr>
          <w:rFonts w:ascii="Times New Roman" w:hAnsi="Times New Roman"/>
          <w:sz w:val="24"/>
          <w:szCs w:val="24"/>
        </w:rPr>
        <w:t>sa vzťahuje len na územie pobrežného štátu vrátane pobrežného mora a oblasti výlučnej ekonomickej zóny. Slovenská republika má v rámci rezortu obmedzené možnosti priamo sa podieľať na rokovaniach zhromaždenia fondu, účasť Slovenskej republiky na rokovaniach zhromaždenia fondu budú tvoriť zástupcovia Veľvyslanectva Slovenskej republiky v Londýne. Finančné náklady spojené s</w:t>
      </w:r>
      <w:r w:rsidRPr="00895CD2" w:rsidR="00031BDF">
        <w:rPr>
          <w:rFonts w:ascii="Times New Roman" w:hAnsi="Times New Roman"/>
          <w:color w:val="000000"/>
          <w:sz w:val="24"/>
          <w:szCs w:val="24"/>
        </w:rPr>
        <w:t> účasťou zástupcov Slovenskej republiky na zhromaždení fondu sa nepredpokladajú.</w:t>
      </w:r>
    </w:p>
    <w:p w:rsidR="002C3036" w:rsidRPr="005E53F3" w:rsidP="00787980">
      <w:pPr>
        <w:bidi w:val="0"/>
        <w:spacing w:before="120"/>
        <w:jc w:val="both"/>
        <w:rPr>
          <w:rFonts w:ascii="Times New Roman" w:hAnsi="Times New Roman"/>
          <w:b/>
          <w:sz w:val="24"/>
          <w:szCs w:val="24"/>
          <w:lang w:eastAsia="cs-CZ"/>
        </w:rPr>
      </w:pPr>
      <w:r w:rsidRPr="005E53F3">
        <w:rPr>
          <w:rFonts w:ascii="Times New Roman" w:hAnsi="Times New Roman"/>
          <w:b/>
          <w:sz w:val="24"/>
          <w:szCs w:val="24"/>
          <w:lang w:eastAsia="cs-CZ"/>
        </w:rPr>
        <w:t>A.4. Alternatívne riešenia</w:t>
      </w:r>
    </w:p>
    <w:p w:rsidR="002C3036" w:rsidRPr="005E53F3" w:rsidP="002C3036">
      <w:pPr>
        <w:bidi w:val="0"/>
        <w:rPr>
          <w:rFonts w:ascii="Times New Roman" w:hAnsi="Times New Roman"/>
          <w:b/>
          <w:sz w:val="24"/>
          <w:szCs w:val="24"/>
          <w:lang w:eastAsia="cs-CZ"/>
        </w:rPr>
      </w:pPr>
    </w:p>
    <w:p w:rsidR="002C3036" w:rsidRPr="005E53F3" w:rsidP="002C3036">
      <w:pPr>
        <w:bidi w:val="0"/>
        <w:rPr>
          <w:rFonts w:ascii="Times New Roman" w:hAnsi="Times New Roman"/>
          <w:b/>
          <w:sz w:val="24"/>
          <w:szCs w:val="24"/>
          <w:lang w:eastAsia="cs-CZ"/>
        </w:rPr>
      </w:pPr>
      <w:r w:rsidRPr="005E53F3">
        <w:rPr>
          <w:rFonts w:ascii="Times New Roman" w:hAnsi="Times New Roman"/>
          <w:b/>
          <w:sz w:val="24"/>
          <w:szCs w:val="24"/>
          <w:lang w:eastAsia="cs-CZ"/>
        </w:rPr>
        <w:t>A.5. Stanovisko gestorov</w:t>
      </w:r>
    </w:p>
    <w:p w:rsidR="00787980" w:rsidP="002C3036">
      <w:pPr>
        <w:pStyle w:val="Title"/>
        <w:bidi w:val="0"/>
        <w:jc w:val="left"/>
        <w:rPr>
          <w:rFonts w:ascii="Times New Roman" w:hAnsi="Times New Roman"/>
          <w:b w:val="0"/>
          <w:u w:val="none"/>
          <w:lang w:val="sk-SK"/>
        </w:rPr>
      </w:pPr>
      <w:r>
        <w:rPr>
          <w:rFonts w:ascii="Times New Roman" w:hAnsi="Times New Roman"/>
          <w:b w:val="0"/>
          <w:u w:val="none"/>
          <w:lang w:val="sk-SK"/>
        </w:rPr>
        <w:t>MF SR, MH SR, MŽP SR, MPSVR SR – bez pripomienok.</w:t>
      </w: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MS Mincho">
    <w:altName w:val="?l?r ??fc"/>
    <w:panose1 w:val="02020609040205080304"/>
    <w:charset w:val="80"/>
    <w:family w:val="modern"/>
    <w:pitch w:val="fixed"/>
    <w:sig w:usb0="00000000" w:usb1="00000000" w:usb2="00000000" w:usb3="00000000" w:csb0="0002009F" w:csb1="00000000"/>
  </w:font>
  <w:font w:name="Cambria Math">
    <w:panose1 w:val="02040503050406030204"/>
    <w:charset w:val="EE"/>
    <w:family w:val="roman"/>
    <w:pitch w:val="variable"/>
    <w:sig w:usb0="00000000" w:usb1="00000000" w:usb2="00000000" w:usb3="00000000" w:csb0="0000019F" w:csb1="00000000"/>
  </w:font>
  <w:font w:name="@MS Mincho">
    <w:panose1 w:val="00000000000000000000"/>
    <w:charset w:val="80"/>
    <w:family w:val="modern"/>
    <w:pitch w:val="fixed"/>
    <w:sig w:usb0="00000000" w:usb1="00000000" w:usb2="00000000" w:usb3="00000000" w:csb0="0002009F" w:csb1="00000000"/>
  </w:font>
  <w:font w:name="Garamond">
    <w:panose1 w:val="00000000000000000000"/>
    <w:charset w:val="EE"/>
    <w:family w:val="roman"/>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031BDF"/>
    <w:rsid w:val="00031BDF"/>
    <w:rsid w:val="001057EF"/>
    <w:rsid w:val="002524CF"/>
    <w:rsid w:val="002C3036"/>
    <w:rsid w:val="004C089A"/>
    <w:rsid w:val="004C0EE4"/>
    <w:rsid w:val="005E53F3"/>
    <w:rsid w:val="00787980"/>
    <w:rsid w:val="00802BFF"/>
    <w:rsid w:val="00895CD2"/>
    <w:rsid w:val="008B397F"/>
    <w:rsid w:val="00A804FE"/>
    <w:rsid w:val="00AD61C9"/>
    <w:rsid w:val="00B14015"/>
    <w:rsid w:val="00B861E8"/>
    <w:rsid w:val="00BC6DB4"/>
    <w:rsid w:val="00CD3DE6"/>
    <w:rsid w:val="00DE54AF"/>
    <w:rsid w:val="00F947DA"/>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BDF"/>
    <w:pPr>
      <w:framePr w:wrap="auto"/>
      <w:widowControl/>
      <w:autoSpaceDE/>
      <w:autoSpaceDN/>
      <w:adjustRightInd/>
      <w:ind w:left="0" w:right="0"/>
      <w:jc w:val="left"/>
      <w:textAlignment w:val="auto"/>
    </w:pPr>
    <w:rPr>
      <w:rFonts w:cs="Times New Roman"/>
      <w:sz w:val="22"/>
      <w:szCs w:val="20"/>
      <w:rtl w:val="0"/>
      <w:cs w:val="0"/>
      <w:lang w:val="sk-SK" w:eastAsia="sk-SK" w:bidi="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FontStyle16">
    <w:name w:val="Font Style16"/>
    <w:uiPriority w:val="99"/>
    <w:rsid w:val="00031BDF"/>
    <w:rPr>
      <w:rFonts w:ascii="Garamond" w:hAnsi="Garamond" w:cs="Garamond"/>
      <w:sz w:val="20"/>
    </w:rPr>
  </w:style>
  <w:style w:type="character" w:customStyle="1" w:styleId="FontStyle27">
    <w:name w:val="Font Style27"/>
    <w:uiPriority w:val="99"/>
    <w:rsid w:val="00031BDF"/>
    <w:rPr>
      <w:rFonts w:ascii="Garamond" w:hAnsi="Garamond" w:cs="Garamond"/>
      <w:sz w:val="20"/>
    </w:rPr>
  </w:style>
  <w:style w:type="paragraph" w:styleId="Title">
    <w:name w:val="Title"/>
    <w:basedOn w:val="Normal"/>
    <w:link w:val="NzovChar"/>
    <w:uiPriority w:val="99"/>
    <w:qFormat/>
    <w:rsid w:val="002C3036"/>
    <w:pPr>
      <w:widowControl w:val="0"/>
      <w:jc w:val="center"/>
    </w:pPr>
    <w:rPr>
      <w:b/>
      <w:sz w:val="24"/>
      <w:u w:val="single"/>
      <w:lang w:val="cs-CZ" w:eastAsia="cs-CZ"/>
    </w:rPr>
  </w:style>
  <w:style w:type="character" w:customStyle="1" w:styleId="NzovChar">
    <w:name w:val="Názov Char"/>
    <w:basedOn w:val="DefaultParagraphFont"/>
    <w:link w:val="Title"/>
    <w:uiPriority w:val="99"/>
    <w:locked/>
    <w:rsid w:val="002C3036"/>
    <w:rPr>
      <w:rFonts w:cs="Times New Roman"/>
      <w:b/>
      <w:sz w:val="24"/>
      <w:u w:val="single"/>
      <w:rtl w:val="0"/>
      <w:cs w:val="0"/>
      <w:lang w:val="cs-CZ" w:eastAsia="cs-CZ" w:bidi="ar-SA"/>
    </w:rPr>
  </w:style>
  <w:style w:type="paragraph" w:styleId="Header">
    <w:name w:val="header"/>
    <w:basedOn w:val="Normal"/>
    <w:link w:val="HlavikaChar"/>
    <w:uiPriority w:val="99"/>
    <w:semiHidden/>
    <w:unhideWhenUsed/>
    <w:rsid w:val="00787980"/>
    <w:pPr>
      <w:tabs>
        <w:tab w:val="center" w:pos="4536"/>
        <w:tab w:val="right" w:pos="9072"/>
      </w:tabs>
      <w:jc w:val="left"/>
    </w:pPr>
  </w:style>
  <w:style w:type="character" w:customStyle="1" w:styleId="HlavikaChar">
    <w:name w:val="Hlavička Char"/>
    <w:basedOn w:val="DefaultParagraphFont"/>
    <w:link w:val="Header"/>
    <w:uiPriority w:val="99"/>
    <w:semiHidden/>
    <w:locked/>
    <w:rsid w:val="00787980"/>
    <w:rPr>
      <w:rFonts w:cs="Times New Roman"/>
      <w:sz w:val="20"/>
      <w:szCs w:val="20"/>
      <w:rtl w:val="0"/>
      <w:cs w:val="0"/>
    </w:rPr>
  </w:style>
  <w:style w:type="paragraph" w:styleId="Footer">
    <w:name w:val="footer"/>
    <w:basedOn w:val="Normal"/>
    <w:link w:val="PtaChar"/>
    <w:uiPriority w:val="99"/>
    <w:unhideWhenUsed/>
    <w:rsid w:val="00787980"/>
    <w:pPr>
      <w:tabs>
        <w:tab w:val="center" w:pos="4536"/>
        <w:tab w:val="right" w:pos="9072"/>
      </w:tabs>
      <w:jc w:val="left"/>
    </w:pPr>
  </w:style>
  <w:style w:type="character" w:customStyle="1" w:styleId="PtaChar">
    <w:name w:val="Päta Char"/>
    <w:basedOn w:val="DefaultParagraphFont"/>
    <w:link w:val="Footer"/>
    <w:uiPriority w:val="99"/>
    <w:locked/>
    <w:rsid w:val="00787980"/>
    <w:rPr>
      <w:rFonts w:cs="Times New Roman"/>
      <w:sz w:val="20"/>
      <w:szCs w:val="20"/>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4</TotalTime>
  <Pages>1</Pages>
  <Words>395</Words>
  <Characters>2255</Characters>
  <Application>Microsoft Office Word</Application>
  <DocSecurity>0</DocSecurity>
  <Lines>0</Lines>
  <Paragraphs>0</Paragraphs>
  <ScaleCrop>false</ScaleCrop>
  <Company>MDPT</Company>
  <LinksUpToDate>false</LinksUpToDate>
  <CharactersWithSpaces>2645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Doložka vybraných vplyvov</dc:title>
  <dc:creator>Martinkovicova</dc:creator>
  <cp:lastModifiedBy>bauml</cp:lastModifiedBy>
  <cp:revision>4</cp:revision>
  <cp:lastPrinted>2013-01-19T11:34:00Z</cp:lastPrinted>
  <dcterms:created xsi:type="dcterms:W3CDTF">2013-01-14T12:13:00Z</dcterms:created>
  <dcterms:modified xsi:type="dcterms:W3CDTF">2013-03-20T10:26:00Z</dcterms:modified>
</cp:coreProperties>
</file>