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-8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970"/>
        <w:gridCol w:w="1701"/>
        <w:gridCol w:w="3970"/>
        <w:gridCol w:w="850"/>
      </w:tblGrid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1" w:type="dxa"/>
          <w:cantSplit/>
          <w:trHeight w:val="240"/>
        </w:trPr>
        <w:tc>
          <w:tcPr>
            <w:tcW w:w="96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Logo"/>
              <w:bidi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566.95pt;height:62.55pt;margin-top:28.8pt;margin-left:14.4pt;mso-position-horizontal-relative:page;mso-position-vertical-relative:page;position:absolute;z-index:251658240" o:allowincell="f" stroked="f">
                  <v:imagedata r:id="rId4" o:title="" cropright="176f"/>
                  <w10:wrap type="topAndBottom"/>
                  <w10:anchorlock/>
                </v:shape>
              </w:pict>
            </w: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Insti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</w:t>
            </w:r>
          </w:p>
          <w:p w:rsidR="00F41AA2">
            <w:pPr>
              <w:pStyle w:val="EntInsti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EURÓPSKEJ ÚNIE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Bruseli 7. októbra 2008 (07.10)</w:t>
              <w:br/>
              <w:t>(OR. fr, en)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48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Medziinštitucionálny spis:</w:t>
            </w:r>
          </w:p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2005/0236 (COD)</w:t>
            </w:r>
          </w:p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2005/0242 (COD)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0" w:name="Cote"/>
            <w:bookmarkEnd w:id="0"/>
            <w:r>
              <w:rPr>
                <w:rFonts w:ascii="Times New Roman" w:hAnsi="Times New Roman"/>
              </w:rPr>
              <w:t>13596/08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1" w:name="CoteRev"/>
            <w:bookmarkEnd w:id="1"/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2" w:name="CoteSec"/>
            <w:bookmarkEnd w:id="2"/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00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pStyle w:val="EntRefer"/>
              <w:bidi w:val="0"/>
              <w:spacing w:after="0" w:line="240" w:lineRule="auto"/>
              <w:jc w:val="center"/>
              <w:rPr>
                <w:rFonts w:ascii="Times New Roman" w:hAnsi="Times New Roman"/>
                <w:sz w:val="60"/>
                <w:szCs w:val="60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 150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 613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CODEC 1234</w:t>
            </w:r>
          </w:p>
        </w:tc>
      </w:tr>
    </w:tbl>
    <w:p w:rsidR="00F41AA2">
      <w:pPr>
        <w:pStyle w:val="EntRefer"/>
        <w:bidi w:val="0"/>
        <w:rPr>
          <w:rFonts w:ascii="Times New Roman" w:hAnsi="Times New Roman"/>
        </w:rPr>
      </w:pPr>
    </w:p>
    <w:p w:rsidR="00F41AA2">
      <w:pPr>
        <w:pStyle w:val="EntRefer"/>
        <w:bidi w:val="0"/>
        <w:outlineLvl w:val="0"/>
        <w:rPr>
          <w:rFonts w:ascii="Times New Roman" w:hAnsi="Times New Roman"/>
        </w:rPr>
      </w:pPr>
      <w:bookmarkStart w:id="3" w:name="Title"/>
      <w:bookmarkEnd w:id="3"/>
      <w:r>
        <w:rPr>
          <w:rFonts w:ascii="Times New Roman" w:hAnsi="Times New Roman"/>
        </w:rPr>
        <w:t>SPRÁVA</w:t>
      </w:r>
    </w:p>
    <w:tbl>
      <w:tblPr>
        <w:tblStyle w:val="TableNormal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793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Výbor stálych predstaviteľov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Komu: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 predch. dok.: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13446/08 MAR 146 ENV 596 CODEC 1198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bookmarkStart w:id="4" w:name="Subject"/>
            <w:r>
              <w:rPr>
                <w:rFonts w:ascii="Times New Roman" w:hAnsi="Times New Roman"/>
              </w:rPr>
              <w:t>Námorná bezpečnosť</w:t>
            </w:r>
          </w:p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bookmarkEnd w:id="4"/>
            <w:r>
              <w:rPr>
                <w:rFonts w:ascii="Times New Roman" w:hAnsi="Times New Roman"/>
                <w:noProof/>
              </w:rPr>
              <w:t>a)</w:t>
            </w:r>
            <w:r>
              <w:rPr>
                <w:rFonts w:ascii="Times New Roman" w:hAnsi="Times New Roman"/>
              </w:rPr>
              <w:tab/>
              <w:t>Návrh smernice Európskeho parlamentu a Rady o občianskoprávnej zodpovednosti a o finančných zárukách vlastníkov lodí</w:t>
            </w:r>
          </w:p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b)</w:t>
            </w:r>
            <w:r>
              <w:rPr>
                <w:rFonts w:ascii="Times New Roman" w:hAnsi="Times New Roman"/>
              </w:rPr>
              <w:tab/>
              <w:t>Návrh smernice Európskeho parlamentu a Rady o plnení povinností vlajkového štátu</w:t>
            </w:r>
          </w:p>
          <w:p w:rsidR="00F41AA2">
            <w:pPr>
              <w:pStyle w:val="EntEmet"/>
              <w:tabs>
                <w:tab w:val="clear" w:pos="284"/>
                <w:tab w:val="clear" w:pos="851"/>
              </w:tabs>
              <w:bidi w:val="0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  <w:tab/>
              <w:t>politická dohoda</w:t>
            </w:r>
          </w:p>
        </w:tc>
      </w:tr>
    </w:tbl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bidi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VYHLÁSENIA ČLENSKÝCH ŠTÁTOV</w:t>
      </w:r>
    </w:p>
    <w:p w:rsidR="00F41AA2">
      <w:pPr>
        <w:bidi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 NÁMORNEJ BEZPEČNOSTI</w:t>
      </w: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tabs>
          <w:tab w:val="left" w:pos="3969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Úvod</w:t>
      </w:r>
    </w:p>
    <w:p w:rsidR="00F41AA2">
      <w:pPr>
        <w:tabs>
          <w:tab w:val="left" w:pos="3969"/>
        </w:tabs>
        <w:bidi w:val="0"/>
        <w:rPr>
          <w:rFonts w:ascii="Times New Roman" w:hAnsi="Times New Roman"/>
        </w:rPr>
      </w:pPr>
    </w:p>
    <w:p w:rsidR="00F41AA2" w:rsidP="00055122">
      <w:pPr>
        <w:numPr>
          <w:numId w:val="15"/>
        </w:numPr>
        <w:tabs>
          <w:tab w:val="clear" w:pos="36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Počas diskusie o smerovaní, ktorú Rada uskutočnila 7. apríla 2008 v súvislosti s dvoma uvedenými návrhmi predloženými Komisiou v rámci tretieho balíka námornej bezpečnosti, členské štáty potvrdili svoju pripravenosť prijať potrebné opatrenia na vykonávanie medzinárodných dohovorov s cieľom zaistiť rovnaké podmienky pre námorné úrady členských štátov.</w:t>
      </w:r>
    </w:p>
    <w:p w:rsidR="00F41AA2" w:rsidP="00055122">
      <w:pPr>
        <w:numPr>
          <w:numId w:val="15"/>
        </w:numPr>
        <w:tabs>
          <w:tab w:val="clear" w:pos="36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 xml:space="preserve">V rámci opätovného začatia prác na uvedených dvoch návrhoch založených na textoch, ktoré predložilo francúzske predsedníctvo, sa vypracoval návrh vyhlásenia členských štátov o námornej bezpečnosti. Tento návrh dopĺňa tieto dva texty a obsahuje politické záväzky členských štátov, najmä pokiaľ ide o ratifikáciu medzinárodných dohovorov a rokovania na medzinárodnej úrovni o kódexe vlajkových štátov, ako aj o audit Medzinárodnej námornej organizácie (IMO). </w:t>
      </w:r>
    </w:p>
    <w:p w:rsidR="00F41AA2">
      <w:pPr>
        <w:bidi w:val="0"/>
        <w:rPr>
          <w:rFonts w:ascii="Times New Roman" w:hAnsi="Times New Roman"/>
        </w:rPr>
      </w:pPr>
    </w:p>
    <w:p w:rsidR="00F41AA2" w:rsidP="00055122">
      <w:pPr>
        <w:numPr>
          <w:numId w:val="15"/>
        </w:numPr>
        <w:tabs>
          <w:tab w:val="clear" w:pos="36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preskúmania návrhu vyhlásenia v orgánoch Rady delegácie jednomyseľne takéto vyhlásenie podporili. Niekoľko delegácií však upozornilo na ústavné ťažkosti a právomoci národných parlamentov v súvislosti s procesom ratifikácie medzinárodných nástrojov. Bod 8 sa preto zmenil a doplnil. Okrem toho delegácia AT bola proti nahradeniu úvodnej vety vetou „Členské štáty vyhlasujú/sa zaväzujú“.  Delegácia </w:t>
      </w:r>
      <w:r>
        <w:rPr>
          <w:rFonts w:ascii="Times New Roman" w:hAnsi="Times New Roman"/>
          <w:u w:val="single"/>
        </w:rPr>
        <w:t>PT</w:t>
      </w:r>
      <w:r>
        <w:rPr>
          <w:rFonts w:ascii="Times New Roman" w:hAnsi="Times New Roman"/>
        </w:rPr>
        <w:t xml:space="preserve"> navrhla rok 2015 pre výmeny stanovené v bodoch 3 a 4.</w:t>
      </w:r>
    </w:p>
    <w:p w:rsidR="00F41AA2">
      <w:pPr>
        <w:bidi w:val="0"/>
        <w:ind w:left="567"/>
        <w:rPr>
          <w:rFonts w:ascii="Times New Roman" w:hAnsi="Times New Roman"/>
        </w:rPr>
      </w:pPr>
    </w:p>
    <w:p w:rsidR="00F41AA2">
      <w:pPr>
        <w:bidi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Na účely všeobecnej dohody predsedníctvo predkladá kompromisné znenie, ktoré sa nachádza v prílohe.</w:t>
      </w:r>
    </w:p>
    <w:p w:rsidR="00F41AA2">
      <w:pPr>
        <w:bidi w:val="0"/>
        <w:rPr>
          <w:rFonts w:ascii="Times New Roman" w:hAnsi="Times New Roman"/>
        </w:rPr>
      </w:pPr>
    </w:p>
    <w:p w:rsidR="00F41AA2" w:rsidRPr="00055122">
      <w:pPr>
        <w:pStyle w:val="NormalConseil"/>
        <w:bidi w:val="0"/>
        <w:spacing w:line="360" w:lineRule="auto"/>
        <w:ind w:left="567" w:hanging="567"/>
        <w:rPr>
          <w:rFonts w:ascii="Times New Roman" w:hAnsi="Times New Roman"/>
          <w:lang w:val="sk-SK"/>
        </w:rPr>
      </w:pPr>
      <w:r w:rsidRPr="00055122">
        <w:rPr>
          <w:rFonts w:ascii="Times New Roman" w:hAnsi="Times New Roman"/>
          <w:lang w:val="sk-SK"/>
        </w:rPr>
        <w:t>5.</w:t>
        <w:tab/>
      </w:r>
      <w:r>
        <w:rPr>
          <w:rFonts w:ascii="Times New Roman" w:hAnsi="Times New Roman"/>
          <w:u w:val="single"/>
          <w:lang w:val="sk-SK"/>
        </w:rPr>
        <w:t>Všetky delegácie</w:t>
      </w:r>
      <w:r>
        <w:rPr>
          <w:rFonts w:ascii="Times New Roman" w:hAnsi="Times New Roman"/>
          <w:lang w:val="sk-SK"/>
        </w:rPr>
        <w:t xml:space="preserve"> a </w:t>
      </w:r>
      <w:r>
        <w:rPr>
          <w:rFonts w:ascii="Times New Roman" w:hAnsi="Times New Roman"/>
          <w:u w:val="single"/>
          <w:lang w:val="sk-SK"/>
        </w:rPr>
        <w:t>Komisia</w:t>
      </w:r>
      <w:r>
        <w:rPr>
          <w:rFonts w:ascii="Times New Roman" w:hAnsi="Times New Roman"/>
          <w:lang w:val="sk-SK"/>
        </w:rPr>
        <w:t xml:space="preserve"> majú všeobecnú výhradu preskúmania, najmä k častiam znenia, ktoré sa zmenili a doplnili po zasadnutí Coreperu z 1. októbra 2008.</w:t>
      </w:r>
      <w:r w:rsidRPr="00055122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Delegácia </w:t>
      </w:r>
      <w:r>
        <w:rPr>
          <w:rFonts w:ascii="Times New Roman" w:hAnsi="Times New Roman"/>
          <w:u w:val="single"/>
          <w:lang w:val="sk-SK"/>
        </w:rPr>
        <w:t>MT</w:t>
      </w:r>
      <w:r>
        <w:rPr>
          <w:rFonts w:ascii="Times New Roman" w:hAnsi="Times New Roman"/>
          <w:lang w:val="sk-SK"/>
        </w:rPr>
        <w:t xml:space="preserve"> má okrem toho naďalej výhradu parlamentného preskúmania k celému zneniu.</w:t>
      </w:r>
    </w:p>
    <w:p w:rsidR="00F41AA2" w:rsidRPr="00055122">
      <w:pPr>
        <w:pStyle w:val="NormalConseil"/>
        <w:tabs>
          <w:tab w:val="left" w:pos="567"/>
        </w:tabs>
        <w:bidi w:val="0"/>
        <w:spacing w:line="360" w:lineRule="auto"/>
        <w:ind w:left="567" w:hanging="567"/>
        <w:outlineLvl w:val="0"/>
        <w:rPr>
          <w:rFonts w:ascii="Times New Roman" w:hAnsi="Times New Roman"/>
          <w:b/>
          <w:bCs/>
          <w:noProof/>
          <w:lang w:val="sk-SK"/>
        </w:rPr>
      </w:pPr>
    </w:p>
    <w:p w:rsidR="00F41AA2" w:rsidRPr="00055122">
      <w:pPr>
        <w:pStyle w:val="NormalConseil"/>
        <w:tabs>
          <w:tab w:val="left" w:pos="567"/>
        </w:tabs>
        <w:bidi w:val="0"/>
        <w:spacing w:line="360" w:lineRule="auto"/>
        <w:ind w:left="567" w:hanging="567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Záver</w:t>
      </w:r>
    </w:p>
    <w:p w:rsidR="00F41AA2" w:rsidRPr="00055122">
      <w:pPr>
        <w:pStyle w:val="NormalConseil"/>
        <w:tabs>
          <w:tab w:val="left" w:pos="567"/>
        </w:tabs>
        <w:bidi w:val="0"/>
        <w:spacing w:line="360" w:lineRule="auto"/>
        <w:ind w:left="567" w:hanging="567"/>
        <w:outlineLvl w:val="0"/>
        <w:rPr>
          <w:rFonts w:ascii="Times New Roman" w:hAnsi="Times New Roman"/>
          <w:b/>
          <w:bCs/>
          <w:lang w:val="sk-SK"/>
        </w:rPr>
      </w:pPr>
    </w:p>
    <w:p w:rsidR="00F41AA2">
      <w:pPr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6.</w:t>
        <w:tab/>
        <w:t>Vzhľadom na uvedené sa Rada vyzýva, aby preskúmala návrh uvedeného vyhlásenia na svojom zasadnutí 9. a 10. októbra 2008 na účely jeho prijatia zástupcami vlád členských štátov Európskej únie, ktorí sa zídu na zasadnutí Rady.</w:t>
      </w:r>
    </w:p>
    <w:p w:rsidR="00F41AA2">
      <w:pPr>
        <w:bidi w:val="0"/>
        <w:ind w:left="567" w:hanging="567"/>
        <w:rPr>
          <w:rFonts w:ascii="Times New Roman" w:hAnsi="Times New Roman"/>
        </w:rPr>
      </w:pPr>
    </w:p>
    <w:p w:rsidR="00F41AA2">
      <w:pPr>
        <w:bidi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tabs>
          <w:tab w:val="left" w:pos="3969"/>
        </w:tabs>
        <w:bidi w:val="0"/>
        <w:rPr>
          <w:rFonts w:ascii="Times New Roman" w:hAnsi="Times New Roman"/>
        </w:rPr>
      </w:pPr>
    </w:p>
    <w:p w:rsidR="00F41AA2">
      <w:pPr>
        <w:bidi w:val="0"/>
        <w:jc w:val="right"/>
        <w:rPr>
          <w:rFonts w:ascii="Times New Roman" w:hAnsi="Times New Roman"/>
          <w:b/>
          <w:bCs/>
          <w:u w:val="single"/>
        </w:rPr>
        <w:sectPr w:rsidSect="00AE6B3A">
          <w:footerReference w:type="default" r:id="rId5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lnNumType w:distance="0"/>
          <w:cols w:space="708"/>
          <w:noEndnote w:val="0"/>
          <w:bidi w:val="0"/>
          <w:rtlGutter/>
        </w:sectPr>
      </w:pPr>
    </w:p>
    <w:p w:rsidR="00F41AA2" w:rsidP="00196B18">
      <w:pPr>
        <w:bidi w:val="0"/>
        <w:spacing w:line="336" w:lineRule="auto"/>
        <w:jc w:val="righ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PRÍLOHA</w:t>
      </w:r>
    </w:p>
    <w:p w:rsidR="00F41AA2" w:rsidP="00196B18">
      <w:pPr>
        <w:bidi w:val="0"/>
        <w:spacing w:line="336" w:lineRule="auto"/>
        <w:jc w:val="right"/>
        <w:rPr>
          <w:rFonts w:ascii="Times New Roman" w:hAnsi="Times New Roman"/>
          <w:b/>
          <w:bCs/>
          <w:u w:val="single"/>
        </w:rPr>
      </w:pP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VYHLÁSENIE ČLENSKÝCH ŠTÁTOV</w:t>
      </w: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námornej bezpečnosti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ČLENSKÉ ŠTÁTY SA PEVNE ZAVÄZUJÚ:</w:t>
      </w:r>
    </w:p>
    <w:p w:rsidR="00F41AA2" w:rsidP="00196B18">
      <w:pPr>
        <w:pStyle w:val="Footer"/>
        <w:tabs>
          <w:tab w:val="clear" w:pos="4820"/>
          <w:tab w:val="clear" w:pos="7371"/>
          <w:tab w:val="clear" w:pos="9639"/>
        </w:tabs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 xml:space="preserve">Ďalej zlepšovať kvalitu a výkonnosť svojich námorných úradov, aby sa </w:t>
      </w:r>
      <w:r>
        <w:rPr>
          <w:rFonts w:ascii="Times New Roman" w:hAnsi="Times New Roman"/>
          <w:b/>
          <w:bCs/>
        </w:rPr>
        <w:t xml:space="preserve">[...] </w:t>
      </w:r>
      <w:r>
        <w:rPr>
          <w:rFonts w:ascii="Times New Roman" w:hAnsi="Times New Roman"/>
        </w:rPr>
        <w:t xml:space="preserve">vlajky všetkých </w:t>
      </w:r>
      <w:r>
        <w:rPr>
          <w:rFonts w:ascii="Times New Roman" w:hAnsi="Times New Roman"/>
          <w:b/>
          <w:bCs/>
        </w:rPr>
        <w:t>členských štátov</w:t>
      </w:r>
      <w:r>
        <w:rPr>
          <w:rFonts w:ascii="Times New Roman" w:hAnsi="Times New Roman"/>
        </w:rPr>
        <w:t xml:space="preserve"> dostali najneskôr do roku 2012 na biely zoznam Parížskeho memoranda o porozumení o štátnej prístavnej kontrole;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Konať v rámci IMO s cieľom čo najskôr dosiahnuť dohodu o všeobecne prijateľnom medzinárodnom rámci, ktorý bude upravovať zodpovednosť a náhradu škody v súvislosti s prepravou nebezpečných a škodlivých látok po mori;</w:t>
      </w: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Najneskôr 1. januára 2012 vyjadriť svoj súhlas s tým, že budú viazané týmito medzinárodnými dohovormi:</w:t>
      </w: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</w:p>
    <w:p w:rsidR="00F41AA2" w:rsidRPr="00BA56D1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dohovory uvedené v časti I bode 6 kódexu pre vykonávanie povinných nástrojov IMO spoločne s ich protokolmi a ich zmenami a doplneniami, ako aj všetky nástroje, ktoré sú podľa týchto dohovorov povinné, v znení platnom ku dňu prijatia tohto vyhlásenia: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1992 o občianskoprávnej zodpovednosti za škody spôsobené znečistením ropnými látkami,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1992 o zriadení Medzinárodného fondu na kompenzáciu škôd vzniknutých v dôsledku znečistenia ropnými látkami,</w:t>
      </w:r>
    </w:p>
    <w:p w:rsidR="00F41AA2" w:rsidP="00196B18">
      <w:pPr>
        <w:tabs>
          <w:tab w:val="left" w:pos="1475"/>
        </w:tabs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ab/>
        <w:tab/>
      </w:r>
    </w:p>
    <w:p w:rsidR="00F41AA2" w:rsidRPr="00BA56D1">
      <w:pPr>
        <w:bidi w:val="0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Protokol z roku 1996 k Dohovoru z roku 1976 o obmedzení občianskoprávnej zodpovednosti vo veci námorných pohľadávok a, ak to bude možné, vypovedať základný dohovor,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2001 o občianskoprávnej zodpovednosti za škody spôsobené znečistením ropnými látkami,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Protokol z roku 2003 k Medzinárodnému dohovoru z roku 1992 o zriadení medzinárodného fondu na kompenzáciu škôd vzniknutých v dôsledku znečistenia ropnými látkami.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RPr="00BA56D1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 xml:space="preserve">Najneskôr 1. januára 2013 vyjadriť súhlas s tým, že budú viazané Medzinárodným dohovorom o odstraňovaní vrakov prijatým v roku 2007 v Nairobi alebo, v prípade vnútrozemských členských štátov, prijať </w:t>
      </w:r>
      <w:r>
        <w:rPr>
          <w:rFonts w:ascii="Times New Roman" w:hAnsi="Times New Roman"/>
          <w:b/>
          <w:bCs/>
        </w:rPr>
        <w:t>potrebné</w:t>
      </w:r>
      <w:r>
        <w:rPr>
          <w:rFonts w:ascii="Times New Roman" w:hAnsi="Times New Roman"/>
        </w:rPr>
        <w:t xml:space="preserve"> opatrenia </w:t>
      </w:r>
      <w:r>
        <w:rPr>
          <w:rFonts w:ascii="Times New Roman" w:hAnsi="Times New Roman"/>
          <w:b/>
          <w:bCs/>
        </w:rPr>
        <w:t>s cieľom zabezpečiť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[...]</w:t>
      </w:r>
      <w:r>
        <w:rPr>
          <w:rFonts w:ascii="Times New Roman" w:hAnsi="Times New Roman"/>
        </w:rPr>
        <w:t xml:space="preserve">, že lode, ktoré sa plavia pod ich vlajkou, </w:t>
      </w:r>
      <w:r>
        <w:rPr>
          <w:rFonts w:ascii="Times New Roman" w:hAnsi="Times New Roman"/>
          <w:b/>
          <w:bCs/>
        </w:rPr>
        <w:t>majú potvrdenie vydané jednou zo zmluvných strán dohovoru</w:t>
      </w:r>
      <w:r>
        <w:rPr>
          <w:rFonts w:ascii="Times New Roman" w:hAnsi="Times New Roman"/>
        </w:rPr>
        <w:t>.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055122">
      <w:pPr>
        <w:numPr>
          <w:numId w:val="16"/>
        </w:numPr>
        <w:tabs>
          <w:tab w:val="num" w:pos="567"/>
          <w:tab w:val="clear" w:pos="720"/>
        </w:tabs>
        <w:bidi w:val="0"/>
        <w:spacing w:line="33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Vyjadriť svoju ochotu uplatňovať časti 1 a 2 kódexu pre vykonávanie povinných nástrojov IMO, ktorý IMO prijala prostredníctvom rezolúcie zhromaždenia A.996(25), a umožniť IMO vykonať audit ich úradov.</w:t>
      </w:r>
    </w:p>
    <w:p w:rsidR="00F41AA2" w:rsidP="00196B18">
      <w:pPr>
        <w:tabs>
          <w:tab w:val="num" w:pos="567"/>
        </w:tabs>
        <w:bidi w:val="0"/>
        <w:spacing w:line="336" w:lineRule="auto"/>
        <w:rPr>
          <w:rFonts w:ascii="Times New Roman" w:hAnsi="Times New Roman"/>
        </w:rPr>
      </w:pPr>
    </w:p>
    <w:p w:rsidR="00F41AA2" w:rsidRPr="00BA56D1" w:rsidP="00055122">
      <w:pPr>
        <w:numPr>
          <w:numId w:val="16"/>
        </w:numPr>
        <w:tabs>
          <w:tab w:val="num" w:pos="567"/>
          <w:tab w:val="clear" w:pos="720"/>
        </w:tabs>
        <w:bidi w:val="0"/>
        <w:spacing w:line="33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Konať v súlade s príslušnými ustanoveniami prílohy a dodatku k rezolúcii IMO A.996(25) o vykonávaní nástrojov IMO vlajkovými štátmi s cieľom zabezpečiť, aby ich príslušné úrady boli schopné riadne presadzovať ustanovenia medzinárodných dohovorov.</w:t>
      </w:r>
    </w:p>
    <w:p w:rsidR="00F41AA2" w:rsidP="00196B18">
      <w:pPr>
        <w:tabs>
          <w:tab w:val="num" w:pos="567"/>
        </w:tabs>
        <w:bidi w:val="0"/>
        <w:spacing w:line="336" w:lineRule="auto"/>
        <w:rPr>
          <w:rFonts w:ascii="Times New Roman" w:hAnsi="Times New Roman"/>
        </w:rPr>
      </w:pPr>
    </w:p>
    <w:p w:rsidR="00F41AA2" w:rsidRPr="00BA56D1" w:rsidP="00055122">
      <w:pPr>
        <w:numPr>
          <w:numId w:val="16"/>
        </w:numPr>
        <w:tabs>
          <w:tab w:val="num" w:pos="567"/>
          <w:tab w:val="clear" w:pos="720"/>
        </w:tabs>
        <w:bidi w:val="0"/>
        <w:spacing w:line="33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Prijať všetky vhodné kroky v rámci Spoločenstva a v spolupráci s inými členmi Medzinárodnej námornej organizácie (IMO) tak, aby sa časti 1 a 2 kódexu pre vykonávanie povinných nástrojov IMO, ako aj systém auditu členských štátov IMO stali celosvetovo povinnými, čo by viedlo k minimalizovaniu rozdielov v plnení medzinárodných povinností vlajkových štátov, a tak:</w:t>
      </w:r>
    </w:p>
    <w:p w:rsidR="00F41AA2" w:rsidP="00196B18">
      <w:pPr>
        <w:bidi w:val="0"/>
        <w:spacing w:line="336" w:lineRule="auto"/>
        <w:ind w:left="567"/>
        <w:rPr>
          <w:rFonts w:ascii="Times New Roman" w:hAnsi="Times New Roman"/>
        </w:rPr>
      </w:pPr>
    </w:p>
    <w:p w:rsidR="00F41AA2" w:rsidP="00055122">
      <w:pPr>
        <w:numPr>
          <w:numId w:val="17"/>
        </w:numPr>
        <w:tabs>
          <w:tab w:val="clear" w:pos="1287"/>
        </w:tabs>
        <w:bidi w:val="0"/>
        <w:spacing w:line="336" w:lineRule="auto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prispieť k zvýšeniu bezpečnosti, bezpečnostnej ochrany a ochrany morského prostredia,</w:t>
      </w:r>
    </w:p>
    <w:p w:rsidR="00F41AA2" w:rsidP="00196B18">
      <w:pPr>
        <w:bidi w:val="0"/>
        <w:spacing w:line="336" w:lineRule="auto"/>
        <w:ind w:left="567"/>
        <w:rPr>
          <w:rFonts w:ascii="Times New Roman" w:hAnsi="Times New Roman"/>
        </w:rPr>
      </w:pPr>
    </w:p>
    <w:p w:rsidR="00F41AA2" w:rsidP="00055122">
      <w:pPr>
        <w:numPr>
          <w:numId w:val="17"/>
        </w:numPr>
        <w:tabs>
          <w:tab w:val="clear" w:pos="1287"/>
        </w:tabs>
        <w:bidi w:val="0"/>
        <w:spacing w:line="336" w:lineRule="auto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zabezpečiť rovnaké podmienky na medzinárodnej úrovni v oblasti lodnej dopravy, ktoré majú kľúčový význam pre životaschopnosť lodnej dopravy EÚ.</w:t>
      </w:r>
    </w:p>
    <w:p w:rsidR="00F41AA2" w:rsidRPr="00BA56D1" w:rsidP="00055122">
      <w:pPr>
        <w:numPr>
          <w:numId w:val="16"/>
        </w:numPr>
        <w:tabs>
          <w:tab w:val="num" w:pos="567"/>
          <w:tab w:val="clear" w:pos="72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 xml:space="preserve">Toto vyhlásenie nemá vplyv na právomoc členských štátov konať a prijímať medzinárodné záväzky v tejto oblasti </w:t>
      </w:r>
      <w:r>
        <w:rPr>
          <w:rFonts w:ascii="Times New Roman" w:hAnsi="Times New Roman"/>
          <w:b/>
          <w:bCs/>
        </w:rPr>
        <w:t>v súlade s ich ústavnými požiadavkami</w:t>
      </w:r>
      <w:r>
        <w:rPr>
          <w:rFonts w:ascii="Times New Roman" w:hAnsi="Times New Roman"/>
        </w:rPr>
        <w:t xml:space="preserve">. </w:t>
      </w:r>
    </w:p>
    <w:p w:rsidR="00F41AA2">
      <w:pPr>
        <w:bidi w:val="0"/>
        <w:rPr>
          <w:rFonts w:ascii="Times New Roman" w:hAnsi="Times New Roman"/>
          <w:b/>
          <w:bCs/>
          <w:u w:val="single"/>
        </w:rPr>
      </w:pPr>
    </w:p>
    <w:p w:rsidR="00F41AA2">
      <w:pPr>
        <w:bidi w:val="0"/>
        <w:rPr>
          <w:rFonts w:ascii="Times New Roman" w:hAnsi="Times New Roman"/>
          <w:b/>
          <w:bCs/>
          <w:u w:val="single"/>
        </w:rPr>
      </w:pPr>
    </w:p>
    <w:p w:rsidR="00F41AA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sectPr>
      <w:footerReference w:type="default" r:id="rId6"/>
      <w:pgSz w:w="12240" w:h="15840"/>
      <w:pgMar w:top="1417" w:right="1183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A2">
    <w:pPr>
      <w:pStyle w:val="Footer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F41AA2" w:rsidRPr="00F41AA2">
    <w:pPr>
      <w:pStyle w:val="Footer"/>
      <w:bidi w:val="0"/>
      <w:rPr>
        <w:rFonts w:ascii="Times New Roman" w:hAnsi="Times New Roman"/>
        <w:szCs w:val="24"/>
      </w:rPr>
    </w:pPr>
    <w:r w:rsidRPr="00F41AA2">
      <w:rPr>
        <w:rFonts w:ascii="Times New Roman" w:hAnsi="Times New Roman"/>
        <w:szCs w:val="24"/>
      </w:rPr>
      <w:t>13596/08</w:t>
      <w:tab/>
      <w:tab/>
    </w:r>
    <w:r w:rsidRPr="00F41AA2">
      <w:rPr>
        <w:rFonts w:ascii="Times New Roman" w:hAnsi="Times New Roman"/>
        <w:noProof/>
        <w:szCs w:val="24"/>
      </w:rPr>
      <w:t>dpm/AR/mis</w:t>
    </w:r>
    <w:r w:rsidRPr="00F41AA2">
      <w:rPr>
        <w:rFonts w:ascii="Times New Roman" w:hAnsi="Times New Roman"/>
        <w:szCs w:val="24"/>
      </w:rPr>
      <w:tab/>
    </w:r>
    <w:r w:rsidRPr="00F41AA2">
      <w:rPr>
        <w:rStyle w:val="PageNumber"/>
        <w:rFonts w:ascii="Times New Roman" w:hAnsi="Times New Roman"/>
        <w:szCs w:val="24"/>
      </w:rPr>
      <w:fldChar w:fldCharType="begin"/>
    </w:r>
    <w:r w:rsidRPr="00F41AA2">
      <w:rPr>
        <w:rStyle w:val="PageNumber"/>
        <w:rFonts w:ascii="Times New Roman" w:hAnsi="Times New Roman"/>
        <w:szCs w:val="24"/>
      </w:rPr>
      <w:instrText xml:space="preserve"> PAGE </w:instrText>
    </w:r>
    <w:r w:rsidRPr="00F41AA2">
      <w:rPr>
        <w:rStyle w:val="PageNumber"/>
        <w:rFonts w:ascii="Times New Roman" w:hAnsi="Times New Roman"/>
        <w:szCs w:val="24"/>
      </w:rPr>
      <w:fldChar w:fldCharType="separate"/>
    </w:r>
    <w:r w:rsidR="00290A3B">
      <w:rPr>
        <w:rStyle w:val="PageNumber"/>
        <w:rFonts w:ascii="Times New Roman" w:hAnsi="Times New Roman"/>
        <w:noProof/>
        <w:szCs w:val="24"/>
      </w:rPr>
      <w:t>1</w:t>
    </w:r>
    <w:r w:rsidRPr="00F41AA2">
      <w:rPr>
        <w:rStyle w:val="PageNumber"/>
        <w:rFonts w:ascii="Times New Roman" w:hAnsi="Times New Roman"/>
        <w:szCs w:val="24"/>
      </w:rPr>
      <w:fldChar w:fldCharType="end"/>
    </w:r>
    <w:r w:rsidR="00290A3B">
      <w:rPr>
        <w:rStyle w:val="PageNumber"/>
        <w:rFonts w:ascii="Times New Roman" w:hAnsi="Times New Roman"/>
        <w:szCs w:val="24"/>
      </w:rPr>
      <w:t>/5</w:t>
    </w:r>
  </w:p>
  <w:p w:rsidR="00F41AA2">
    <w:pPr>
      <w:pStyle w:val="Footer"/>
      <w:tabs>
        <w:tab w:val="clear" w:pos="7371"/>
      </w:tabs>
      <w:bidi w:val="0"/>
      <w:spacing w:line="280" w:lineRule="exact"/>
      <w:rPr>
        <w:rFonts w:ascii="Times New Roman" w:hAnsi="Times New Roman"/>
        <w:sz w:val="20"/>
      </w:rPr>
    </w:pPr>
    <w:r w:rsidRPr="00F41AA2">
      <w:rPr>
        <w:rFonts w:ascii="Times New Roman" w:hAnsi="Times New Roman"/>
        <w:szCs w:val="24"/>
      </w:rPr>
      <w:tab/>
    </w:r>
    <w:r w:rsidRPr="00F41AA2">
      <w:rPr>
        <w:rFonts w:ascii="Times New Roman" w:hAnsi="Times New Roman"/>
        <w:noProof/>
        <w:szCs w:val="24"/>
      </w:rPr>
      <w:t>DG C III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bCs/>
        <w:position w:val="-4"/>
        <w:sz w:val="36"/>
        <w:szCs w:val="36"/>
      </w:rPr>
      <w:t xml:space="preserve"> </w:t>
    </w:r>
    <w:r>
      <w:rPr>
        <w:rFonts w:ascii="Times New Roman" w:hAnsi="Times New Roman"/>
        <w:b/>
        <w:bCs/>
        <w:position w:val="-4"/>
        <w:sz w:val="36"/>
        <w:szCs w:val="36"/>
      </w:rPr>
      <w:t> </w:t>
    </w:r>
    <w:r>
      <w:rPr>
        <w:rFonts w:ascii="Times New Roman" w:hAnsi="Times New Roman"/>
        <w:b/>
        <w:bCs/>
        <w:noProof/>
        <w:position w:val="-4"/>
        <w:sz w:val="36"/>
        <w:szCs w:val="36"/>
      </w:rPr>
      <w:t>SK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18">
    <w:pPr>
      <w:pStyle w:val="Footer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196B18" w:rsidRPr="00F41AA2">
    <w:pPr>
      <w:pStyle w:val="Footer"/>
      <w:bidi w:val="0"/>
      <w:rPr>
        <w:rFonts w:ascii="Times New Roman" w:hAnsi="Times New Roman"/>
        <w:szCs w:val="24"/>
      </w:rPr>
    </w:pPr>
    <w:r w:rsidRPr="00F41AA2">
      <w:rPr>
        <w:rFonts w:ascii="Times New Roman" w:hAnsi="Times New Roman"/>
        <w:szCs w:val="24"/>
      </w:rPr>
      <w:t>13596/08</w:t>
      <w:tab/>
      <w:tab/>
    </w:r>
    <w:r w:rsidRPr="00F41AA2">
      <w:rPr>
        <w:rFonts w:ascii="Times New Roman" w:hAnsi="Times New Roman"/>
        <w:noProof/>
        <w:szCs w:val="24"/>
      </w:rPr>
      <w:t>dpm/AR/mis</w:t>
    </w:r>
    <w:r w:rsidRPr="00F41AA2">
      <w:rPr>
        <w:rFonts w:ascii="Times New Roman" w:hAnsi="Times New Roman"/>
        <w:szCs w:val="24"/>
      </w:rPr>
      <w:tab/>
    </w:r>
    <w:r w:rsidRPr="00F41AA2">
      <w:rPr>
        <w:rStyle w:val="PageNumber"/>
        <w:rFonts w:ascii="Times New Roman" w:hAnsi="Times New Roman"/>
        <w:szCs w:val="24"/>
      </w:rPr>
      <w:fldChar w:fldCharType="begin"/>
    </w:r>
    <w:r w:rsidRPr="00F41AA2">
      <w:rPr>
        <w:rStyle w:val="PageNumber"/>
        <w:rFonts w:ascii="Times New Roman" w:hAnsi="Times New Roman"/>
        <w:szCs w:val="24"/>
      </w:rPr>
      <w:instrText xml:space="preserve"> PAGE </w:instrText>
    </w:r>
    <w:r w:rsidRPr="00F41AA2">
      <w:rPr>
        <w:rStyle w:val="PageNumber"/>
        <w:rFonts w:ascii="Times New Roman" w:hAnsi="Times New Roman"/>
        <w:szCs w:val="24"/>
      </w:rPr>
      <w:fldChar w:fldCharType="separate"/>
    </w:r>
    <w:r w:rsidR="00290A3B">
      <w:rPr>
        <w:rStyle w:val="PageNumber"/>
        <w:rFonts w:ascii="Times New Roman" w:hAnsi="Times New Roman"/>
        <w:noProof/>
        <w:szCs w:val="24"/>
      </w:rPr>
      <w:t>5</w:t>
    </w:r>
    <w:r w:rsidRPr="00F41AA2">
      <w:rPr>
        <w:rStyle w:val="PageNumber"/>
        <w:rFonts w:ascii="Times New Roman" w:hAnsi="Times New Roman"/>
        <w:szCs w:val="24"/>
      </w:rPr>
      <w:fldChar w:fldCharType="end"/>
    </w:r>
  </w:p>
  <w:p w:rsidR="00196B18">
    <w:pPr>
      <w:pStyle w:val="Footer"/>
      <w:tabs>
        <w:tab w:val="clear" w:pos="7371"/>
      </w:tabs>
      <w:bidi w:val="0"/>
      <w:spacing w:line="280" w:lineRule="exact"/>
      <w:rPr>
        <w:rFonts w:ascii="Times New Roman" w:hAnsi="Times New Roman"/>
        <w:sz w:val="20"/>
      </w:rPr>
    </w:pPr>
    <w:r>
      <w:rPr>
        <w:rFonts w:ascii="Times New Roman" w:hAnsi="Times New Roman"/>
        <w:szCs w:val="24"/>
      </w:rPr>
      <w:t>PRÍLOHA</w:t>
    </w:r>
    <w:r w:rsidRPr="00F41AA2">
      <w:rPr>
        <w:rFonts w:ascii="Times New Roman" w:hAnsi="Times New Roman"/>
        <w:szCs w:val="24"/>
      </w:rPr>
      <w:tab/>
    </w:r>
    <w:r w:rsidRPr="00F41AA2">
      <w:rPr>
        <w:rFonts w:ascii="Times New Roman" w:hAnsi="Times New Roman"/>
        <w:noProof/>
        <w:szCs w:val="24"/>
      </w:rPr>
      <w:t>DG C III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bCs/>
        <w:position w:val="-4"/>
        <w:sz w:val="36"/>
        <w:szCs w:val="36"/>
      </w:rPr>
      <w:t xml:space="preserve"> </w:t>
    </w:r>
    <w:r>
      <w:rPr>
        <w:rFonts w:ascii="Times New Roman" w:hAnsi="Times New Roman"/>
        <w:b/>
        <w:bCs/>
        <w:position w:val="-4"/>
        <w:sz w:val="36"/>
        <w:szCs w:val="36"/>
      </w:rPr>
      <w:t> </w:t>
    </w:r>
    <w:r>
      <w:rPr>
        <w:rFonts w:ascii="Times New Roman" w:hAnsi="Times New Roman"/>
        <w:b/>
        <w:bCs/>
        <w:noProof/>
        <w:position w:val="-4"/>
        <w:sz w:val="36"/>
        <w:szCs w:val="36"/>
      </w:rPr>
      <w:t>SK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  <w:rtl w:val="0"/>
        <w:cs w:val="0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8">
    <w:nsid w:val="425C02B2"/>
    <w:multiLevelType w:val="hybridMultilevel"/>
    <w:tmpl w:val="2FD2D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4ABD7E9D"/>
    <w:multiLevelType w:val="hybridMultilevel"/>
    <w:tmpl w:val="44C0C9E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FE064B7"/>
    <w:multiLevelType w:val="hybridMultilevel"/>
    <w:tmpl w:val="F9DA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12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ttachedTemplate r:id="rId1"/>
  <w:stylePaneFormatFilter w:val="3F01"/>
  <w:doNotTrackMoves/>
  <w:defaultTabStop w:val="567"/>
  <w:hyphenationZone w:val="425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55122"/>
    <w:rsid w:val="0007104E"/>
    <w:rsid w:val="000F7A4B"/>
    <w:rsid w:val="0015674F"/>
    <w:rsid w:val="00196B18"/>
    <w:rsid w:val="0021429E"/>
    <w:rsid w:val="00290A3B"/>
    <w:rsid w:val="00293F61"/>
    <w:rsid w:val="002E5515"/>
    <w:rsid w:val="003A2248"/>
    <w:rsid w:val="003A4C0D"/>
    <w:rsid w:val="003A6F3C"/>
    <w:rsid w:val="003F7E6C"/>
    <w:rsid w:val="00494021"/>
    <w:rsid w:val="0049672E"/>
    <w:rsid w:val="00551EA9"/>
    <w:rsid w:val="005661F3"/>
    <w:rsid w:val="00641F6D"/>
    <w:rsid w:val="00686361"/>
    <w:rsid w:val="007534E2"/>
    <w:rsid w:val="007C4874"/>
    <w:rsid w:val="008543C7"/>
    <w:rsid w:val="00AA44C0"/>
    <w:rsid w:val="00AE6B3A"/>
    <w:rsid w:val="00B204CF"/>
    <w:rsid w:val="00BA56D1"/>
    <w:rsid w:val="00C171FA"/>
    <w:rsid w:val="00CA4323"/>
    <w:rsid w:val="00CC2FC1"/>
    <w:rsid w:val="00D13D17"/>
    <w:rsid w:val="00DD2615"/>
    <w:rsid w:val="00DE6B95"/>
    <w:rsid w:val="00F41A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74"/>
    <w:pPr>
      <w:framePr w:wrap="auto"/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fr-BE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widowControl/>
      <w:numPr>
        <w:numId w:val="11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widowControl/>
      <w:numPr>
        <w:ilvl w:val="1"/>
        <w:numId w:val="12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widowControl/>
      <w:numPr>
        <w:ilvl w:val="2"/>
        <w:numId w:val="13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widowControl/>
      <w:numPr>
        <w:ilvl w:val="3"/>
        <w:numId w:val="14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link w:val="Nadpis5Char"/>
    <w:uiPriority w:val="99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Nadpis6Char"/>
    <w:uiPriority w:val="99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fr-B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fr-B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fr-BE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fr-BE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fr-B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rtl w:val="0"/>
      <w:cs w:val="0"/>
      <w:lang w:val="x-none" w:eastAsia="fr-BE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  <w:lang w:val="x-none" w:eastAsia="fr-BE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fr-BE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rtl w:val="0"/>
      <w:cs w:val="0"/>
      <w:lang w:val="x-none" w:eastAsia="fr-BE"/>
    </w:rPr>
  </w:style>
  <w:style w:type="paragraph" w:styleId="Footer">
    <w:name w:val="footer"/>
    <w:basedOn w:val="Normal"/>
    <w:link w:val="PtaChar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rFonts w:cs="Times New Roman"/>
      <w:b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styleId="Header">
    <w:name w:val="header"/>
    <w:basedOn w:val="Normal"/>
    <w:link w:val="HlavikaChar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customStyle="1" w:styleId="Par-bullet">
    <w:name w:val="Par-bullet"/>
    <w:basedOn w:val="Normal"/>
    <w:next w:val="Normal"/>
    <w:uiPriority w:val="99"/>
    <w:pPr>
      <w:numPr>
        <w:numId w:val="3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4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link w:val="TextkoncovejpoznmkyChar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character" w:styleId="EndnoteReference">
    <w:name w:val="endnote reference"/>
    <w:basedOn w:val="DefaultParagraphFont"/>
    <w:uiPriority w:val="99"/>
    <w:rPr>
      <w:rFonts w:cs="Times New Roman"/>
      <w:b/>
      <w:vertAlign w:val="superscript"/>
      <w:rtl w:val="0"/>
      <w:cs w:val="0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Par-numberi0">
    <w:name w:val="Par-number (i)"/>
    <w:basedOn w:val="Normal"/>
    <w:next w:val="Normal"/>
    <w:uiPriority w:val="99"/>
    <w:pPr>
      <w:numPr>
        <w:numId w:val="1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2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customStyle="1" w:styleId="NormalConseil">
    <w:name w:val="NormalConseil"/>
    <w:basedOn w:val="Normal"/>
    <w:uiPriority w:val="99"/>
    <w:rsid w:val="00F41AA2"/>
    <w:pPr>
      <w:widowControl/>
      <w:spacing w:line="240" w:lineRule="auto"/>
      <w:jc w:val="left"/>
    </w:pPr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798</Words>
  <Characters>4864</Characters>
  <Application>Microsoft Office Word</Application>
  <DocSecurity>0</DocSecurity>
  <Lines>0</Lines>
  <Paragraphs>0</Paragraphs>
  <ScaleCrop>false</ScaleCrop>
  <Company>DTI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SYSAKMI</dc:creator>
  <cp:lastModifiedBy>bauml</cp:lastModifiedBy>
  <cp:revision>3</cp:revision>
  <cp:lastPrinted>2013-03-20T10:27:00Z</cp:lastPrinted>
  <dcterms:created xsi:type="dcterms:W3CDTF">2013-01-14T13:03:00Z</dcterms:created>
  <dcterms:modified xsi:type="dcterms:W3CDTF">2013-03-20T10:27:00Z</dcterms:modified>
</cp:coreProperties>
</file>