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6ED8" w:rsidRPr="009F6ED8" w:rsidP="009F6ED8">
      <w:pPr>
        <w:autoSpaceDE w:val="0"/>
        <w:autoSpaceDN w:val="0"/>
        <w:bidi w:val="0"/>
        <w:jc w:val="center"/>
        <w:rPr>
          <w:rFonts w:ascii="Times New Roman" w:hAnsi="Times New Roman"/>
          <w:b/>
          <w:caps/>
          <w:spacing w:val="30"/>
        </w:rPr>
      </w:pPr>
      <w:r w:rsidRPr="009F6ED8">
        <w:rPr>
          <w:rFonts w:ascii="Times New Roman" w:hAnsi="Times New Roman"/>
          <w:b/>
          <w:caps/>
          <w:spacing w:val="30"/>
        </w:rPr>
        <w:t>Doložka zlučiteľnosti</w:t>
      </w:r>
    </w:p>
    <w:p w:rsidR="009F6ED8" w:rsidRPr="009F6ED8" w:rsidP="009F6ED8">
      <w:pPr>
        <w:autoSpaceDE w:val="0"/>
        <w:autoSpaceDN w:val="0"/>
        <w:bidi w:val="0"/>
        <w:jc w:val="center"/>
        <w:rPr>
          <w:rFonts w:ascii="Times New Roman" w:hAnsi="Times New Roman"/>
          <w:b/>
        </w:rPr>
      </w:pPr>
      <w:r w:rsidRPr="009F6ED8">
        <w:rPr>
          <w:rFonts w:ascii="Times New Roman" w:hAnsi="Times New Roman"/>
          <w:b/>
        </w:rPr>
        <w:t>právneho predpisu s právom Európskej únie </w:t>
      </w:r>
    </w:p>
    <w:p w:rsidR="009F6ED8" w:rsidRPr="009F6ED8" w:rsidP="009F6ED8">
      <w:pPr>
        <w:autoSpaceDE w:val="0"/>
        <w:autoSpaceDN w:val="0"/>
        <w:bidi w:val="0"/>
        <w:rPr>
          <w:rFonts w:ascii="Times New Roman" w:hAnsi="Times New Roman"/>
        </w:rPr>
      </w:pPr>
    </w:p>
    <w:p w:rsidR="009F6ED8" w:rsidRPr="009F6ED8" w:rsidP="009F6ED8">
      <w:pPr>
        <w:autoSpaceDE w:val="0"/>
        <w:autoSpaceDN w:val="0"/>
        <w:bidi w:val="0"/>
        <w:rPr>
          <w:rFonts w:ascii="Times New Roman" w:hAnsi="Times New Roman"/>
        </w:rPr>
      </w:pPr>
    </w:p>
    <w:p w:rsidR="009F6ED8" w:rsidRPr="009F6ED8" w:rsidP="009F6ED8">
      <w:pPr>
        <w:autoSpaceDE w:val="0"/>
        <w:autoSpaceDN w:val="0"/>
        <w:bidi w:val="0"/>
        <w:ind w:left="360" w:hanging="360"/>
        <w:rPr>
          <w:rFonts w:ascii="Times New Roman" w:hAnsi="Times New Roman"/>
          <w:b/>
        </w:rPr>
      </w:pPr>
      <w:r w:rsidRPr="009F6ED8">
        <w:rPr>
          <w:rFonts w:ascii="Times New Roman" w:hAnsi="Times New Roman"/>
          <w:b/>
        </w:rPr>
        <w:t>1.</w:t>
        <w:tab/>
        <w:t>Predkladateľ právneho predpisu:</w:t>
      </w:r>
      <w:r w:rsidRPr="009F6ED8">
        <w:rPr>
          <w:rFonts w:ascii="Times New Roman" w:hAnsi="Times New Roman"/>
        </w:rPr>
        <w:t xml:space="preserve"> vláda Slovenskej republiky </w:t>
      </w:r>
    </w:p>
    <w:p w:rsidR="009F6ED8" w:rsidRPr="009F6ED8" w:rsidP="009F6ED8">
      <w:pPr>
        <w:tabs>
          <w:tab w:val="left" w:pos="360"/>
        </w:tabs>
        <w:autoSpaceDE w:val="0"/>
        <w:autoSpaceDN w:val="0"/>
        <w:bidi w:val="0"/>
        <w:ind w:left="360"/>
        <w:rPr>
          <w:rFonts w:ascii="Times New Roman" w:hAnsi="Times New Roman"/>
        </w:rPr>
      </w:pPr>
      <w:r w:rsidRPr="009F6ED8">
        <w:rPr>
          <w:rFonts w:ascii="Times New Roman" w:hAnsi="Times New Roman"/>
        </w:rPr>
        <w:t xml:space="preserve"> </w:t>
      </w:r>
    </w:p>
    <w:p w:rsidR="009F6ED8" w:rsidRPr="009F6ED8" w:rsidP="009F6ED8">
      <w:pPr>
        <w:autoSpaceDE w:val="0"/>
        <w:autoSpaceDN w:val="0"/>
        <w:bidi w:val="0"/>
        <w:ind w:left="360" w:hanging="360"/>
        <w:jc w:val="both"/>
        <w:rPr>
          <w:rFonts w:ascii="Times New Roman" w:hAnsi="Times New Roman"/>
          <w:b/>
        </w:rPr>
      </w:pPr>
      <w:r w:rsidRPr="009F6ED8">
        <w:rPr>
          <w:rFonts w:ascii="Times New Roman" w:hAnsi="Times New Roman"/>
          <w:b/>
        </w:rPr>
        <w:t>2.</w:t>
        <w:tab/>
        <w:t>Názov návrhu právneho predpisu:</w:t>
      </w:r>
      <w:r w:rsidRPr="009F6ED8">
        <w:rPr>
          <w:rFonts w:ascii="Times New Roman" w:hAnsi="Times New Roman"/>
        </w:rPr>
        <w:t xml:space="preserve"> Návrh zákona, ktorým sa mení a dopĺňa zákon č. 618/2003 Z. z. o autorskom práve a právach súvisiacich s autorským právom (autorský zákon) v znení neskorších predpisov a </w:t>
      </w:r>
      <w:r w:rsidR="00351E5B">
        <w:rPr>
          <w:rFonts w:ascii="Times New Roman" w:hAnsi="Times New Roman"/>
        </w:rPr>
        <w:t> ktorým sa mení</w:t>
      </w:r>
      <w:r w:rsidRPr="009F6ED8">
        <w:rPr>
          <w:rFonts w:ascii="Times New Roman" w:hAnsi="Times New Roman"/>
        </w:rPr>
        <w:t xml:space="preserve"> zákon č. 212/1997 Z. z. o povinných výtlačkoch periodických publikácií, neperiodických publikácií a rozmnoženín audiovizuálnych diel v znení neskorších predpisov</w:t>
      </w:r>
    </w:p>
    <w:p w:rsidR="009F6ED8" w:rsidRPr="009F6ED8" w:rsidP="009F6ED8">
      <w:pPr>
        <w:autoSpaceDE w:val="0"/>
        <w:autoSpaceDN w:val="0"/>
        <w:bidi w:val="0"/>
        <w:rPr>
          <w:rFonts w:ascii="Times New Roman" w:hAnsi="Times New Roman"/>
        </w:rPr>
      </w:pPr>
    </w:p>
    <w:p w:rsidR="009F6ED8" w:rsidRPr="009F6ED8" w:rsidP="009F6ED8">
      <w:pPr>
        <w:autoSpaceDE w:val="0"/>
        <w:autoSpaceDN w:val="0"/>
        <w:bidi w:val="0"/>
        <w:ind w:left="360" w:hanging="360"/>
        <w:rPr>
          <w:rFonts w:ascii="Times New Roman" w:hAnsi="Times New Roman"/>
          <w:b/>
        </w:rPr>
      </w:pPr>
      <w:r w:rsidRPr="009F6ED8">
        <w:rPr>
          <w:rFonts w:ascii="Times New Roman" w:hAnsi="Times New Roman"/>
          <w:b/>
        </w:rPr>
        <w:t>3.</w:t>
        <w:tab/>
        <w:t>Problematika návrhu právneho predpisu:</w:t>
      </w:r>
    </w:p>
    <w:p w:rsidR="009F6ED8" w:rsidRPr="009F6ED8" w:rsidP="009F6ED8">
      <w:pPr>
        <w:autoSpaceDE w:val="0"/>
        <w:autoSpaceDN w:val="0"/>
        <w:bidi w:val="0"/>
        <w:ind w:firstLine="360"/>
        <w:rPr>
          <w:rFonts w:ascii="Times New Roman" w:hAnsi="Times New Roman"/>
        </w:rPr>
      </w:pPr>
    </w:p>
    <w:p w:rsidR="009F6ED8" w:rsidRPr="009F6ED8" w:rsidP="009F6ED8">
      <w:pPr>
        <w:autoSpaceDE w:val="0"/>
        <w:autoSpaceDN w:val="0"/>
        <w:bidi w:val="0"/>
        <w:ind w:left="709" w:hanging="349"/>
        <w:rPr>
          <w:rFonts w:ascii="Times New Roman" w:hAnsi="Times New Roman"/>
        </w:rPr>
      </w:pPr>
      <w:r w:rsidRPr="009F6ED8">
        <w:rPr>
          <w:rFonts w:ascii="Times New Roman" w:hAnsi="Times New Roman"/>
        </w:rPr>
        <w:t>a)</w:t>
        <w:tab/>
        <w:t>je upravená v práve Európskej únie</w:t>
      </w:r>
    </w:p>
    <w:p w:rsidR="009F6ED8" w:rsidRPr="009F6ED8" w:rsidP="009F6ED8">
      <w:pPr>
        <w:autoSpaceDE w:val="0"/>
        <w:autoSpaceDN w:val="0"/>
        <w:bidi w:val="0"/>
        <w:ind w:left="360"/>
        <w:rPr>
          <w:rFonts w:ascii="Times New Roman" w:hAnsi="Times New Roman"/>
        </w:rPr>
      </w:pPr>
    </w:p>
    <w:p w:rsidR="009F6ED8" w:rsidRPr="009F6ED8" w:rsidP="009F6ED8">
      <w:pPr>
        <w:tabs>
          <w:tab w:val="left" w:pos="1068"/>
        </w:tabs>
        <w:autoSpaceDE w:val="0"/>
        <w:autoSpaceDN w:val="0"/>
        <w:bidi w:val="0"/>
        <w:ind w:left="879" w:hanging="171"/>
        <w:rPr>
          <w:rFonts w:ascii="Times New Roman" w:hAnsi="Times New Roman"/>
          <w:i/>
        </w:rPr>
      </w:pPr>
      <w:r w:rsidRPr="009F6ED8">
        <w:rPr>
          <w:rFonts w:ascii="Times New Roman" w:hAnsi="Times New Roman"/>
        </w:rPr>
        <w:t>-</w:t>
        <w:tab/>
      </w:r>
      <w:r w:rsidRPr="009F6ED8">
        <w:rPr>
          <w:rFonts w:ascii="Times New Roman" w:hAnsi="Times New Roman"/>
          <w:i/>
        </w:rPr>
        <w:t>primárnom</w:t>
      </w:r>
    </w:p>
    <w:p w:rsidR="009F6ED8" w:rsidRPr="009F6ED8" w:rsidP="009F6ED8">
      <w:pPr>
        <w:autoSpaceDE w:val="0"/>
        <w:autoSpaceDN w:val="0"/>
        <w:bidi w:val="0"/>
        <w:ind w:left="851"/>
        <w:rPr>
          <w:rFonts w:ascii="Times New Roman" w:hAnsi="Times New Roman"/>
        </w:rPr>
      </w:pPr>
    </w:p>
    <w:p w:rsidR="009F6ED8" w:rsidRPr="009F6ED8" w:rsidP="009F6ED8">
      <w:pPr>
        <w:autoSpaceDE w:val="0"/>
        <w:autoSpaceDN w:val="0"/>
        <w:bidi w:val="0"/>
        <w:ind w:left="851"/>
        <w:rPr>
          <w:rFonts w:ascii="Times New Roman" w:hAnsi="Times New Roman"/>
        </w:rPr>
      </w:pPr>
      <w:r w:rsidR="0090312C">
        <w:rPr>
          <w:rFonts w:ascii="Times New Roman" w:hAnsi="Times New Roman"/>
        </w:rPr>
        <w:t>čl. 53 ods. 1,</w:t>
      </w:r>
      <w:r w:rsidRPr="009F6ED8">
        <w:rPr>
          <w:rFonts w:ascii="Times New Roman" w:hAnsi="Times New Roman"/>
        </w:rPr>
        <w:t xml:space="preserve"> 62 a 114 Zmluvy o fungovaní Európskej únie</w:t>
      </w:r>
    </w:p>
    <w:p w:rsidR="009F6ED8" w:rsidRPr="009F6ED8" w:rsidP="00991EF1">
      <w:pPr>
        <w:tabs>
          <w:tab w:val="left" w:pos="1068"/>
        </w:tabs>
        <w:autoSpaceDE w:val="0"/>
        <w:autoSpaceDN w:val="0"/>
        <w:bidi w:val="0"/>
        <w:rPr>
          <w:rFonts w:ascii="Times New Roman" w:hAnsi="Times New Roman"/>
        </w:rPr>
      </w:pPr>
    </w:p>
    <w:p w:rsidR="009F6ED8" w:rsidRPr="009F6ED8" w:rsidP="009F6ED8">
      <w:pPr>
        <w:tabs>
          <w:tab w:val="left" w:pos="1068"/>
        </w:tabs>
        <w:autoSpaceDE w:val="0"/>
        <w:autoSpaceDN w:val="0"/>
        <w:bidi w:val="0"/>
        <w:ind w:left="879" w:hanging="171"/>
        <w:rPr>
          <w:rFonts w:ascii="Times New Roman" w:hAnsi="Times New Roman"/>
          <w:i/>
        </w:rPr>
      </w:pPr>
      <w:r w:rsidR="000F3769">
        <w:rPr>
          <w:rFonts w:ascii="Times New Roman" w:hAnsi="Times New Roman"/>
        </w:rPr>
        <w:t>-</w:t>
      </w:r>
      <w:r w:rsidRPr="009F6ED8">
        <w:rPr>
          <w:rFonts w:ascii="Times New Roman" w:hAnsi="Times New Roman"/>
        </w:rPr>
        <w:tab/>
      </w:r>
      <w:r w:rsidRPr="009F6ED8">
        <w:rPr>
          <w:rFonts w:ascii="Times New Roman" w:hAnsi="Times New Roman"/>
          <w:i/>
        </w:rPr>
        <w:t>sekundárnom (prijatom po nadobudnutí  platnosti Lisabonskej zmluvy, ktorou sa mení a dopĺňa Zmluva o Európskom spoločenstve a Zmluva o Európskej únii – po 30. novembri 2009)</w:t>
      </w:r>
    </w:p>
    <w:p w:rsidR="009F6ED8" w:rsidRPr="009F6ED8" w:rsidP="009F6ED8">
      <w:pPr>
        <w:tabs>
          <w:tab w:val="left" w:pos="1068"/>
        </w:tabs>
        <w:autoSpaceDE w:val="0"/>
        <w:autoSpaceDN w:val="0"/>
        <w:bidi w:val="0"/>
        <w:ind w:left="879" w:hanging="171"/>
        <w:rPr>
          <w:rFonts w:ascii="Times New Roman" w:hAnsi="Times New Roman"/>
          <w:i/>
        </w:rPr>
      </w:pPr>
    </w:p>
    <w:p w:rsidR="009F6ED8" w:rsidRPr="009F6ED8" w:rsidP="009F6ED8">
      <w:pPr>
        <w:autoSpaceDE w:val="0"/>
        <w:autoSpaceDN w:val="0"/>
        <w:bidi w:val="0"/>
        <w:ind w:left="1239" w:hanging="360"/>
        <w:rPr>
          <w:rFonts w:ascii="Times New Roman" w:hAnsi="Times New Roman"/>
          <w:i/>
        </w:rPr>
      </w:pPr>
      <w:r w:rsidRPr="009F6ED8">
        <w:rPr>
          <w:rFonts w:ascii="Times New Roman" w:hAnsi="Times New Roman"/>
        </w:rPr>
        <w:t>1.</w:t>
        <w:tab/>
        <w:t xml:space="preserve">legislatívne akty </w:t>
      </w:r>
    </w:p>
    <w:p w:rsidR="009F6ED8" w:rsidRPr="009F6ED8" w:rsidP="009F6ED8">
      <w:pPr>
        <w:autoSpaceDE w:val="0"/>
        <w:autoSpaceDN w:val="0"/>
        <w:bidi w:val="0"/>
        <w:ind w:firstLine="360"/>
        <w:rPr>
          <w:rFonts w:ascii="Times New Roman" w:hAnsi="Times New Roman"/>
        </w:rPr>
      </w:pPr>
    </w:p>
    <w:p w:rsidR="009F6ED8" w:rsidRPr="009F6ED8" w:rsidP="009F6ED8">
      <w:pPr>
        <w:autoSpaceDE w:val="0"/>
        <w:autoSpaceDN w:val="0"/>
        <w:bidi w:val="0"/>
        <w:ind w:left="851"/>
        <w:jc w:val="both"/>
        <w:rPr>
          <w:rFonts w:ascii="Times New Roman" w:hAnsi="Times New Roman"/>
        </w:rPr>
      </w:pPr>
      <w:r w:rsidRPr="009F6ED8">
        <w:rPr>
          <w:rFonts w:ascii="Times New Roman" w:hAnsi="Times New Roman"/>
        </w:rPr>
        <w:t>Smernica Európskeho Parlamentu a Rady  2011/77/EÚ z 27. septembra 2011,  ktorou sa mení a dopĺňa smernica 2006/116/ES o lehote ochrany autorského práva a niektorých súvisiacich práv</w:t>
      </w:r>
      <w:r w:rsidR="00351E5B">
        <w:rPr>
          <w:rFonts w:ascii="Times New Roman" w:hAnsi="Times New Roman"/>
        </w:rPr>
        <w:t xml:space="preserve"> (Ú. v. </w:t>
      </w:r>
      <w:r w:rsidR="00165783">
        <w:rPr>
          <w:rFonts w:ascii="Times New Roman" w:hAnsi="Times New Roman"/>
        </w:rPr>
        <w:t xml:space="preserve">EÚ </w:t>
      </w:r>
      <w:r w:rsidR="00351E5B">
        <w:rPr>
          <w:rFonts w:ascii="Times New Roman" w:hAnsi="Times New Roman"/>
        </w:rPr>
        <w:t>L 265, 11.10.2011)</w:t>
      </w:r>
    </w:p>
    <w:p w:rsidR="009F6ED8" w:rsidRPr="009F6ED8" w:rsidP="009F6ED8">
      <w:pPr>
        <w:autoSpaceDE w:val="0"/>
        <w:autoSpaceDN w:val="0"/>
        <w:bidi w:val="0"/>
        <w:ind w:left="851"/>
        <w:rPr>
          <w:rFonts w:ascii="Times New Roman" w:hAnsi="Times New Roman"/>
        </w:rPr>
      </w:pPr>
    </w:p>
    <w:p w:rsidR="009F6ED8" w:rsidRPr="009F6ED8" w:rsidP="009F6ED8">
      <w:pPr>
        <w:autoSpaceDE w:val="0"/>
        <w:autoSpaceDN w:val="0"/>
        <w:bidi w:val="0"/>
        <w:ind w:left="879" w:hanging="171"/>
        <w:jc w:val="both"/>
        <w:rPr>
          <w:rFonts w:ascii="Times New Roman" w:hAnsi="Times New Roman"/>
          <w:i/>
        </w:rPr>
      </w:pPr>
      <w:r w:rsidRPr="009F6ED8">
        <w:rPr>
          <w:rFonts w:ascii="Times New Roman" w:hAnsi="Times New Roman"/>
        </w:rPr>
        <w:t>-</w:t>
        <w:tab/>
      </w:r>
      <w:r w:rsidRPr="009F6ED8">
        <w:rPr>
          <w:rFonts w:ascii="Times New Roman" w:hAnsi="Times New Roman"/>
          <w:i/>
        </w:rPr>
        <w:t>sekundárnom (prijatom pred nadobudnutím platnosti Lisabonskej zmluvy, ktorou sa mení a dopĺňa Zmluva o Európskom spoločenstve a Zmluva o Európskej únii – do 30. novembra 2009)</w:t>
      </w:r>
    </w:p>
    <w:p w:rsidR="009F6ED8" w:rsidRPr="009F6ED8" w:rsidP="009F6ED8">
      <w:pPr>
        <w:autoSpaceDE w:val="0"/>
        <w:autoSpaceDN w:val="0"/>
        <w:bidi w:val="0"/>
        <w:ind w:firstLine="708"/>
        <w:jc w:val="both"/>
        <w:rPr>
          <w:rFonts w:ascii="Times New Roman" w:hAnsi="Times New Roman"/>
        </w:rPr>
      </w:pPr>
    </w:p>
    <w:tbl>
      <w:tblPr>
        <w:tblStyle w:val="TableNormal"/>
        <w:tblW w:w="0" w:type="auto"/>
        <w:tblInd w:w="918" w:type="dxa"/>
        <w:tblLayout w:type="fixed"/>
        <w:tblLook w:val="04A0"/>
      </w:tblPr>
      <w:tblGrid>
        <w:gridCol w:w="8658"/>
      </w:tblGrid>
      <w:tr>
        <w:tblPrEx>
          <w:tblW w:w="0" w:type="auto"/>
          <w:tblInd w:w="918" w:type="dxa"/>
          <w:tblLayout w:type="fixed"/>
          <w:tblLook w:val="04A0"/>
        </w:tblPrEx>
        <w:tc>
          <w:tcPr>
            <w:tcW w:w="86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F6ED8" w:rsidP="009F6ED8">
            <w:pPr>
              <w:autoSpaceDE w:val="0"/>
              <w:autoSpaceDN w:val="0"/>
              <w:bidi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9F6ED8">
              <w:rPr>
                <w:rFonts w:ascii="Times New Roman" w:hAnsi="Times New Roman"/>
              </w:rPr>
              <w:t>Smernica Európskeho parlamentu a Rady 2001/29/ES z 22. mája 2001</w:t>
            </w:r>
            <w:r w:rsidR="00165783">
              <w:rPr>
                <w:rFonts w:ascii="Times New Roman" w:hAnsi="Times New Roman"/>
              </w:rPr>
              <w:t xml:space="preserve"> </w:t>
            </w:r>
            <w:r w:rsidRPr="009F6ED8">
              <w:rPr>
                <w:rFonts w:ascii="Times New Roman" w:hAnsi="Times New Roman"/>
              </w:rPr>
              <w:t>o zosúladení niektorých aspektov autorských práv a s nimi súvisiacich práv v informačnej spoločnosti</w:t>
            </w:r>
            <w:r w:rsidR="00351E5B">
              <w:rPr>
                <w:rFonts w:ascii="Times New Roman" w:hAnsi="Times New Roman"/>
              </w:rPr>
              <w:t xml:space="preserve"> (Mimoriadne vydanie Ú. v. EÚ, kap. 17 / zv. 1)</w:t>
            </w:r>
          </w:p>
          <w:p w:rsidR="00951DF7" w:rsidP="009F6ED8">
            <w:pPr>
              <w:autoSpaceDE w:val="0"/>
              <w:autoSpaceDN w:val="0"/>
              <w:bidi w:val="0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:rsidR="00951DF7" w:rsidRPr="009F6ED8" w:rsidP="00165783">
            <w:pPr>
              <w:autoSpaceDE w:val="0"/>
              <w:autoSpaceDN w:val="0"/>
              <w:bidi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9F6ED8">
              <w:rPr>
                <w:rFonts w:ascii="Times New Roman" w:hAnsi="Times New Roman"/>
              </w:rPr>
              <w:t xml:space="preserve">mernica </w:t>
            </w:r>
            <w:r w:rsidR="002F24DD">
              <w:rPr>
                <w:rFonts w:ascii="Times New Roman" w:hAnsi="Times New Roman"/>
              </w:rPr>
              <w:t xml:space="preserve">Európskeho parlamentu a Rady </w:t>
            </w:r>
            <w:r w:rsidRPr="009F6ED8">
              <w:rPr>
                <w:rFonts w:ascii="Times New Roman" w:hAnsi="Times New Roman"/>
              </w:rPr>
              <w:t>2006/116/ES</w:t>
            </w:r>
            <w:r w:rsidR="002F24DD">
              <w:rPr>
                <w:rFonts w:ascii="Times New Roman" w:hAnsi="Times New Roman"/>
              </w:rPr>
              <w:t xml:space="preserve"> z 12. decembra 2006</w:t>
            </w:r>
            <w:r w:rsidRPr="009F6ED8">
              <w:rPr>
                <w:rFonts w:ascii="Times New Roman" w:hAnsi="Times New Roman"/>
              </w:rPr>
              <w:t xml:space="preserve"> o lehote ochrany autorského práva a niektorých súvisiacich práv</w:t>
            </w:r>
            <w:r w:rsidR="00165783">
              <w:rPr>
                <w:rFonts w:ascii="Times New Roman" w:hAnsi="Times New Roman"/>
              </w:rPr>
              <w:t xml:space="preserve"> (Ú. v. EÚ L 372, 27.12.2006)</w:t>
            </w:r>
          </w:p>
        </w:tc>
      </w:tr>
    </w:tbl>
    <w:p w:rsidR="009F6ED8" w:rsidRPr="009F6ED8" w:rsidP="00991EF1">
      <w:pPr>
        <w:autoSpaceDE w:val="0"/>
        <w:autoSpaceDN w:val="0"/>
        <w:bidi w:val="0"/>
        <w:rPr>
          <w:rFonts w:ascii="Times New Roman" w:hAnsi="Times New Roman"/>
        </w:rPr>
      </w:pPr>
    </w:p>
    <w:p w:rsidR="009F6ED8" w:rsidRPr="009F6ED8" w:rsidP="009F6ED8">
      <w:pPr>
        <w:autoSpaceDE w:val="0"/>
        <w:autoSpaceDN w:val="0"/>
        <w:bidi w:val="0"/>
        <w:ind w:left="709" w:hanging="349"/>
        <w:rPr>
          <w:rFonts w:ascii="Times New Roman" w:hAnsi="Times New Roman"/>
        </w:rPr>
      </w:pPr>
      <w:r w:rsidRPr="009F6ED8">
        <w:rPr>
          <w:rFonts w:ascii="Times New Roman" w:hAnsi="Times New Roman"/>
        </w:rPr>
        <w:t>b)</w:t>
        <w:tab/>
        <w:t>je obsiahnutá v judikatúre Súdneho dvora Európskej únie.</w:t>
      </w:r>
    </w:p>
    <w:p w:rsidR="009F6ED8" w:rsidP="009F6ED8">
      <w:pPr>
        <w:autoSpaceDE w:val="0"/>
        <w:autoSpaceDN w:val="0"/>
        <w:bidi w:val="0"/>
        <w:ind w:left="360"/>
        <w:rPr>
          <w:rFonts w:ascii="Times New Roman" w:hAnsi="Times New Roman"/>
        </w:rPr>
      </w:pPr>
    </w:p>
    <w:p w:rsidR="006237F7" w:rsidP="006237F7">
      <w:pPr>
        <w:autoSpaceDE w:val="0"/>
        <w:autoSpaceDN w:val="0"/>
        <w:bidi w:val="0"/>
        <w:ind w:left="360" w:firstLine="349"/>
        <w:rPr>
          <w:rFonts w:ascii="Times New Roman" w:hAnsi="Times New Roman"/>
        </w:rPr>
      </w:pPr>
      <w:r>
        <w:rPr>
          <w:rFonts w:ascii="Times New Roman" w:hAnsi="Times New Roman"/>
        </w:rPr>
        <w:t>Rozsudok Súdneho dvora vo veci C-05/08 z</w:t>
      </w:r>
      <w:r w:rsidR="0006238F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="0006238F">
        <w:rPr>
          <w:rFonts w:ascii="Times New Roman" w:hAnsi="Times New Roman"/>
        </w:rPr>
        <w:t>16</w:t>
      </w:r>
      <w:r>
        <w:rPr>
          <w:rFonts w:ascii="Times New Roman" w:hAnsi="Times New Roman"/>
        </w:rPr>
        <w:t>.</w:t>
      </w:r>
      <w:r w:rsidR="0006238F">
        <w:rPr>
          <w:rFonts w:ascii="Times New Roman" w:hAnsi="Times New Roman"/>
        </w:rPr>
        <w:t xml:space="preserve"> júla 2009</w:t>
      </w:r>
      <w:r>
        <w:rPr>
          <w:rFonts w:ascii="Times New Roman" w:hAnsi="Times New Roman"/>
        </w:rPr>
        <w:t>.</w:t>
      </w:r>
    </w:p>
    <w:p w:rsidR="006237F7" w:rsidP="009F6ED8">
      <w:pPr>
        <w:autoSpaceDE w:val="0"/>
        <w:autoSpaceDN w:val="0"/>
        <w:bidi w:val="0"/>
        <w:ind w:left="360"/>
        <w:rPr>
          <w:rFonts w:ascii="Times New Roman" w:hAnsi="Times New Roman"/>
        </w:rPr>
      </w:pPr>
    </w:p>
    <w:p w:rsidR="00A80660" w:rsidRPr="009F6ED8" w:rsidP="009F6ED8">
      <w:pPr>
        <w:autoSpaceDE w:val="0"/>
        <w:autoSpaceDN w:val="0"/>
        <w:bidi w:val="0"/>
        <w:ind w:left="360"/>
        <w:rPr>
          <w:rFonts w:ascii="Times New Roman" w:hAnsi="Times New Roman"/>
        </w:rPr>
      </w:pPr>
    </w:p>
    <w:p w:rsidR="009F6ED8" w:rsidRPr="009F6ED8" w:rsidP="009F6ED8">
      <w:pPr>
        <w:autoSpaceDE w:val="0"/>
        <w:autoSpaceDN w:val="0"/>
        <w:bidi w:val="0"/>
        <w:ind w:left="360" w:hanging="360"/>
        <w:rPr>
          <w:rFonts w:ascii="Times New Roman" w:hAnsi="Times New Roman"/>
          <w:b/>
        </w:rPr>
      </w:pPr>
      <w:r w:rsidRPr="009F6ED8">
        <w:rPr>
          <w:rFonts w:ascii="Times New Roman" w:hAnsi="Times New Roman"/>
          <w:b/>
        </w:rPr>
        <w:t>4.</w:t>
        <w:tab/>
        <w:t xml:space="preserve">Záväzky Slovenskej republiky vo vzťahu k Európskej únii: </w:t>
      </w:r>
    </w:p>
    <w:p w:rsidR="009F6ED8" w:rsidRPr="009F6ED8" w:rsidP="009F6ED8">
      <w:pPr>
        <w:autoSpaceDE w:val="0"/>
        <w:autoSpaceDN w:val="0"/>
        <w:bidi w:val="0"/>
        <w:rPr>
          <w:rFonts w:ascii="Times New Roman" w:hAnsi="Times New Roman"/>
        </w:rPr>
      </w:pPr>
    </w:p>
    <w:p w:rsidR="009F6ED8" w:rsidRPr="009F6ED8" w:rsidP="009F6ED8">
      <w:pPr>
        <w:autoSpaceDE w:val="0"/>
        <w:autoSpaceDN w:val="0"/>
        <w:bidi w:val="0"/>
        <w:ind w:left="709" w:hanging="349"/>
        <w:rPr>
          <w:rFonts w:ascii="Times New Roman" w:hAnsi="Times New Roman"/>
        </w:rPr>
      </w:pPr>
      <w:r w:rsidRPr="009F6ED8">
        <w:rPr>
          <w:rFonts w:ascii="Times New Roman" w:hAnsi="Times New Roman"/>
        </w:rPr>
        <w:t>a)</w:t>
        <w:tab/>
        <w:t>lehota na prebratie smernice alebo lehota na implementáciu nariadenia alebo rozhodnutia</w:t>
      </w:r>
    </w:p>
    <w:p w:rsidR="009F6ED8" w:rsidRPr="009F6ED8" w:rsidP="009F6ED8">
      <w:pPr>
        <w:autoSpaceDE w:val="0"/>
        <w:autoSpaceDN w:val="0"/>
        <w:bidi w:val="0"/>
        <w:ind w:left="720"/>
        <w:rPr>
          <w:rFonts w:ascii="Times New Roman" w:hAnsi="Times New Roman"/>
        </w:rPr>
      </w:pPr>
    </w:p>
    <w:p w:rsidR="009F6ED8" w:rsidRPr="009F6ED8" w:rsidP="009F6ED8">
      <w:pPr>
        <w:autoSpaceDE w:val="0"/>
        <w:autoSpaceDN w:val="0"/>
        <w:bidi w:val="0"/>
        <w:ind w:left="720"/>
        <w:rPr>
          <w:rFonts w:ascii="Times New Roman" w:hAnsi="Times New Roman"/>
        </w:rPr>
      </w:pPr>
      <w:r w:rsidRPr="009F6ED8">
        <w:rPr>
          <w:rFonts w:ascii="Times New Roman" w:hAnsi="Times New Roman"/>
        </w:rPr>
        <w:t>1. november 2013 </w:t>
      </w:r>
    </w:p>
    <w:p w:rsidR="009F6ED8" w:rsidRPr="009F6ED8" w:rsidP="009F6ED8">
      <w:pPr>
        <w:autoSpaceDE w:val="0"/>
        <w:autoSpaceDN w:val="0"/>
        <w:bidi w:val="0"/>
        <w:rPr>
          <w:rFonts w:ascii="Times New Roman" w:hAnsi="Times New Roman"/>
        </w:rPr>
      </w:pPr>
    </w:p>
    <w:p w:rsidR="009F6ED8" w:rsidRPr="009F6ED8" w:rsidP="009F6ED8">
      <w:pPr>
        <w:autoSpaceDE w:val="0"/>
        <w:autoSpaceDN w:val="0"/>
        <w:bidi w:val="0"/>
        <w:ind w:left="709" w:hanging="349"/>
        <w:rPr>
          <w:rFonts w:ascii="Times New Roman" w:hAnsi="Times New Roman"/>
        </w:rPr>
      </w:pPr>
      <w:r w:rsidRPr="009F6ED8">
        <w:rPr>
          <w:rFonts w:ascii="Times New Roman" w:hAnsi="Times New Roman"/>
        </w:rPr>
        <w:t>b)</w:t>
        <w:tab/>
      </w:r>
      <w:r w:rsidRPr="009F6ED8">
        <w:rPr>
          <w:rFonts w:ascii="Times New Roman" w:hAnsi="Times New Roman"/>
          <w:color w:val="000000"/>
        </w:rPr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9F6ED8" w:rsidRPr="009F6ED8" w:rsidP="009F6ED8">
      <w:pPr>
        <w:autoSpaceDE w:val="0"/>
        <w:autoSpaceDN w:val="0"/>
        <w:bidi w:val="0"/>
        <w:ind w:left="709" w:hanging="349"/>
        <w:rPr>
          <w:rFonts w:ascii="Times New Roman" w:hAnsi="Times New Roman"/>
        </w:rPr>
      </w:pPr>
      <w:r w:rsidRPr="009F6ED8">
        <w:rPr>
          <w:rFonts w:ascii="Times New Roman" w:hAnsi="Times New Roman"/>
        </w:rPr>
        <w:tab/>
      </w:r>
    </w:p>
    <w:p w:rsidR="009F6ED8" w:rsidRPr="009F6ED8" w:rsidP="009F6ED8">
      <w:pPr>
        <w:autoSpaceDE w:val="0"/>
        <w:autoSpaceDN w:val="0"/>
        <w:bidi w:val="0"/>
        <w:ind w:left="709" w:hanging="349"/>
        <w:rPr>
          <w:rFonts w:ascii="Times New Roman" w:hAnsi="Times New Roman"/>
        </w:rPr>
      </w:pPr>
      <w:r w:rsidRPr="009F6ED8">
        <w:rPr>
          <w:rFonts w:ascii="Times New Roman" w:hAnsi="Times New Roman"/>
        </w:rPr>
        <w:tab/>
        <w:t>15. júla 2013 </w:t>
      </w:r>
    </w:p>
    <w:p w:rsidR="009F6ED8" w:rsidRPr="009F6ED8" w:rsidP="009F6ED8">
      <w:pPr>
        <w:autoSpaceDE w:val="0"/>
        <w:autoSpaceDN w:val="0"/>
        <w:bidi w:val="0"/>
        <w:ind w:left="709" w:hanging="349"/>
        <w:rPr>
          <w:rFonts w:ascii="Times New Roman" w:hAnsi="Times New Roman"/>
        </w:rPr>
      </w:pPr>
    </w:p>
    <w:p w:rsidR="009F6ED8" w:rsidRPr="009F6ED8" w:rsidP="009F6ED8">
      <w:pPr>
        <w:autoSpaceDE w:val="0"/>
        <w:autoSpaceDN w:val="0"/>
        <w:bidi w:val="0"/>
        <w:ind w:left="709" w:hanging="349"/>
        <w:rPr>
          <w:rFonts w:ascii="Times New Roman" w:hAnsi="Times New Roman"/>
        </w:rPr>
      </w:pPr>
      <w:r w:rsidRPr="009F6ED8">
        <w:rPr>
          <w:rFonts w:ascii="Times New Roman" w:hAnsi="Times New Roman"/>
        </w:rPr>
        <w:t>c)</w:t>
        <w:tab/>
        <w:t>informácia o konaní začatom proti Slovenskej republike o porušení podľa čl. 258 až 260 Zmluvy o fungovaní Európskej únie</w:t>
      </w:r>
    </w:p>
    <w:p w:rsidR="009F6ED8" w:rsidRPr="009F6ED8" w:rsidP="009F6ED8">
      <w:pPr>
        <w:autoSpaceDE w:val="0"/>
        <w:autoSpaceDN w:val="0"/>
        <w:bidi w:val="0"/>
        <w:ind w:left="720"/>
        <w:rPr>
          <w:rFonts w:ascii="Times New Roman" w:hAnsi="Times New Roman"/>
        </w:rPr>
      </w:pPr>
    </w:p>
    <w:p w:rsidR="009F6ED8" w:rsidRPr="009F6ED8" w:rsidP="009F6ED8">
      <w:pPr>
        <w:autoSpaceDE w:val="0"/>
        <w:autoSpaceDN w:val="0"/>
        <w:bidi w:val="0"/>
        <w:ind w:firstLine="708"/>
        <w:rPr>
          <w:rFonts w:ascii="Times New Roman" w:hAnsi="Times New Roman"/>
        </w:rPr>
      </w:pPr>
      <w:r w:rsidRPr="009F6ED8">
        <w:rPr>
          <w:rFonts w:ascii="Times New Roman" w:hAnsi="Times New Roman"/>
        </w:rPr>
        <w:t>nie je </w:t>
      </w:r>
    </w:p>
    <w:p w:rsidR="009F6ED8" w:rsidRPr="009F6ED8" w:rsidP="009F6ED8">
      <w:pPr>
        <w:autoSpaceDE w:val="0"/>
        <w:autoSpaceDN w:val="0"/>
        <w:bidi w:val="0"/>
        <w:ind w:firstLine="708"/>
        <w:rPr>
          <w:rFonts w:ascii="Times New Roman" w:hAnsi="Times New Roman"/>
        </w:rPr>
      </w:pPr>
    </w:p>
    <w:p w:rsidR="009F6ED8" w:rsidRPr="009F6ED8" w:rsidP="009F6ED8">
      <w:pPr>
        <w:autoSpaceDE w:val="0"/>
        <w:autoSpaceDN w:val="0"/>
        <w:bidi w:val="0"/>
        <w:ind w:left="709" w:hanging="349"/>
        <w:rPr>
          <w:rFonts w:ascii="Times New Roman" w:hAnsi="Times New Roman"/>
        </w:rPr>
      </w:pPr>
      <w:r w:rsidRPr="009F6ED8">
        <w:rPr>
          <w:rFonts w:ascii="Times New Roman" w:hAnsi="Times New Roman"/>
        </w:rPr>
        <w:t>d)</w:t>
        <w:tab/>
        <w:t>informácia o právnych predpisoch, v ktorých sú preberané smernice už prebraté spolu s uvedením rozsahu tohto prebratia</w:t>
      </w:r>
    </w:p>
    <w:p w:rsidR="009F6ED8" w:rsidRPr="009F6ED8" w:rsidP="009F6ED8">
      <w:pPr>
        <w:autoSpaceDE w:val="0"/>
        <w:autoSpaceDN w:val="0"/>
        <w:bidi w:val="0"/>
        <w:ind w:left="720"/>
        <w:rPr>
          <w:rFonts w:ascii="Times New Roman" w:hAnsi="Times New Roman"/>
        </w:rPr>
      </w:pPr>
    </w:p>
    <w:p w:rsidR="009F6ED8" w:rsidRPr="009F6ED8" w:rsidP="009F6ED8">
      <w:pPr>
        <w:autoSpaceDE w:val="0"/>
        <w:autoSpaceDN w:val="0"/>
        <w:bidi w:val="0"/>
        <w:ind w:left="720"/>
        <w:rPr>
          <w:rFonts w:ascii="Times New Roman" w:hAnsi="Times New Roman"/>
        </w:rPr>
      </w:pPr>
      <w:r w:rsidRPr="009F6ED8">
        <w:rPr>
          <w:rFonts w:ascii="Times New Roman" w:hAnsi="Times New Roman"/>
        </w:rPr>
        <w:t>Zákon č. 618/2003 Z. z. o autorskom práve a právach súvisiacich s autorským právom (autorský zákon) v znení neskorších predpisov</w:t>
      </w:r>
    </w:p>
    <w:p w:rsidR="009F6ED8" w:rsidRPr="009F6ED8" w:rsidP="009F6ED8">
      <w:pPr>
        <w:autoSpaceDE w:val="0"/>
        <w:autoSpaceDN w:val="0"/>
        <w:bidi w:val="0"/>
        <w:ind w:firstLine="708"/>
        <w:rPr>
          <w:rFonts w:ascii="Times New Roman" w:hAnsi="Times New Roman"/>
        </w:rPr>
      </w:pPr>
    </w:p>
    <w:p w:rsidR="009F6ED8" w:rsidRPr="009F6ED8" w:rsidP="009F6ED8">
      <w:pPr>
        <w:autoSpaceDE w:val="0"/>
        <w:autoSpaceDN w:val="0"/>
        <w:bidi w:val="0"/>
        <w:ind w:left="360" w:hanging="360"/>
        <w:rPr>
          <w:rFonts w:ascii="Times New Roman" w:hAnsi="Times New Roman"/>
          <w:b/>
        </w:rPr>
      </w:pPr>
      <w:r w:rsidRPr="009F6ED8">
        <w:rPr>
          <w:rFonts w:ascii="Times New Roman" w:hAnsi="Times New Roman"/>
          <w:b/>
        </w:rPr>
        <w:t>5.</w:t>
        <w:tab/>
        <w:t>Stupeň zlučiteľnosti návrhu právneho predpisu s právom Európskej únie:</w:t>
      </w:r>
    </w:p>
    <w:p w:rsidR="009F6ED8" w:rsidRPr="009F6ED8" w:rsidP="009F6ED8">
      <w:pPr>
        <w:autoSpaceDE w:val="0"/>
        <w:autoSpaceDN w:val="0"/>
        <w:bidi w:val="0"/>
        <w:rPr>
          <w:rFonts w:ascii="Times New Roman" w:hAnsi="Times New Roman"/>
        </w:rPr>
      </w:pPr>
    </w:p>
    <w:p w:rsidR="009F6ED8" w:rsidRPr="009F6ED8" w:rsidP="009F6ED8">
      <w:pPr>
        <w:autoSpaceDE w:val="0"/>
        <w:autoSpaceDN w:val="0"/>
        <w:bidi w:val="0"/>
        <w:ind w:firstLine="360"/>
        <w:rPr>
          <w:rFonts w:ascii="Times New Roman" w:hAnsi="Times New Roman"/>
        </w:rPr>
      </w:pPr>
      <w:r w:rsidR="000F3769">
        <w:rPr>
          <w:rFonts w:ascii="Times New Roman" w:hAnsi="Times New Roman"/>
        </w:rPr>
        <w:t>Stupeň zlučiteľnosti -</w:t>
      </w:r>
      <w:r w:rsidRPr="009F6ED8">
        <w:rPr>
          <w:rFonts w:ascii="Times New Roman" w:hAnsi="Times New Roman"/>
        </w:rPr>
        <w:t xml:space="preserve"> úplný </w:t>
      </w:r>
    </w:p>
    <w:p w:rsidR="009F6ED8" w:rsidRPr="009F6ED8" w:rsidP="009F6ED8">
      <w:pPr>
        <w:autoSpaceDE w:val="0"/>
        <w:autoSpaceDN w:val="0"/>
        <w:bidi w:val="0"/>
        <w:rPr>
          <w:rFonts w:ascii="Times New Roman" w:hAnsi="Times New Roman"/>
        </w:rPr>
      </w:pPr>
    </w:p>
    <w:p w:rsidR="009F6ED8" w:rsidRPr="009F6ED8" w:rsidP="009F6ED8">
      <w:pPr>
        <w:autoSpaceDE w:val="0"/>
        <w:autoSpaceDN w:val="0"/>
        <w:bidi w:val="0"/>
        <w:ind w:left="360" w:hanging="360"/>
        <w:rPr>
          <w:rFonts w:ascii="Times New Roman" w:hAnsi="Times New Roman"/>
          <w:b/>
        </w:rPr>
      </w:pPr>
      <w:r w:rsidRPr="009F6ED8">
        <w:rPr>
          <w:rFonts w:ascii="Times New Roman" w:hAnsi="Times New Roman"/>
          <w:b/>
        </w:rPr>
        <w:t>6.</w:t>
        <w:tab/>
        <w:t xml:space="preserve">Gestor a spolupracujúce rezorty: </w:t>
      </w:r>
    </w:p>
    <w:p w:rsidR="009F6ED8" w:rsidRPr="009F6ED8" w:rsidP="009F6ED8">
      <w:pPr>
        <w:tabs>
          <w:tab w:val="left" w:pos="360"/>
        </w:tabs>
        <w:autoSpaceDE w:val="0"/>
        <w:autoSpaceDN w:val="0"/>
        <w:bidi w:val="0"/>
        <w:ind w:left="360"/>
        <w:rPr>
          <w:rFonts w:ascii="Times New Roman" w:hAnsi="Times New Roman"/>
        </w:rPr>
      </w:pPr>
    </w:p>
    <w:p w:rsidR="009F6ED8" w:rsidP="009F6ED8">
      <w:pPr>
        <w:widowControl/>
        <w:bidi w:val="0"/>
        <w:ind w:firstLine="360"/>
        <w:rPr>
          <w:rStyle w:val="PlaceholderText"/>
          <w:b/>
          <w:color w:val="000000"/>
        </w:rPr>
      </w:pPr>
      <w:r w:rsidRPr="009F6ED8">
        <w:rPr>
          <w:rFonts w:ascii="Times New Roman" w:hAnsi="Times New Roman"/>
        </w:rPr>
        <w:t>Ministerstvo kultúry Slovenskej republiky</w:t>
        <w:br/>
      </w:r>
    </w:p>
    <w:p w:rsidR="009F6ED8" w:rsidP="00B801FB">
      <w:pPr>
        <w:widowControl/>
        <w:bidi w:val="0"/>
        <w:jc w:val="both"/>
        <w:rPr>
          <w:rStyle w:val="PlaceholderText"/>
          <w:b/>
          <w:color w:val="000000"/>
        </w:rPr>
      </w:pPr>
    </w:p>
    <w:p w:rsidR="009F6ED8" w:rsidP="00B801FB">
      <w:pPr>
        <w:widowControl/>
        <w:bidi w:val="0"/>
        <w:jc w:val="both"/>
        <w:rPr>
          <w:rStyle w:val="PlaceholderText"/>
          <w:b/>
          <w:color w:val="000000"/>
        </w:rPr>
      </w:pPr>
    </w:p>
    <w:p w:rsidR="009F6ED8" w:rsidP="00B801FB">
      <w:pPr>
        <w:widowControl/>
        <w:bidi w:val="0"/>
        <w:jc w:val="both"/>
        <w:rPr>
          <w:rStyle w:val="PlaceholderText"/>
          <w:b/>
          <w:color w:val="000000"/>
        </w:rPr>
      </w:pPr>
    </w:p>
    <w:p w:rsidR="009F6ED8" w:rsidP="00B801FB">
      <w:pPr>
        <w:widowControl/>
        <w:bidi w:val="0"/>
        <w:jc w:val="both"/>
        <w:rPr>
          <w:rStyle w:val="PlaceholderText"/>
          <w:b/>
          <w:color w:val="000000"/>
        </w:rPr>
      </w:pPr>
    </w:p>
    <w:p w:rsidR="009F6ED8" w:rsidP="00B801FB">
      <w:pPr>
        <w:widowControl/>
        <w:bidi w:val="0"/>
        <w:jc w:val="both"/>
        <w:rPr>
          <w:rStyle w:val="PlaceholderText"/>
          <w:b/>
          <w:color w:val="000000"/>
        </w:rPr>
      </w:pPr>
    </w:p>
    <w:p w:rsidR="009F6ED8" w:rsidP="00B801FB">
      <w:pPr>
        <w:widowControl/>
        <w:bidi w:val="0"/>
        <w:jc w:val="both"/>
        <w:rPr>
          <w:rStyle w:val="PlaceholderText"/>
          <w:b/>
          <w:color w:val="000000"/>
        </w:rPr>
      </w:pPr>
    </w:p>
    <w:p w:rsidR="009F6ED8" w:rsidP="00B801FB">
      <w:pPr>
        <w:widowControl/>
        <w:bidi w:val="0"/>
        <w:jc w:val="both"/>
        <w:rPr>
          <w:rStyle w:val="PlaceholderText"/>
          <w:b/>
          <w:color w:val="000000"/>
        </w:rPr>
      </w:pPr>
    </w:p>
    <w:p w:rsidR="009F6ED8" w:rsidP="00B801FB">
      <w:pPr>
        <w:widowControl/>
        <w:bidi w:val="0"/>
        <w:jc w:val="both"/>
        <w:rPr>
          <w:rStyle w:val="PlaceholderText"/>
          <w:b/>
          <w:color w:val="000000"/>
        </w:rPr>
      </w:pPr>
    </w:p>
    <w:p w:rsidR="009F6ED8" w:rsidP="00B801FB">
      <w:pPr>
        <w:widowControl/>
        <w:bidi w:val="0"/>
        <w:jc w:val="both"/>
        <w:rPr>
          <w:rStyle w:val="PlaceholderText"/>
          <w:b/>
          <w:color w:val="000000"/>
        </w:rPr>
      </w:pPr>
    </w:p>
    <w:p w:rsidR="009F6ED8" w:rsidP="00B801FB">
      <w:pPr>
        <w:widowControl/>
        <w:bidi w:val="0"/>
        <w:jc w:val="both"/>
        <w:rPr>
          <w:rStyle w:val="PlaceholderText"/>
          <w:b/>
          <w:color w:val="000000"/>
        </w:rPr>
      </w:pPr>
    </w:p>
    <w:p w:rsidR="009F6ED8" w:rsidP="00B801FB">
      <w:pPr>
        <w:widowControl/>
        <w:bidi w:val="0"/>
        <w:jc w:val="both"/>
        <w:rPr>
          <w:rStyle w:val="PlaceholderText"/>
          <w:b/>
          <w:color w:val="000000"/>
        </w:rPr>
      </w:pPr>
    </w:p>
    <w:p w:rsidR="009F6ED8" w:rsidP="00B801FB">
      <w:pPr>
        <w:widowControl/>
        <w:bidi w:val="0"/>
        <w:jc w:val="both"/>
        <w:rPr>
          <w:rStyle w:val="PlaceholderText"/>
          <w:b/>
          <w:color w:val="000000"/>
        </w:rPr>
      </w:pPr>
    </w:p>
    <w:p w:rsidR="009F6ED8" w:rsidP="00B801FB">
      <w:pPr>
        <w:widowControl/>
        <w:bidi w:val="0"/>
        <w:jc w:val="both"/>
        <w:rPr>
          <w:rStyle w:val="PlaceholderText"/>
          <w:b/>
          <w:color w:val="000000"/>
        </w:rPr>
      </w:pPr>
    </w:p>
    <w:p w:rsidR="003E727E" w:rsidP="00B801FB">
      <w:pPr>
        <w:widowControl/>
        <w:bidi w:val="0"/>
        <w:jc w:val="both"/>
        <w:rPr>
          <w:rStyle w:val="PlaceholderText"/>
          <w:b/>
          <w:color w:val="000000"/>
        </w:rPr>
      </w:pPr>
    </w:p>
    <w:p w:rsidR="003A48F6" w:rsidP="00B801FB">
      <w:pPr>
        <w:widowControl/>
        <w:bidi w:val="0"/>
        <w:jc w:val="both"/>
        <w:rPr>
          <w:rStyle w:val="PlaceholderText"/>
          <w:b/>
          <w:color w:val="000000"/>
        </w:rPr>
      </w:pPr>
    </w:p>
    <w:p w:rsidR="003A48F6" w:rsidP="00B801FB">
      <w:pPr>
        <w:widowControl/>
        <w:bidi w:val="0"/>
        <w:jc w:val="both"/>
        <w:rPr>
          <w:rStyle w:val="PlaceholderText"/>
          <w:b/>
          <w:color w:val="000000"/>
        </w:rPr>
      </w:pPr>
    </w:p>
    <w:sectPr>
      <w:footerReference w:type="default" r:id="rId5"/>
      <w:pgSz w:w="12240" w:h="15840"/>
      <w:pgMar w:top="1417" w:right="1440" w:bottom="1417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altName w:val="Verdana"/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EUAlbertina">
    <w:altName w:val="EU Albertin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6FD" w:rsidP="00206DFC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923B46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EF26FD" w:rsidP="000126A4">
    <w:pPr>
      <w:pStyle w:val="Footer"/>
      <w:bidi w:val="0"/>
      <w:ind w:right="36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trackRevisions/>
  <w:doNotTrackMoves/>
  <w:defaultTabStop w:val="720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98354E"/>
    <w:rsid w:val="000105B1"/>
    <w:rsid w:val="000126A4"/>
    <w:rsid w:val="00013658"/>
    <w:rsid w:val="00015BDD"/>
    <w:rsid w:val="00026479"/>
    <w:rsid w:val="00030A3B"/>
    <w:rsid w:val="00032F33"/>
    <w:rsid w:val="00044E34"/>
    <w:rsid w:val="0006238F"/>
    <w:rsid w:val="0007369F"/>
    <w:rsid w:val="00081990"/>
    <w:rsid w:val="00083570"/>
    <w:rsid w:val="00083FB6"/>
    <w:rsid w:val="000A612C"/>
    <w:rsid w:val="000A7F8F"/>
    <w:rsid w:val="000B5399"/>
    <w:rsid w:val="000C2BB1"/>
    <w:rsid w:val="000C539D"/>
    <w:rsid w:val="000D6554"/>
    <w:rsid w:val="000E27A5"/>
    <w:rsid w:val="000E32E2"/>
    <w:rsid w:val="000E3480"/>
    <w:rsid w:val="000F1006"/>
    <w:rsid w:val="000F3769"/>
    <w:rsid w:val="00112E27"/>
    <w:rsid w:val="00123933"/>
    <w:rsid w:val="001266F1"/>
    <w:rsid w:val="001305BF"/>
    <w:rsid w:val="001305E5"/>
    <w:rsid w:val="0014427B"/>
    <w:rsid w:val="00144CB2"/>
    <w:rsid w:val="00147DFE"/>
    <w:rsid w:val="001558C2"/>
    <w:rsid w:val="00155D76"/>
    <w:rsid w:val="00165783"/>
    <w:rsid w:val="00193D82"/>
    <w:rsid w:val="001B1AC6"/>
    <w:rsid w:val="001B3ADF"/>
    <w:rsid w:val="001B6108"/>
    <w:rsid w:val="001C0ED8"/>
    <w:rsid w:val="001D2388"/>
    <w:rsid w:val="001E4A59"/>
    <w:rsid w:val="001E5780"/>
    <w:rsid w:val="001F02FC"/>
    <w:rsid w:val="00206DFC"/>
    <w:rsid w:val="00210738"/>
    <w:rsid w:val="00274EC4"/>
    <w:rsid w:val="00285BDC"/>
    <w:rsid w:val="00285C82"/>
    <w:rsid w:val="00291057"/>
    <w:rsid w:val="00294A80"/>
    <w:rsid w:val="002A62D4"/>
    <w:rsid w:val="002A6817"/>
    <w:rsid w:val="002B15C0"/>
    <w:rsid w:val="002B6C0A"/>
    <w:rsid w:val="002C58A5"/>
    <w:rsid w:val="002F24DD"/>
    <w:rsid w:val="002F4482"/>
    <w:rsid w:val="002F45D8"/>
    <w:rsid w:val="00312C51"/>
    <w:rsid w:val="00313A79"/>
    <w:rsid w:val="00323A53"/>
    <w:rsid w:val="00342B03"/>
    <w:rsid w:val="00351E5B"/>
    <w:rsid w:val="003559B7"/>
    <w:rsid w:val="00357E60"/>
    <w:rsid w:val="00367E2B"/>
    <w:rsid w:val="003775B3"/>
    <w:rsid w:val="003811A2"/>
    <w:rsid w:val="003823BF"/>
    <w:rsid w:val="003828FE"/>
    <w:rsid w:val="00382FF0"/>
    <w:rsid w:val="003A2228"/>
    <w:rsid w:val="003A24DD"/>
    <w:rsid w:val="003A48F6"/>
    <w:rsid w:val="003C38EE"/>
    <w:rsid w:val="003C6F1B"/>
    <w:rsid w:val="003E5E64"/>
    <w:rsid w:val="003E727E"/>
    <w:rsid w:val="003F2E2C"/>
    <w:rsid w:val="0040082C"/>
    <w:rsid w:val="0040234A"/>
    <w:rsid w:val="00402AE6"/>
    <w:rsid w:val="00405F9F"/>
    <w:rsid w:val="00415496"/>
    <w:rsid w:val="00417411"/>
    <w:rsid w:val="00417F38"/>
    <w:rsid w:val="00444C9C"/>
    <w:rsid w:val="004457BE"/>
    <w:rsid w:val="00455291"/>
    <w:rsid w:val="0045760A"/>
    <w:rsid w:val="00462ADB"/>
    <w:rsid w:val="00475607"/>
    <w:rsid w:val="004830AA"/>
    <w:rsid w:val="004A419E"/>
    <w:rsid w:val="004B4449"/>
    <w:rsid w:val="004C182A"/>
    <w:rsid w:val="004C450F"/>
    <w:rsid w:val="004D6444"/>
    <w:rsid w:val="004E53C6"/>
    <w:rsid w:val="0050200B"/>
    <w:rsid w:val="00510706"/>
    <w:rsid w:val="00535C5F"/>
    <w:rsid w:val="00541920"/>
    <w:rsid w:val="00542C65"/>
    <w:rsid w:val="00544114"/>
    <w:rsid w:val="00562563"/>
    <w:rsid w:val="00565CAD"/>
    <w:rsid w:val="005709DF"/>
    <w:rsid w:val="00572FCA"/>
    <w:rsid w:val="005825AE"/>
    <w:rsid w:val="00597F1D"/>
    <w:rsid w:val="005A0755"/>
    <w:rsid w:val="005A4DFC"/>
    <w:rsid w:val="005B5A29"/>
    <w:rsid w:val="005B7A56"/>
    <w:rsid w:val="005C4E3B"/>
    <w:rsid w:val="005C6511"/>
    <w:rsid w:val="005D41AC"/>
    <w:rsid w:val="005D422F"/>
    <w:rsid w:val="005D5CEB"/>
    <w:rsid w:val="005E5219"/>
    <w:rsid w:val="005F59B5"/>
    <w:rsid w:val="00616FBD"/>
    <w:rsid w:val="006237F7"/>
    <w:rsid w:val="00627027"/>
    <w:rsid w:val="00641964"/>
    <w:rsid w:val="00642C92"/>
    <w:rsid w:val="00642D5A"/>
    <w:rsid w:val="006448B5"/>
    <w:rsid w:val="00645120"/>
    <w:rsid w:val="00651F1E"/>
    <w:rsid w:val="00656BC8"/>
    <w:rsid w:val="0066149E"/>
    <w:rsid w:val="006649B4"/>
    <w:rsid w:val="00666317"/>
    <w:rsid w:val="006B74FB"/>
    <w:rsid w:val="006D520A"/>
    <w:rsid w:val="006E1A78"/>
    <w:rsid w:val="006E4625"/>
    <w:rsid w:val="006F2C12"/>
    <w:rsid w:val="00722D00"/>
    <w:rsid w:val="00726337"/>
    <w:rsid w:val="00735CE4"/>
    <w:rsid w:val="00746249"/>
    <w:rsid w:val="0075550D"/>
    <w:rsid w:val="0075733A"/>
    <w:rsid w:val="0076713A"/>
    <w:rsid w:val="007706CB"/>
    <w:rsid w:val="00774C85"/>
    <w:rsid w:val="007A760B"/>
    <w:rsid w:val="007A7746"/>
    <w:rsid w:val="007B1FE4"/>
    <w:rsid w:val="007B6C4C"/>
    <w:rsid w:val="007C6588"/>
    <w:rsid w:val="007F6218"/>
    <w:rsid w:val="00801EF3"/>
    <w:rsid w:val="008175EF"/>
    <w:rsid w:val="00823868"/>
    <w:rsid w:val="008240C4"/>
    <w:rsid w:val="00824BE2"/>
    <w:rsid w:val="00840585"/>
    <w:rsid w:val="00854823"/>
    <w:rsid w:val="00854B00"/>
    <w:rsid w:val="008659A2"/>
    <w:rsid w:val="008747B5"/>
    <w:rsid w:val="00876782"/>
    <w:rsid w:val="00882896"/>
    <w:rsid w:val="0089254C"/>
    <w:rsid w:val="00895210"/>
    <w:rsid w:val="008B25A6"/>
    <w:rsid w:val="008B460F"/>
    <w:rsid w:val="008C2A29"/>
    <w:rsid w:val="008C39BF"/>
    <w:rsid w:val="008C4A60"/>
    <w:rsid w:val="008D2F64"/>
    <w:rsid w:val="008D3D59"/>
    <w:rsid w:val="008D5A19"/>
    <w:rsid w:val="008D5A8F"/>
    <w:rsid w:val="008E1E2E"/>
    <w:rsid w:val="008F0183"/>
    <w:rsid w:val="00900EE6"/>
    <w:rsid w:val="0090312C"/>
    <w:rsid w:val="00921D01"/>
    <w:rsid w:val="00923B46"/>
    <w:rsid w:val="00930C87"/>
    <w:rsid w:val="009344E3"/>
    <w:rsid w:val="00936F0A"/>
    <w:rsid w:val="00941E46"/>
    <w:rsid w:val="009504E4"/>
    <w:rsid w:val="00951DF7"/>
    <w:rsid w:val="00963C01"/>
    <w:rsid w:val="00973E0A"/>
    <w:rsid w:val="0098284C"/>
    <w:rsid w:val="00982CE3"/>
    <w:rsid w:val="0098354E"/>
    <w:rsid w:val="00991EF1"/>
    <w:rsid w:val="009B5D54"/>
    <w:rsid w:val="009C0184"/>
    <w:rsid w:val="009C4B79"/>
    <w:rsid w:val="009C4FA7"/>
    <w:rsid w:val="009C5DCB"/>
    <w:rsid w:val="009E2DC4"/>
    <w:rsid w:val="009E65BD"/>
    <w:rsid w:val="009F6ED8"/>
    <w:rsid w:val="00A12D21"/>
    <w:rsid w:val="00A21404"/>
    <w:rsid w:val="00A247FF"/>
    <w:rsid w:val="00A30081"/>
    <w:rsid w:val="00A53195"/>
    <w:rsid w:val="00A64D2D"/>
    <w:rsid w:val="00A65802"/>
    <w:rsid w:val="00A670A5"/>
    <w:rsid w:val="00A75FE8"/>
    <w:rsid w:val="00A80660"/>
    <w:rsid w:val="00A8335E"/>
    <w:rsid w:val="00AA1C04"/>
    <w:rsid w:val="00AA34DE"/>
    <w:rsid w:val="00AA6028"/>
    <w:rsid w:val="00AB2B46"/>
    <w:rsid w:val="00AB4704"/>
    <w:rsid w:val="00AC0500"/>
    <w:rsid w:val="00AC6113"/>
    <w:rsid w:val="00AE08F6"/>
    <w:rsid w:val="00AF1572"/>
    <w:rsid w:val="00AF6850"/>
    <w:rsid w:val="00B06007"/>
    <w:rsid w:val="00B12297"/>
    <w:rsid w:val="00B224BB"/>
    <w:rsid w:val="00B235BB"/>
    <w:rsid w:val="00B33866"/>
    <w:rsid w:val="00B350A2"/>
    <w:rsid w:val="00B35781"/>
    <w:rsid w:val="00B5071F"/>
    <w:rsid w:val="00B54675"/>
    <w:rsid w:val="00B6187C"/>
    <w:rsid w:val="00B7154E"/>
    <w:rsid w:val="00B801FB"/>
    <w:rsid w:val="00B80F19"/>
    <w:rsid w:val="00B8132A"/>
    <w:rsid w:val="00B839FE"/>
    <w:rsid w:val="00BB22AB"/>
    <w:rsid w:val="00BB44D3"/>
    <w:rsid w:val="00BB4B5B"/>
    <w:rsid w:val="00BB5FCA"/>
    <w:rsid w:val="00BB68D6"/>
    <w:rsid w:val="00BF25CA"/>
    <w:rsid w:val="00C0489E"/>
    <w:rsid w:val="00C10A3A"/>
    <w:rsid w:val="00C24F90"/>
    <w:rsid w:val="00C2542C"/>
    <w:rsid w:val="00C33E94"/>
    <w:rsid w:val="00C40380"/>
    <w:rsid w:val="00C52318"/>
    <w:rsid w:val="00C57371"/>
    <w:rsid w:val="00C61A3F"/>
    <w:rsid w:val="00C662CD"/>
    <w:rsid w:val="00C67277"/>
    <w:rsid w:val="00C84429"/>
    <w:rsid w:val="00C85D6E"/>
    <w:rsid w:val="00C863B1"/>
    <w:rsid w:val="00C90974"/>
    <w:rsid w:val="00C92A55"/>
    <w:rsid w:val="00C95C67"/>
    <w:rsid w:val="00CA3949"/>
    <w:rsid w:val="00CB1738"/>
    <w:rsid w:val="00CC2119"/>
    <w:rsid w:val="00CC2E20"/>
    <w:rsid w:val="00CC32B9"/>
    <w:rsid w:val="00CD05E4"/>
    <w:rsid w:val="00CD3C24"/>
    <w:rsid w:val="00CE79E4"/>
    <w:rsid w:val="00D03DA1"/>
    <w:rsid w:val="00D03F5F"/>
    <w:rsid w:val="00D10F0F"/>
    <w:rsid w:val="00D11101"/>
    <w:rsid w:val="00D16527"/>
    <w:rsid w:val="00D3026C"/>
    <w:rsid w:val="00D310D2"/>
    <w:rsid w:val="00D54339"/>
    <w:rsid w:val="00D57FA9"/>
    <w:rsid w:val="00D63864"/>
    <w:rsid w:val="00D74927"/>
    <w:rsid w:val="00D75D36"/>
    <w:rsid w:val="00D84200"/>
    <w:rsid w:val="00D910C2"/>
    <w:rsid w:val="00D947F4"/>
    <w:rsid w:val="00D96F00"/>
    <w:rsid w:val="00DC4C48"/>
    <w:rsid w:val="00DC6014"/>
    <w:rsid w:val="00DD2663"/>
    <w:rsid w:val="00DD69F7"/>
    <w:rsid w:val="00DD7C7C"/>
    <w:rsid w:val="00E11885"/>
    <w:rsid w:val="00E122DD"/>
    <w:rsid w:val="00E20CC7"/>
    <w:rsid w:val="00E239AD"/>
    <w:rsid w:val="00E23AE7"/>
    <w:rsid w:val="00E25467"/>
    <w:rsid w:val="00E348D4"/>
    <w:rsid w:val="00E547BA"/>
    <w:rsid w:val="00E54F28"/>
    <w:rsid w:val="00E602A8"/>
    <w:rsid w:val="00E6052D"/>
    <w:rsid w:val="00E65AD8"/>
    <w:rsid w:val="00E70796"/>
    <w:rsid w:val="00E70A0E"/>
    <w:rsid w:val="00E77B43"/>
    <w:rsid w:val="00E80BA2"/>
    <w:rsid w:val="00E951E4"/>
    <w:rsid w:val="00E95B3A"/>
    <w:rsid w:val="00EA0343"/>
    <w:rsid w:val="00EA0960"/>
    <w:rsid w:val="00EA7FC0"/>
    <w:rsid w:val="00EB4CBC"/>
    <w:rsid w:val="00EC1204"/>
    <w:rsid w:val="00EC3D1E"/>
    <w:rsid w:val="00ED4BB8"/>
    <w:rsid w:val="00EE0BA8"/>
    <w:rsid w:val="00EF1EE7"/>
    <w:rsid w:val="00EF26FD"/>
    <w:rsid w:val="00EF284D"/>
    <w:rsid w:val="00EF28DC"/>
    <w:rsid w:val="00F02181"/>
    <w:rsid w:val="00F0775B"/>
    <w:rsid w:val="00F3752B"/>
    <w:rsid w:val="00F37A39"/>
    <w:rsid w:val="00F41757"/>
    <w:rsid w:val="00F431A7"/>
    <w:rsid w:val="00F50939"/>
    <w:rsid w:val="00F62F53"/>
    <w:rsid w:val="00F63144"/>
    <w:rsid w:val="00F63EFC"/>
    <w:rsid w:val="00F66EEA"/>
    <w:rsid w:val="00F766F0"/>
    <w:rsid w:val="00F76A19"/>
    <w:rsid w:val="00F97AB2"/>
    <w:rsid w:val="00FA1C84"/>
    <w:rsid w:val="00FA3DDE"/>
    <w:rsid w:val="00FA559D"/>
    <w:rsid w:val="00FB4AB1"/>
    <w:rsid w:val="00FB5D41"/>
    <w:rsid w:val="00FC38C7"/>
    <w:rsid w:val="00FE329C"/>
    <w:rsid w:val="00FF0C4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A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B25A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8B25A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B25A6"/>
    <w:rPr>
      <w:rFonts w:ascii="Tahoma" w:hAnsi="Tahoma" w:cs="Tahoma"/>
      <w:sz w:val="16"/>
      <w:szCs w:val="16"/>
      <w:rtl w:val="0"/>
      <w:cs w:val="0"/>
      <w:lang w:val="sk-SK" w:eastAsia="sk-SK"/>
    </w:rPr>
  </w:style>
  <w:style w:type="paragraph" w:styleId="Footer">
    <w:name w:val="footer"/>
    <w:basedOn w:val="Normal"/>
    <w:link w:val="PtaChar"/>
    <w:uiPriority w:val="99"/>
    <w:rsid w:val="000126A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0126A4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4C182A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4C182A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4C182A"/>
    <w:rPr>
      <w:rFonts w:ascii="Times New Roman" w:hAnsi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4C182A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4C182A"/>
    <w:rPr>
      <w:b/>
      <w:bCs/>
    </w:rPr>
  </w:style>
  <w:style w:type="paragraph" w:customStyle="1" w:styleId="tlCharCharCharCharCharChar">
    <w:name w:val="Štýl Char Char Char Char Char Char"/>
    <w:basedOn w:val="Normal"/>
    <w:uiPriority w:val="99"/>
    <w:rsid w:val="002C58A5"/>
    <w:pPr>
      <w:widowControl/>
      <w:overflowPunct w:val="0"/>
      <w:autoSpaceDE w:val="0"/>
      <w:autoSpaceDN w:val="0"/>
      <w:spacing w:after="160" w:line="240" w:lineRule="exact"/>
      <w:jc w:val="lef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51F1E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en-US" w:bidi="ar-SA"/>
    </w:rPr>
  </w:style>
  <w:style w:type="paragraph" w:styleId="Header">
    <w:name w:val="header"/>
    <w:basedOn w:val="Normal"/>
    <w:link w:val="HlavikaChar"/>
    <w:uiPriority w:val="99"/>
    <w:unhideWhenUsed/>
    <w:rsid w:val="003A48F6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A48F6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64255-7548-44BF-AFD0-9DCE6E96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Pages>2</Pages>
  <Words>416</Words>
  <Characters>2377</Characters>
  <Application>Microsoft Office Word</Application>
  <DocSecurity>0</DocSecurity>
  <Lines>0</Lines>
  <Paragraphs>0</Paragraphs>
  <ScaleCrop>false</ScaleCrop>
  <Company>Abyss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Topľanská Lenka</cp:lastModifiedBy>
  <cp:revision>13</cp:revision>
  <cp:lastPrinted>2013-03-14T14:53:00Z</cp:lastPrinted>
  <dcterms:created xsi:type="dcterms:W3CDTF">2013-03-14T14:51:00Z</dcterms:created>
  <dcterms:modified xsi:type="dcterms:W3CDTF">2013-03-27T10:52:00Z</dcterms:modified>
</cp:coreProperties>
</file>