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550A" w:rsidRPr="00C954F4" w:rsidP="001C550A">
      <w:pPr>
        <w:bidi w:val="0"/>
        <w:jc w:val="center"/>
        <w:rPr>
          <w:rFonts w:ascii="Times New Roman" w:hAnsi="Times New Roman"/>
          <w:b/>
          <w:color w:val="381FD1"/>
          <w:szCs w:val="24"/>
        </w:rPr>
      </w:pPr>
      <w:bookmarkStart w:id="0" w:name="_Toc349633981"/>
      <w:bookmarkStart w:id="1" w:name="_Toc332875295"/>
      <w:bookmarkStart w:id="2" w:name="_Toc333617613"/>
      <w:bookmarkStart w:id="3" w:name="_Toc333617685"/>
      <w:bookmarkStart w:id="4" w:name="_Toc333871513"/>
      <w:bookmarkStart w:id="5" w:name="_Toc333877594"/>
      <w:bookmarkStart w:id="6" w:name="_Toc333879879"/>
      <w:bookmarkStart w:id="7" w:name="_Toc334366235"/>
      <w:bookmarkStart w:id="8" w:name="_Toc334382852"/>
      <w:bookmarkStart w:id="9" w:name="_Toc334389994"/>
      <w:bookmarkStart w:id="10" w:name="_Toc336420434"/>
      <w:bookmarkStart w:id="11" w:name="_Toc336429326"/>
      <w:bookmarkStart w:id="12" w:name="_Toc276234209"/>
      <w:r w:rsidRPr="00C954F4">
        <w:rPr>
          <w:rFonts w:ascii="Times New Roman" w:hAnsi="Times New Roman"/>
          <w:b/>
          <w:color w:val="381FD1"/>
          <w:szCs w:val="24"/>
        </w:rPr>
        <w:t>Ministerstvo školstva, vedy, výskumu a športu SR</w:t>
      </w:r>
      <w:bookmarkEnd w:id="1"/>
      <w:bookmarkEnd w:id="2"/>
      <w:bookmarkEnd w:id="3"/>
      <w:bookmarkEnd w:id="4"/>
      <w:bookmarkEnd w:id="5"/>
      <w:bookmarkEnd w:id="6"/>
      <w:bookmarkEnd w:id="7"/>
      <w:bookmarkEnd w:id="8"/>
      <w:bookmarkEnd w:id="9"/>
      <w:bookmarkEnd w:id="10"/>
      <w:bookmarkEnd w:id="11"/>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P="001C550A">
      <w:pPr>
        <w:bidi w:val="0"/>
        <w:rPr>
          <w:rFonts w:ascii="Times New Roman" w:hAnsi="Times New Roman"/>
          <w:b/>
          <w:color w:val="381FD1"/>
        </w:rPr>
      </w:pPr>
    </w:p>
    <w:p w:rsidR="001C550A"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jc w:val="center"/>
        <w:rPr>
          <w:rFonts w:ascii="Times New Roman" w:hAnsi="Times New Roman"/>
          <w:b/>
          <w:color w:val="381FD1"/>
        </w:rPr>
      </w:pPr>
      <w:bookmarkStart w:id="13" w:name="_Toc350291739"/>
      <w:bookmarkStart w:id="14" w:name="_Toc350298900"/>
      <w:bookmarkEnd w:id="12"/>
      <w:r w:rsidRPr="00C954F4">
        <w:rPr>
          <w:rFonts w:ascii="Times New Roman" w:hAnsi="Times New Roman"/>
          <w:b/>
          <w:color w:val="381FD1"/>
        </w:rPr>
        <w:t xml:space="preserve">Správa o stave </w:t>
      </w:r>
      <w:r w:rsidRPr="00DD49A7" w:rsidR="00DD49A7">
        <w:rPr>
          <w:rFonts w:ascii="Times New Roman" w:hAnsi="Times New Roman"/>
          <w:b/>
          <w:bCs/>
          <w:color w:val="381FD1"/>
        </w:rPr>
        <w:t>školstva na Slovensku na verejnú diskusiu</w:t>
      </w:r>
      <w:bookmarkEnd w:id="13"/>
      <w:bookmarkEnd w:id="14"/>
    </w:p>
    <w:p w:rsidR="001C550A" w:rsidRPr="00C954F4" w:rsidP="001C550A">
      <w:pPr>
        <w:bidi w:val="0"/>
        <w:jc w:val="center"/>
        <w:rPr>
          <w:rFonts w:ascii="Times New Roman" w:hAnsi="Times New Roman"/>
          <w:b/>
          <w:color w:val="381FD1"/>
          <w:sz w:val="28"/>
          <w:szCs w:val="28"/>
          <w:u w:val="single"/>
        </w:rPr>
      </w:pPr>
      <w:r>
        <w:rPr>
          <w:rFonts w:ascii="Times New Roman" w:hAnsi="Times New Roman"/>
          <w:b/>
          <w:color w:val="381FD1"/>
          <w:sz w:val="28"/>
          <w:szCs w:val="28"/>
          <w:u w:val="single"/>
        </w:rPr>
        <w:t>Príloha č. 3</w:t>
      </w:r>
    </w:p>
    <w:p w:rsidR="001C550A" w:rsidRPr="00C954F4" w:rsidP="001C550A">
      <w:pPr>
        <w:bidi w:val="0"/>
        <w:jc w:val="center"/>
        <w:rPr>
          <w:rFonts w:ascii="Times New Roman" w:hAnsi="Times New Roman"/>
          <w:b/>
          <w:color w:val="381FD1"/>
        </w:rPr>
      </w:pPr>
      <w:r>
        <w:rPr>
          <w:rFonts w:ascii="Times New Roman" w:hAnsi="Times New Roman"/>
          <w:b/>
          <w:color w:val="381FD1"/>
        </w:rPr>
        <w:t>Medzinárodné porovnanie výdavkov na vzdelávanie</w:t>
      </w: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P="001C550A">
      <w:pPr>
        <w:bidi w:val="0"/>
        <w:rPr>
          <w:rFonts w:ascii="Times New Roman" w:hAnsi="Times New Roman"/>
          <w:b/>
          <w:color w:val="381FD1"/>
        </w:rPr>
      </w:pPr>
    </w:p>
    <w:p w:rsidR="001C550A" w:rsidP="001C550A">
      <w:pPr>
        <w:bidi w:val="0"/>
        <w:rPr>
          <w:rFonts w:ascii="Times New Roman" w:hAnsi="Times New Roman"/>
          <w:b/>
          <w:color w:val="381FD1"/>
        </w:rPr>
      </w:pPr>
    </w:p>
    <w:p w:rsidR="001C550A" w:rsidP="001C550A">
      <w:pPr>
        <w:bidi w:val="0"/>
        <w:rPr>
          <w:rFonts w:ascii="Times New Roman" w:hAnsi="Times New Roman"/>
          <w:b/>
          <w:color w:val="381FD1"/>
        </w:rPr>
      </w:pPr>
    </w:p>
    <w:p w:rsidR="001C550A"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rPr>
          <w:rFonts w:ascii="Times New Roman" w:hAnsi="Times New Roman"/>
          <w:b/>
          <w:color w:val="381FD1"/>
        </w:rPr>
      </w:pPr>
    </w:p>
    <w:p w:rsidR="001C550A" w:rsidRPr="00C954F4" w:rsidP="001C550A">
      <w:pPr>
        <w:bidi w:val="0"/>
        <w:jc w:val="center"/>
        <w:rPr>
          <w:rFonts w:ascii="Times New Roman" w:hAnsi="Times New Roman"/>
          <w:b/>
          <w:color w:val="381FD1"/>
        </w:rPr>
      </w:pPr>
      <w:r w:rsidRPr="00C954F4">
        <w:rPr>
          <w:rFonts w:ascii="Times New Roman" w:hAnsi="Times New Roman"/>
          <w:b/>
          <w:color w:val="381FD1"/>
        </w:rPr>
        <w:t>Bratislava, marec 2013</w:t>
      </w:r>
    </w:p>
    <w:p w:rsidR="00CC5FF6" w:rsidRPr="00456F3B" w:rsidP="001C550A">
      <w:pPr>
        <w:pStyle w:val="Heading2"/>
        <w:numPr>
          <w:numId w:val="0"/>
        </w:numPr>
        <w:bidi w:val="0"/>
        <w:ind w:left="357" w:hanging="357"/>
        <w:rPr>
          <w:rStyle w:val="N2Char"/>
          <w:rFonts w:ascii="Times New Roman" w:hAnsi="Times New Roman"/>
          <w:lang w:val="sk-SK"/>
        </w:rPr>
      </w:pPr>
      <w:r w:rsidR="001C550A">
        <w:rPr>
          <w:rFonts w:ascii="Times New Roman" w:hAnsi="Times New Roman"/>
        </w:rPr>
        <w:br w:type="page"/>
      </w:r>
      <w:bookmarkStart w:id="15" w:name="_Toc351635231"/>
      <w:bookmarkStart w:id="16" w:name="_Toc351637408"/>
      <w:bookmarkEnd w:id="0"/>
      <w:r w:rsidRPr="00456F3B">
        <w:rPr>
          <w:rStyle w:val="N2Char"/>
          <w:rFonts w:ascii="Times New Roman" w:hAnsi="Times New Roman"/>
          <w:lang w:val="sk-SK"/>
        </w:rPr>
        <w:t>Obsah</w:t>
      </w:r>
      <w:bookmarkEnd w:id="15"/>
      <w:bookmarkEnd w:id="16"/>
    </w:p>
    <w:p w:rsidR="003A4F8A" w:rsidRPr="00DF0A1C" w:rsidP="00DF0A1C">
      <w:pPr>
        <w:bidi w:val="0"/>
        <w:rPr>
          <w:rFonts w:ascii="Times New Roman" w:hAnsi="Times New Roman"/>
          <w:b/>
          <w:lang w:eastAsia="x-none"/>
        </w:rPr>
      </w:pPr>
    </w:p>
    <w:p w:rsidR="000B311B" w:rsidRPr="00C12951">
      <w:pPr>
        <w:pStyle w:val="TOC1"/>
        <w:bidi w:val="0"/>
        <w:rPr>
          <w:rFonts w:ascii="Calibri" w:hAnsi="Calibri"/>
          <w:b w:val="0"/>
          <w:bCs w:val="0"/>
          <w:caps w:val="0"/>
          <w:noProof/>
          <w:sz w:val="22"/>
          <w:szCs w:val="22"/>
          <w:lang w:eastAsia="sk-SK"/>
        </w:rPr>
      </w:pPr>
      <w:r>
        <w:rPr>
          <w:rFonts w:ascii="Times New Roman" w:hAnsi="Times New Roman"/>
          <w:b w:val="0"/>
          <w:lang w:eastAsia="x-none"/>
        </w:rPr>
        <w:fldChar w:fldCharType="begin"/>
      </w:r>
      <w:r>
        <w:rPr>
          <w:rFonts w:ascii="Times New Roman" w:hAnsi="Times New Roman"/>
          <w:b w:val="0"/>
          <w:lang w:eastAsia="x-none"/>
        </w:rPr>
        <w:instrText xml:space="preserve"> TOC \h \z \t "Nadpis 2;1;Nadpis 3;2;Nadpis 4;3;Nadpis 5;4" </w:instrText>
      </w:r>
      <w:r>
        <w:rPr>
          <w:rFonts w:ascii="Times New Roman" w:hAnsi="Times New Roman"/>
          <w:b w:val="0"/>
          <w:lang w:eastAsia="x-none"/>
        </w:rPr>
        <w:fldChar w:fldCharType="separate"/>
      </w:r>
      <w:hyperlink w:anchor="_Toc351637408" w:history="1">
        <w:r w:rsidRPr="004767DF">
          <w:rPr>
            <w:rStyle w:val="Hyperlink"/>
            <w:rFonts w:ascii="Times New Roman" w:hAnsi="Times New Roman"/>
            <w:noProof/>
          </w:rPr>
          <w:t>Obsah</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_Toc351637408 \h </w:instrText>
        </w:r>
        <w:r>
          <w:rPr>
            <w:rFonts w:ascii="Times New Roman" w:hAnsi="Times New Roman"/>
            <w:noProof/>
            <w:webHidden/>
          </w:rPr>
          <w:fldChar w:fldCharType="separate"/>
        </w:r>
        <w:r>
          <w:rPr>
            <w:rFonts w:ascii="Times New Roman" w:hAnsi="Times New Roman"/>
            <w:noProof/>
            <w:webHidden/>
          </w:rPr>
          <w:t>2</w:t>
        </w:r>
        <w:r>
          <w:rPr>
            <w:rFonts w:ascii="Times New Roman" w:hAnsi="Times New Roman"/>
            <w:noProof/>
            <w:webHidden/>
          </w:rPr>
          <w:fldChar w:fldCharType="end"/>
        </w:r>
      </w:hyperlink>
    </w:p>
    <w:p w:rsidR="000B311B" w:rsidRPr="00C12951">
      <w:pPr>
        <w:pStyle w:val="TOC1"/>
        <w:bidi w:val="0"/>
        <w:rPr>
          <w:rFonts w:ascii="Calibri" w:hAnsi="Calibri"/>
          <w:b w:val="0"/>
          <w:bCs w:val="0"/>
          <w:caps w:val="0"/>
          <w:noProof/>
          <w:sz w:val="22"/>
          <w:szCs w:val="22"/>
          <w:lang w:eastAsia="sk-SK"/>
        </w:rPr>
      </w:pPr>
      <w:hyperlink w:anchor="_Toc351637409" w:history="1">
        <w:r w:rsidRPr="004767DF">
          <w:rPr>
            <w:rStyle w:val="Hyperlink"/>
            <w:rFonts w:ascii="Times New Roman" w:hAnsi="Times New Roman"/>
            <w:noProof/>
          </w:rPr>
          <w:t>1.</w:t>
        </w:r>
        <w:r w:rsidRPr="00C12951">
          <w:rPr>
            <w:rFonts w:ascii="Calibri" w:hAnsi="Calibri"/>
            <w:b w:val="0"/>
            <w:bCs w:val="0"/>
            <w:caps w:val="0"/>
            <w:noProof/>
            <w:sz w:val="22"/>
            <w:szCs w:val="22"/>
            <w:lang w:eastAsia="sk-SK"/>
          </w:rPr>
          <w:tab/>
        </w:r>
        <w:r w:rsidRPr="004767DF">
          <w:rPr>
            <w:rStyle w:val="Hyperlink"/>
            <w:rFonts w:ascii="Times New Roman" w:hAnsi="Times New Roman"/>
            <w:noProof/>
          </w:rPr>
          <w:t>Metodiky vykazovania výdavkov na vzdelávanie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_Toc351637409 \h </w:instrText>
        </w:r>
        <w:r>
          <w:rPr>
            <w:rFonts w:ascii="Times New Roman" w:hAnsi="Times New Roman"/>
            <w:noProof/>
            <w:webHidden/>
          </w:rPr>
          <w:fldChar w:fldCharType="separate"/>
        </w:r>
        <w:r>
          <w:rPr>
            <w:rFonts w:ascii="Times New Roman" w:hAnsi="Times New Roman"/>
            <w:noProof/>
            <w:webHidden/>
          </w:rPr>
          <w:t>3</w:t>
        </w:r>
        <w:r>
          <w:rPr>
            <w:rFonts w:ascii="Times New Roman" w:hAnsi="Times New Roman"/>
            <w:noProof/>
            <w:webHidden/>
          </w:rPr>
          <w:fldChar w:fldCharType="end"/>
        </w:r>
      </w:hyperlink>
    </w:p>
    <w:p w:rsidR="000B311B" w:rsidRPr="00C12951">
      <w:pPr>
        <w:pStyle w:val="TOC1"/>
        <w:bidi w:val="0"/>
        <w:rPr>
          <w:rFonts w:ascii="Calibri" w:hAnsi="Calibri"/>
          <w:b w:val="0"/>
          <w:bCs w:val="0"/>
          <w:caps w:val="0"/>
          <w:noProof/>
          <w:sz w:val="22"/>
          <w:szCs w:val="22"/>
          <w:lang w:eastAsia="sk-SK"/>
        </w:rPr>
      </w:pPr>
      <w:hyperlink w:anchor="_Toc351637410" w:history="1">
        <w:r w:rsidRPr="004767DF">
          <w:rPr>
            <w:rStyle w:val="Hyperlink"/>
            <w:rFonts w:ascii="Times New Roman" w:hAnsi="Times New Roman"/>
            <w:noProof/>
          </w:rPr>
          <w:t>2.</w:t>
        </w:r>
        <w:r w:rsidRPr="00C12951">
          <w:rPr>
            <w:rFonts w:ascii="Calibri" w:hAnsi="Calibri"/>
            <w:b w:val="0"/>
            <w:bCs w:val="0"/>
            <w:caps w:val="0"/>
            <w:noProof/>
            <w:sz w:val="22"/>
            <w:szCs w:val="22"/>
            <w:lang w:eastAsia="sk-SK"/>
          </w:rPr>
          <w:tab/>
        </w:r>
        <w:r w:rsidRPr="004767DF">
          <w:rPr>
            <w:rStyle w:val="Hyperlink"/>
            <w:rFonts w:ascii="Times New Roman" w:hAnsi="Times New Roman"/>
            <w:noProof/>
          </w:rPr>
          <w:t>Metodika UOE (Unesco/OECD/Eurostat)</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_Toc351637410 \h </w:instrText>
        </w:r>
        <w:r>
          <w:rPr>
            <w:rFonts w:ascii="Times New Roman" w:hAnsi="Times New Roman"/>
            <w:noProof/>
            <w:webHidden/>
          </w:rPr>
          <w:fldChar w:fldCharType="separate"/>
        </w:r>
        <w:r>
          <w:rPr>
            <w:rFonts w:ascii="Times New Roman" w:hAnsi="Times New Roman"/>
            <w:noProof/>
            <w:webHidden/>
          </w:rPr>
          <w:t>4</w:t>
        </w:r>
        <w:r>
          <w:rPr>
            <w:rFonts w:ascii="Times New Roman" w:hAnsi="Times New Roman"/>
            <w:noProof/>
            <w:webHidden/>
          </w:rPr>
          <w:fldChar w:fldCharType="end"/>
        </w:r>
      </w:hyperlink>
    </w:p>
    <w:p w:rsidR="000B311B" w:rsidRPr="00C12951">
      <w:pPr>
        <w:pStyle w:val="TOC2"/>
        <w:tabs>
          <w:tab w:val="left" w:pos="800"/>
          <w:tab w:val="right" w:leader="dot" w:pos="9062"/>
        </w:tabs>
        <w:bidi w:val="0"/>
        <w:rPr>
          <w:rFonts w:ascii="Calibri" w:hAnsi="Calibri"/>
          <w:smallCaps w:val="0"/>
          <w:noProof/>
          <w:sz w:val="22"/>
          <w:szCs w:val="22"/>
          <w:lang w:eastAsia="sk-SK"/>
        </w:rPr>
      </w:pPr>
      <w:hyperlink w:anchor="_Toc351637411" w:history="1">
        <w:r w:rsidRPr="004767DF">
          <w:rPr>
            <w:rStyle w:val="Hyperlink"/>
            <w:rFonts w:ascii="Times New Roman" w:hAnsi="Times New Roman"/>
            <w:noProof/>
          </w:rPr>
          <w:t>2.1.</w:t>
        </w:r>
        <w:r w:rsidRPr="00C12951">
          <w:rPr>
            <w:rFonts w:ascii="Calibri" w:hAnsi="Calibri"/>
            <w:smallCaps w:val="0"/>
            <w:noProof/>
            <w:sz w:val="22"/>
            <w:szCs w:val="22"/>
            <w:lang w:eastAsia="sk-SK"/>
          </w:rPr>
          <w:tab/>
        </w:r>
        <w:r w:rsidRPr="004767DF">
          <w:rPr>
            <w:rStyle w:val="Hyperlink"/>
            <w:rFonts w:ascii="Times New Roman" w:hAnsi="Times New Roman"/>
            <w:noProof/>
          </w:rPr>
          <w:t>Charakteristika metodiky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_Toc351637411 \h </w:instrText>
        </w:r>
        <w:r>
          <w:rPr>
            <w:rFonts w:ascii="Times New Roman" w:hAnsi="Times New Roman"/>
            <w:noProof/>
            <w:webHidden/>
          </w:rPr>
          <w:fldChar w:fldCharType="separate"/>
        </w:r>
        <w:r>
          <w:rPr>
            <w:rFonts w:ascii="Times New Roman" w:hAnsi="Times New Roman"/>
            <w:noProof/>
            <w:webHidden/>
          </w:rPr>
          <w:t>4</w:t>
        </w:r>
        <w:r>
          <w:rPr>
            <w:rFonts w:ascii="Times New Roman" w:hAnsi="Times New Roman"/>
            <w:noProof/>
            <w:webHidden/>
          </w:rPr>
          <w:fldChar w:fldCharType="end"/>
        </w:r>
      </w:hyperlink>
    </w:p>
    <w:p w:rsidR="000B311B" w:rsidRPr="00C12951">
      <w:pPr>
        <w:pStyle w:val="TOC2"/>
        <w:tabs>
          <w:tab w:val="left" w:pos="800"/>
          <w:tab w:val="right" w:leader="dot" w:pos="9062"/>
        </w:tabs>
        <w:bidi w:val="0"/>
        <w:rPr>
          <w:rFonts w:ascii="Calibri" w:hAnsi="Calibri"/>
          <w:smallCaps w:val="0"/>
          <w:noProof/>
          <w:sz w:val="22"/>
          <w:szCs w:val="22"/>
          <w:lang w:eastAsia="sk-SK"/>
        </w:rPr>
      </w:pPr>
      <w:hyperlink w:anchor="_Toc351637412" w:history="1">
        <w:r w:rsidRPr="004767DF">
          <w:rPr>
            <w:rStyle w:val="Hyperlink"/>
            <w:rFonts w:ascii="Times New Roman" w:hAnsi="Times New Roman"/>
            <w:noProof/>
          </w:rPr>
          <w:t>2.2.</w:t>
        </w:r>
        <w:r w:rsidRPr="00C12951">
          <w:rPr>
            <w:rFonts w:ascii="Calibri" w:hAnsi="Calibri"/>
            <w:smallCaps w:val="0"/>
            <w:noProof/>
            <w:sz w:val="22"/>
            <w:szCs w:val="22"/>
            <w:lang w:eastAsia="sk-SK"/>
          </w:rPr>
          <w:tab/>
        </w:r>
        <w:r w:rsidRPr="004767DF">
          <w:rPr>
            <w:rStyle w:val="Hyperlink"/>
            <w:rFonts w:ascii="Times New Roman" w:hAnsi="Times New Roman"/>
            <w:noProof/>
          </w:rPr>
          <w:t>Údaje za SR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_Toc351637412 \h </w:instrText>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rsidR="000B311B" w:rsidRPr="00C12951">
      <w:pPr>
        <w:pStyle w:val="TOC2"/>
        <w:tabs>
          <w:tab w:val="left" w:pos="800"/>
          <w:tab w:val="right" w:leader="dot" w:pos="9062"/>
        </w:tabs>
        <w:bidi w:val="0"/>
        <w:rPr>
          <w:rFonts w:ascii="Calibri" w:hAnsi="Calibri"/>
          <w:smallCaps w:val="0"/>
          <w:noProof/>
          <w:sz w:val="22"/>
          <w:szCs w:val="22"/>
          <w:lang w:eastAsia="sk-SK"/>
        </w:rPr>
      </w:pPr>
      <w:hyperlink w:anchor="_Toc351637413" w:history="1">
        <w:r w:rsidRPr="004767DF">
          <w:rPr>
            <w:rStyle w:val="Hyperlink"/>
            <w:rFonts w:ascii="Times New Roman" w:hAnsi="Times New Roman"/>
            <w:noProof/>
          </w:rPr>
          <w:t>2.3.</w:t>
        </w:r>
        <w:r w:rsidRPr="00C12951">
          <w:rPr>
            <w:rFonts w:ascii="Calibri" w:hAnsi="Calibri"/>
            <w:smallCaps w:val="0"/>
            <w:noProof/>
            <w:sz w:val="22"/>
            <w:szCs w:val="22"/>
            <w:lang w:eastAsia="sk-SK"/>
          </w:rPr>
          <w:tab/>
        </w:r>
        <w:r w:rsidRPr="004767DF">
          <w:rPr>
            <w:rStyle w:val="Hyperlink"/>
            <w:rFonts w:ascii="Times New Roman" w:hAnsi="Times New Roman"/>
            <w:noProof/>
          </w:rPr>
          <w:t>Medzinárodné porovnanie výdavkov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_Toc351637413 \h </w:instrText>
        </w:r>
        <w:r>
          <w:rPr>
            <w:rFonts w:ascii="Times New Roman" w:hAnsi="Times New Roman"/>
            <w:noProof/>
            <w:webHidden/>
          </w:rPr>
          <w:fldChar w:fldCharType="separate"/>
        </w:r>
        <w:r>
          <w:rPr>
            <w:rFonts w:ascii="Times New Roman" w:hAnsi="Times New Roman"/>
            <w:noProof/>
            <w:webHidden/>
          </w:rPr>
          <w:t>7</w:t>
        </w:r>
        <w:r>
          <w:rPr>
            <w:rFonts w:ascii="Times New Roman" w:hAnsi="Times New Roman"/>
            <w:noProof/>
            <w:webHidden/>
          </w:rPr>
          <w:fldChar w:fldCharType="end"/>
        </w:r>
      </w:hyperlink>
    </w:p>
    <w:p w:rsidR="000B311B" w:rsidRPr="00C12951">
      <w:pPr>
        <w:pStyle w:val="TOC3"/>
        <w:tabs>
          <w:tab w:val="left" w:pos="1200"/>
          <w:tab w:val="right" w:leader="dot" w:pos="9062"/>
        </w:tabs>
        <w:bidi w:val="0"/>
        <w:rPr>
          <w:rFonts w:ascii="Calibri" w:hAnsi="Calibri"/>
          <w:i w:val="0"/>
          <w:iCs w:val="0"/>
          <w:noProof/>
          <w:sz w:val="22"/>
          <w:szCs w:val="22"/>
          <w:lang w:eastAsia="sk-SK"/>
        </w:rPr>
      </w:pPr>
      <w:hyperlink w:anchor="_Toc351637414" w:history="1">
        <w:r w:rsidRPr="004767DF">
          <w:rPr>
            <w:rStyle w:val="Hyperlink"/>
            <w:rFonts w:ascii="Times New Roman" w:hAnsi="Times New Roman"/>
            <w:noProof/>
          </w:rPr>
          <w:t>2.3.1.</w:t>
        </w:r>
        <w:r w:rsidRPr="00C12951">
          <w:rPr>
            <w:rFonts w:ascii="Calibri" w:hAnsi="Calibri"/>
            <w:i w:val="0"/>
            <w:iCs w:val="0"/>
            <w:noProof/>
            <w:sz w:val="22"/>
            <w:szCs w:val="22"/>
            <w:lang w:eastAsia="sk-SK"/>
          </w:rPr>
          <w:tab/>
        </w:r>
        <w:r w:rsidRPr="004767DF">
          <w:rPr>
            <w:rStyle w:val="Hyperlink"/>
            <w:rFonts w:ascii="Times New Roman" w:hAnsi="Times New Roman"/>
            <w:noProof/>
          </w:rPr>
          <w:t>Celkové výdavky na vzdelávacie inštitúcie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_Toc351637414 \h </w:instrText>
        </w:r>
        <w:r>
          <w:rPr>
            <w:rFonts w:ascii="Times New Roman" w:hAnsi="Times New Roman"/>
            <w:noProof/>
            <w:webHidden/>
          </w:rPr>
          <w:fldChar w:fldCharType="separate"/>
        </w:r>
        <w:r>
          <w:rPr>
            <w:rFonts w:ascii="Times New Roman" w:hAnsi="Times New Roman"/>
            <w:noProof/>
            <w:webHidden/>
          </w:rPr>
          <w:t>7</w:t>
        </w:r>
        <w:r>
          <w:rPr>
            <w:rFonts w:ascii="Times New Roman" w:hAnsi="Times New Roman"/>
            <w:noProof/>
            <w:webHidden/>
          </w:rPr>
          <w:fldChar w:fldCharType="end"/>
        </w:r>
      </w:hyperlink>
    </w:p>
    <w:p w:rsidR="000B311B" w:rsidRPr="00C12951">
      <w:pPr>
        <w:pStyle w:val="TOC3"/>
        <w:tabs>
          <w:tab w:val="left" w:pos="1200"/>
          <w:tab w:val="right" w:leader="dot" w:pos="9062"/>
        </w:tabs>
        <w:bidi w:val="0"/>
        <w:rPr>
          <w:rFonts w:ascii="Calibri" w:hAnsi="Calibri"/>
          <w:i w:val="0"/>
          <w:iCs w:val="0"/>
          <w:noProof/>
          <w:sz w:val="22"/>
          <w:szCs w:val="22"/>
          <w:lang w:eastAsia="sk-SK"/>
        </w:rPr>
      </w:pPr>
      <w:hyperlink w:anchor="_Toc351637415" w:history="1">
        <w:r w:rsidRPr="004767DF">
          <w:rPr>
            <w:rStyle w:val="Hyperlink"/>
            <w:rFonts w:ascii="Times New Roman" w:hAnsi="Times New Roman"/>
            <w:noProof/>
          </w:rPr>
          <w:t>2.3.2.</w:t>
        </w:r>
        <w:r w:rsidRPr="00C12951">
          <w:rPr>
            <w:rFonts w:ascii="Calibri" w:hAnsi="Calibri"/>
            <w:i w:val="0"/>
            <w:iCs w:val="0"/>
            <w:noProof/>
            <w:sz w:val="22"/>
            <w:szCs w:val="22"/>
            <w:lang w:eastAsia="sk-SK"/>
          </w:rPr>
          <w:tab/>
        </w:r>
        <w:r w:rsidRPr="004767DF">
          <w:rPr>
            <w:rStyle w:val="Hyperlink"/>
            <w:rFonts w:ascii="Times New Roman" w:hAnsi="Times New Roman"/>
            <w:noProof/>
          </w:rPr>
          <w:t>Verejné vs. súkromné výdavky na vzdelávacie inštitúcie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_Toc351637415 \h </w:instrText>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rsidR="000B311B" w:rsidRPr="00C12951">
      <w:pPr>
        <w:pStyle w:val="TOC3"/>
        <w:tabs>
          <w:tab w:val="left" w:pos="1200"/>
          <w:tab w:val="right" w:leader="dot" w:pos="9062"/>
        </w:tabs>
        <w:bidi w:val="0"/>
        <w:rPr>
          <w:rFonts w:ascii="Calibri" w:hAnsi="Calibri"/>
          <w:i w:val="0"/>
          <w:iCs w:val="0"/>
          <w:noProof/>
          <w:sz w:val="22"/>
          <w:szCs w:val="22"/>
          <w:lang w:eastAsia="sk-SK"/>
        </w:rPr>
      </w:pPr>
      <w:hyperlink w:anchor="_Toc351637416" w:history="1">
        <w:r w:rsidRPr="004767DF">
          <w:rPr>
            <w:rStyle w:val="Hyperlink"/>
            <w:rFonts w:ascii="Times New Roman" w:hAnsi="Times New Roman"/>
            <w:noProof/>
          </w:rPr>
          <w:t>2.3.3.</w:t>
        </w:r>
        <w:r w:rsidRPr="00C12951">
          <w:rPr>
            <w:rFonts w:ascii="Calibri" w:hAnsi="Calibri"/>
            <w:i w:val="0"/>
            <w:iCs w:val="0"/>
            <w:noProof/>
            <w:sz w:val="22"/>
            <w:szCs w:val="22"/>
            <w:lang w:eastAsia="sk-SK"/>
          </w:rPr>
          <w:tab/>
        </w:r>
        <w:r w:rsidRPr="004767DF">
          <w:rPr>
            <w:rStyle w:val="Hyperlink"/>
            <w:rFonts w:ascii="Times New Roman" w:hAnsi="Times New Roman"/>
            <w:noProof/>
          </w:rPr>
          <w:t>Výdavky vzdelávacích inštitúcií na jedného žiaka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_Toc351637416 \h </w:instrText>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rsidR="000B311B" w:rsidRPr="00C12951">
      <w:pPr>
        <w:pStyle w:val="TOC3"/>
        <w:tabs>
          <w:tab w:val="left" w:pos="1200"/>
          <w:tab w:val="right" w:leader="dot" w:pos="9062"/>
        </w:tabs>
        <w:bidi w:val="0"/>
        <w:rPr>
          <w:rFonts w:ascii="Calibri" w:hAnsi="Calibri"/>
          <w:i w:val="0"/>
          <w:iCs w:val="0"/>
          <w:noProof/>
          <w:sz w:val="22"/>
          <w:szCs w:val="22"/>
          <w:lang w:eastAsia="sk-SK"/>
        </w:rPr>
      </w:pPr>
      <w:hyperlink w:anchor="_Toc351637417" w:history="1">
        <w:r w:rsidRPr="004767DF">
          <w:rPr>
            <w:rStyle w:val="Hyperlink"/>
            <w:rFonts w:ascii="Times New Roman" w:hAnsi="Times New Roman"/>
            <w:noProof/>
          </w:rPr>
          <w:t>2.3.4.</w:t>
        </w:r>
        <w:r w:rsidRPr="00C12951">
          <w:rPr>
            <w:rFonts w:ascii="Calibri" w:hAnsi="Calibri"/>
            <w:i w:val="0"/>
            <w:iCs w:val="0"/>
            <w:noProof/>
            <w:sz w:val="22"/>
            <w:szCs w:val="22"/>
            <w:lang w:eastAsia="sk-SK"/>
          </w:rPr>
          <w:tab/>
        </w:r>
        <w:r w:rsidRPr="004767DF">
          <w:rPr>
            <w:rStyle w:val="Hyperlink"/>
            <w:rFonts w:ascii="Times New Roman" w:hAnsi="Times New Roman"/>
            <w:noProof/>
          </w:rPr>
          <w:t>Verejné výdavky na vzdelávanie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_Toc351637417 \h </w:instrText>
        </w:r>
        <w:r>
          <w:rPr>
            <w:rFonts w:ascii="Times New Roman" w:hAnsi="Times New Roman"/>
            <w:noProof/>
            <w:webHidden/>
          </w:rPr>
          <w:fldChar w:fldCharType="separate"/>
        </w:r>
        <w:r>
          <w:rPr>
            <w:rFonts w:ascii="Times New Roman" w:hAnsi="Times New Roman"/>
            <w:noProof/>
            <w:webHidden/>
          </w:rPr>
          <w:t>9</w:t>
        </w:r>
        <w:r>
          <w:rPr>
            <w:rFonts w:ascii="Times New Roman" w:hAnsi="Times New Roman"/>
            <w:noProof/>
            <w:webHidden/>
          </w:rPr>
          <w:fldChar w:fldCharType="end"/>
        </w:r>
      </w:hyperlink>
    </w:p>
    <w:p w:rsidR="000B311B" w:rsidRPr="00C12951">
      <w:pPr>
        <w:pStyle w:val="TOC1"/>
        <w:bidi w:val="0"/>
        <w:rPr>
          <w:rFonts w:ascii="Calibri" w:hAnsi="Calibri"/>
          <w:b w:val="0"/>
          <w:bCs w:val="0"/>
          <w:caps w:val="0"/>
          <w:noProof/>
          <w:sz w:val="22"/>
          <w:szCs w:val="22"/>
          <w:lang w:eastAsia="sk-SK"/>
        </w:rPr>
      </w:pPr>
      <w:hyperlink w:anchor="_Toc351637418" w:history="1">
        <w:r w:rsidRPr="004767DF">
          <w:rPr>
            <w:rStyle w:val="Hyperlink"/>
            <w:rFonts w:ascii="Times New Roman" w:hAnsi="Times New Roman"/>
            <w:noProof/>
          </w:rPr>
          <w:t>3.</w:t>
        </w:r>
        <w:r w:rsidRPr="00C12951">
          <w:rPr>
            <w:rFonts w:ascii="Calibri" w:hAnsi="Calibri"/>
            <w:b w:val="0"/>
            <w:bCs w:val="0"/>
            <w:caps w:val="0"/>
            <w:noProof/>
            <w:sz w:val="22"/>
            <w:szCs w:val="22"/>
            <w:lang w:eastAsia="sk-SK"/>
          </w:rPr>
          <w:tab/>
        </w:r>
        <w:r w:rsidRPr="004767DF">
          <w:rPr>
            <w:rStyle w:val="Hyperlink"/>
            <w:rFonts w:ascii="Times New Roman" w:hAnsi="Times New Roman"/>
            <w:noProof/>
          </w:rPr>
          <w:t>Metodika COFOG</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_Toc351637418 \h </w:instrText>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rsidR="000B311B" w:rsidRPr="00C12951">
      <w:pPr>
        <w:pStyle w:val="TOC2"/>
        <w:tabs>
          <w:tab w:val="left" w:pos="800"/>
          <w:tab w:val="right" w:leader="dot" w:pos="9062"/>
        </w:tabs>
        <w:bidi w:val="0"/>
        <w:rPr>
          <w:rFonts w:ascii="Calibri" w:hAnsi="Calibri"/>
          <w:smallCaps w:val="0"/>
          <w:noProof/>
          <w:sz w:val="22"/>
          <w:szCs w:val="22"/>
          <w:lang w:eastAsia="sk-SK"/>
        </w:rPr>
      </w:pPr>
      <w:hyperlink w:anchor="_Toc351637419" w:history="1">
        <w:r w:rsidRPr="004767DF">
          <w:rPr>
            <w:rStyle w:val="Hyperlink"/>
            <w:rFonts w:ascii="Times New Roman" w:hAnsi="Times New Roman"/>
            <w:noProof/>
          </w:rPr>
          <w:t>3.1.</w:t>
        </w:r>
        <w:r w:rsidRPr="00C12951">
          <w:rPr>
            <w:rFonts w:ascii="Calibri" w:hAnsi="Calibri"/>
            <w:smallCaps w:val="0"/>
            <w:noProof/>
            <w:sz w:val="22"/>
            <w:szCs w:val="22"/>
            <w:lang w:eastAsia="sk-SK"/>
          </w:rPr>
          <w:tab/>
        </w:r>
        <w:r w:rsidRPr="004767DF">
          <w:rPr>
            <w:rStyle w:val="Hyperlink"/>
            <w:rFonts w:ascii="Times New Roman" w:hAnsi="Times New Roman"/>
            <w:noProof/>
          </w:rPr>
          <w:t>Charakteristika metodiky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_Toc351637419 \h </w:instrText>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rsidR="000B311B" w:rsidRPr="00C12951">
      <w:pPr>
        <w:pStyle w:val="TOC2"/>
        <w:tabs>
          <w:tab w:val="left" w:pos="800"/>
          <w:tab w:val="right" w:leader="dot" w:pos="9062"/>
        </w:tabs>
        <w:bidi w:val="0"/>
        <w:rPr>
          <w:rFonts w:ascii="Calibri" w:hAnsi="Calibri"/>
          <w:smallCaps w:val="0"/>
          <w:noProof/>
          <w:sz w:val="22"/>
          <w:szCs w:val="22"/>
          <w:lang w:eastAsia="sk-SK"/>
        </w:rPr>
      </w:pPr>
      <w:hyperlink w:anchor="_Toc351637420" w:history="1">
        <w:r w:rsidRPr="004767DF">
          <w:rPr>
            <w:rStyle w:val="Hyperlink"/>
            <w:rFonts w:ascii="Times New Roman" w:hAnsi="Times New Roman"/>
            <w:noProof/>
          </w:rPr>
          <w:t>3.2.</w:t>
        </w:r>
        <w:r w:rsidRPr="00C12951">
          <w:rPr>
            <w:rFonts w:ascii="Calibri" w:hAnsi="Calibri"/>
            <w:smallCaps w:val="0"/>
            <w:noProof/>
            <w:sz w:val="22"/>
            <w:szCs w:val="22"/>
            <w:lang w:eastAsia="sk-SK"/>
          </w:rPr>
          <w:tab/>
        </w:r>
        <w:r w:rsidRPr="004767DF">
          <w:rPr>
            <w:rStyle w:val="Hyperlink"/>
            <w:rFonts w:ascii="Times New Roman" w:hAnsi="Times New Roman"/>
            <w:noProof/>
          </w:rPr>
          <w:t>Údaje za SR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_Toc351637420 \h </w:instrText>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rsidR="000B311B" w:rsidRPr="00C12951">
      <w:pPr>
        <w:pStyle w:val="TOC2"/>
        <w:tabs>
          <w:tab w:val="left" w:pos="800"/>
          <w:tab w:val="right" w:leader="dot" w:pos="9062"/>
        </w:tabs>
        <w:bidi w:val="0"/>
        <w:rPr>
          <w:rFonts w:ascii="Calibri" w:hAnsi="Calibri"/>
          <w:smallCaps w:val="0"/>
          <w:noProof/>
          <w:sz w:val="22"/>
          <w:szCs w:val="22"/>
          <w:lang w:eastAsia="sk-SK"/>
        </w:rPr>
      </w:pPr>
      <w:hyperlink w:anchor="_Toc351637421" w:history="1">
        <w:r w:rsidRPr="004767DF">
          <w:rPr>
            <w:rStyle w:val="Hyperlink"/>
            <w:rFonts w:ascii="Times New Roman" w:hAnsi="Times New Roman"/>
            <w:noProof/>
          </w:rPr>
          <w:t>3.3.</w:t>
        </w:r>
        <w:r w:rsidRPr="00C12951">
          <w:rPr>
            <w:rFonts w:ascii="Calibri" w:hAnsi="Calibri"/>
            <w:smallCaps w:val="0"/>
            <w:noProof/>
            <w:sz w:val="22"/>
            <w:szCs w:val="22"/>
            <w:lang w:eastAsia="sk-SK"/>
          </w:rPr>
          <w:tab/>
        </w:r>
        <w:r w:rsidRPr="004767DF">
          <w:rPr>
            <w:rStyle w:val="Hyperlink"/>
            <w:rFonts w:ascii="Times New Roman" w:hAnsi="Times New Roman"/>
            <w:noProof/>
          </w:rPr>
          <w:t>Medzinárodné porovnanie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_Toc351637421 \h </w:instrText>
        </w:r>
        <w:r>
          <w:rPr>
            <w:rFonts w:ascii="Times New Roman" w:hAnsi="Times New Roman"/>
            <w:noProof/>
            <w:webHidden/>
          </w:rPr>
          <w:fldChar w:fldCharType="separate"/>
        </w:r>
        <w:r>
          <w:rPr>
            <w:rFonts w:ascii="Times New Roman" w:hAnsi="Times New Roman"/>
            <w:noProof/>
            <w:webHidden/>
          </w:rPr>
          <w:t>11</w:t>
        </w:r>
        <w:r>
          <w:rPr>
            <w:rFonts w:ascii="Times New Roman" w:hAnsi="Times New Roman"/>
            <w:noProof/>
            <w:webHidden/>
          </w:rPr>
          <w:fldChar w:fldCharType="end"/>
        </w:r>
      </w:hyperlink>
    </w:p>
    <w:p w:rsidR="000B311B" w:rsidRPr="00C12951">
      <w:pPr>
        <w:pStyle w:val="TOC1"/>
        <w:bidi w:val="0"/>
        <w:rPr>
          <w:rFonts w:ascii="Calibri" w:hAnsi="Calibri"/>
          <w:b w:val="0"/>
          <w:bCs w:val="0"/>
          <w:caps w:val="0"/>
          <w:noProof/>
          <w:sz w:val="22"/>
          <w:szCs w:val="22"/>
          <w:lang w:eastAsia="sk-SK"/>
        </w:rPr>
      </w:pPr>
      <w:hyperlink w:anchor="_Toc351637422" w:history="1">
        <w:r w:rsidRPr="004767DF">
          <w:rPr>
            <w:rStyle w:val="Hyperlink"/>
            <w:rFonts w:ascii="Times New Roman" w:hAnsi="Times New Roman"/>
            <w:noProof/>
          </w:rPr>
          <w:t>Zoznam obrázkov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_Toc351637422 \h </w:instrText>
        </w:r>
        <w:r>
          <w:rPr>
            <w:rFonts w:ascii="Times New Roman" w:hAnsi="Times New Roman"/>
            <w:noProof/>
            <w:webHidden/>
          </w:rPr>
          <w:fldChar w:fldCharType="separate"/>
        </w:r>
        <w:r>
          <w:rPr>
            <w:rFonts w:ascii="Times New Roman" w:hAnsi="Times New Roman"/>
            <w:noProof/>
            <w:webHidden/>
          </w:rPr>
          <w:t>13</w:t>
        </w:r>
        <w:r>
          <w:rPr>
            <w:rFonts w:ascii="Times New Roman" w:hAnsi="Times New Roman"/>
            <w:noProof/>
            <w:webHidden/>
          </w:rPr>
          <w:fldChar w:fldCharType="end"/>
        </w:r>
      </w:hyperlink>
    </w:p>
    <w:p w:rsidR="000B311B" w:rsidRPr="00C12951">
      <w:pPr>
        <w:pStyle w:val="TOC1"/>
        <w:bidi w:val="0"/>
        <w:rPr>
          <w:rFonts w:ascii="Calibri" w:hAnsi="Calibri"/>
          <w:b w:val="0"/>
          <w:bCs w:val="0"/>
          <w:caps w:val="0"/>
          <w:noProof/>
          <w:sz w:val="22"/>
          <w:szCs w:val="22"/>
          <w:lang w:eastAsia="sk-SK"/>
        </w:rPr>
      </w:pPr>
      <w:hyperlink w:anchor="_Toc351637423" w:history="1">
        <w:r w:rsidRPr="004767DF">
          <w:rPr>
            <w:rStyle w:val="Hyperlink"/>
            <w:rFonts w:ascii="Times New Roman" w:hAnsi="Times New Roman"/>
            <w:noProof/>
          </w:rPr>
          <w:t>Zoznam tabuliek</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_Toc351637423 \h </w:instrText>
        </w:r>
        <w:r>
          <w:rPr>
            <w:rFonts w:ascii="Times New Roman" w:hAnsi="Times New Roman"/>
            <w:noProof/>
            <w:webHidden/>
          </w:rPr>
          <w:fldChar w:fldCharType="separate"/>
        </w:r>
        <w:r>
          <w:rPr>
            <w:rFonts w:ascii="Times New Roman" w:hAnsi="Times New Roman"/>
            <w:noProof/>
            <w:webHidden/>
          </w:rPr>
          <w:t>13</w:t>
        </w:r>
        <w:r>
          <w:rPr>
            <w:rFonts w:ascii="Times New Roman" w:hAnsi="Times New Roman"/>
            <w:noProof/>
            <w:webHidden/>
          </w:rPr>
          <w:fldChar w:fldCharType="end"/>
        </w:r>
      </w:hyperlink>
    </w:p>
    <w:p w:rsidR="000B311B" w:rsidRPr="00C12951">
      <w:pPr>
        <w:pStyle w:val="TOC1"/>
        <w:bidi w:val="0"/>
        <w:rPr>
          <w:rFonts w:ascii="Calibri" w:hAnsi="Calibri"/>
          <w:b w:val="0"/>
          <w:bCs w:val="0"/>
          <w:caps w:val="0"/>
          <w:noProof/>
          <w:sz w:val="22"/>
          <w:szCs w:val="22"/>
          <w:lang w:eastAsia="sk-SK"/>
        </w:rPr>
      </w:pPr>
      <w:hyperlink w:anchor="_Toc351637424" w:history="1">
        <w:r w:rsidRPr="004767DF">
          <w:rPr>
            <w:rStyle w:val="Hyperlink"/>
            <w:rFonts w:ascii="Times New Roman" w:hAnsi="Times New Roman"/>
            <w:noProof/>
          </w:rPr>
          <w:t>Zoznam rámčekov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_Toc351637424 \h </w:instrText>
        </w:r>
        <w:r>
          <w:rPr>
            <w:rFonts w:ascii="Times New Roman" w:hAnsi="Times New Roman"/>
            <w:noProof/>
            <w:webHidden/>
          </w:rPr>
          <w:fldChar w:fldCharType="separate"/>
        </w:r>
        <w:r>
          <w:rPr>
            <w:rFonts w:ascii="Times New Roman" w:hAnsi="Times New Roman"/>
            <w:noProof/>
            <w:webHidden/>
          </w:rPr>
          <w:t>13</w:t>
        </w:r>
        <w:r>
          <w:rPr>
            <w:rFonts w:ascii="Times New Roman" w:hAnsi="Times New Roman"/>
            <w:noProof/>
            <w:webHidden/>
          </w:rPr>
          <w:fldChar w:fldCharType="end"/>
        </w:r>
      </w:hyperlink>
    </w:p>
    <w:p w:rsidR="00EE1303" w:rsidRPr="00DF0A1C" w:rsidP="00DF0A1C">
      <w:pPr>
        <w:bidi w:val="0"/>
        <w:rPr>
          <w:rFonts w:ascii="Times New Roman" w:hAnsi="Times New Roman"/>
          <w:b/>
          <w:lang w:eastAsia="x-none"/>
        </w:rPr>
      </w:pPr>
      <w:r w:rsidR="000B311B">
        <w:rPr>
          <w:rFonts w:ascii="Times New Roman" w:hAnsi="Times New Roman"/>
          <w:b w:val="0"/>
          <w:lang w:eastAsia="x-none"/>
        </w:rPr>
        <w:fldChar w:fldCharType="end"/>
      </w:r>
    </w:p>
    <w:p w:rsidR="00EE1303" w:rsidRPr="00DF0A1C" w:rsidP="00DF0A1C">
      <w:pPr>
        <w:bidi w:val="0"/>
        <w:rPr>
          <w:rFonts w:ascii="Times New Roman" w:hAnsi="Times New Roman"/>
          <w:b/>
          <w:lang w:eastAsia="x-none"/>
        </w:rPr>
      </w:pPr>
    </w:p>
    <w:p w:rsidR="00451C87" w:rsidRPr="00D43097" w:rsidP="00DF0A1C">
      <w:pPr>
        <w:pStyle w:val="Heading2"/>
        <w:bidi w:val="0"/>
        <w:ind w:left="357" w:hanging="357"/>
        <w:rPr>
          <w:rFonts w:ascii="Times New Roman" w:hAnsi="Times New Roman"/>
        </w:rPr>
      </w:pPr>
      <w:r w:rsidR="00774C0F">
        <w:rPr>
          <w:rFonts w:ascii="Times New Roman" w:hAnsi="Times New Roman"/>
        </w:rPr>
        <w:br w:type="page"/>
      </w:r>
      <w:bookmarkStart w:id="17" w:name="_Toc351637409"/>
      <w:r w:rsidR="0052070C">
        <w:rPr>
          <w:rFonts w:ascii="Times New Roman" w:hAnsi="Times New Roman"/>
        </w:rPr>
        <w:t>M</w:t>
      </w:r>
      <w:r w:rsidRPr="00D43097">
        <w:rPr>
          <w:rFonts w:ascii="Times New Roman" w:hAnsi="Times New Roman"/>
        </w:rPr>
        <w:t>etodiky vyk</w:t>
      </w:r>
      <w:r w:rsidR="005D2209">
        <w:rPr>
          <w:rFonts w:ascii="Times New Roman" w:hAnsi="Times New Roman"/>
        </w:rPr>
        <w:t>azovania výdavkov na vzdelávanie</w:t>
      </w:r>
      <w:bookmarkEnd w:id="17"/>
    </w:p>
    <w:p w:rsidR="00451C87" w:rsidRPr="00451C87" w:rsidP="00451C87">
      <w:pPr>
        <w:pStyle w:val="ListParagraph"/>
        <w:numPr>
          <w:numId w:val="2"/>
        </w:numPr>
        <w:bidi w:val="0"/>
        <w:ind w:firstLine="0"/>
        <w:contextualSpacing w:val="0"/>
        <w:rPr>
          <w:rFonts w:ascii="Times New Roman" w:hAnsi="Times New Roman"/>
          <w:szCs w:val="24"/>
        </w:rPr>
      </w:pPr>
      <w:r w:rsidRPr="00451C87">
        <w:rPr>
          <w:rFonts w:ascii="Times New Roman" w:hAnsi="Times New Roman"/>
          <w:szCs w:val="24"/>
        </w:rPr>
        <w:t xml:space="preserve">Existujú dve metodiky pre medzinárodné porovnávanie výdavkov na vzdelávanie: UOE a COFOG. </w:t>
      </w:r>
    </w:p>
    <w:p w:rsidR="00451C87" w:rsidRPr="00451C87" w:rsidP="00451C87">
      <w:pPr>
        <w:pStyle w:val="ListParagraph"/>
        <w:numPr>
          <w:numId w:val="2"/>
        </w:numPr>
        <w:bidi w:val="0"/>
        <w:ind w:firstLine="0"/>
        <w:contextualSpacing w:val="0"/>
        <w:rPr>
          <w:rFonts w:ascii="Times New Roman" w:hAnsi="Times New Roman"/>
          <w:szCs w:val="24"/>
        </w:rPr>
      </w:pPr>
      <w:r w:rsidRPr="00451C87">
        <w:rPr>
          <w:rFonts w:ascii="Times New Roman" w:hAnsi="Times New Roman"/>
          <w:szCs w:val="24"/>
        </w:rPr>
        <w:t xml:space="preserve">Metodika UOE (Unesco/OECD/Eurostat) je základnou metodikou, ktorá zabezpečuje medzinárodne porovnateľné dáta. </w:t>
      </w:r>
      <w:r>
        <w:rPr>
          <w:rFonts w:ascii="Times New Roman" w:hAnsi="Times New Roman"/>
          <w:szCs w:val="24"/>
        </w:rPr>
        <w:t xml:space="preserve">Metodika pokrýva špeciálne len oblasť vzdelávania. </w:t>
      </w:r>
      <w:r w:rsidRPr="00451C87">
        <w:rPr>
          <w:rFonts w:ascii="Times New Roman" w:hAnsi="Times New Roman"/>
          <w:szCs w:val="24"/>
        </w:rPr>
        <w:t xml:space="preserve">Na Slovensku pripravuje údaje podľa tejto metodiky Ústav informácií a prognóz školstva. </w:t>
      </w:r>
      <w:r>
        <w:rPr>
          <w:rFonts w:ascii="Times New Roman" w:hAnsi="Times New Roman"/>
          <w:szCs w:val="24"/>
        </w:rPr>
        <w:t xml:space="preserve">Následne ich používajú medzinárodné organizácie ako </w:t>
      </w:r>
      <w:r w:rsidRPr="00451C87">
        <w:rPr>
          <w:rFonts w:ascii="Times New Roman" w:hAnsi="Times New Roman"/>
          <w:szCs w:val="24"/>
        </w:rPr>
        <w:t>OECD</w:t>
      </w:r>
      <w:r>
        <w:rPr>
          <w:rFonts w:ascii="Times New Roman" w:hAnsi="Times New Roman"/>
          <w:szCs w:val="24"/>
        </w:rPr>
        <w:t>, Eurostat a Unesco, ktoré</w:t>
      </w:r>
      <w:r w:rsidRPr="00451C87">
        <w:rPr>
          <w:rFonts w:ascii="Times New Roman" w:hAnsi="Times New Roman"/>
          <w:szCs w:val="24"/>
        </w:rPr>
        <w:t xml:space="preserve"> na základe údajov získaných z rôznych krajín</w:t>
      </w:r>
      <w:r>
        <w:rPr>
          <w:rFonts w:ascii="Times New Roman" w:hAnsi="Times New Roman"/>
          <w:szCs w:val="24"/>
        </w:rPr>
        <w:t xml:space="preserve"> vypracovávajú</w:t>
      </w:r>
      <w:r w:rsidRPr="00451C87">
        <w:rPr>
          <w:rFonts w:ascii="Times New Roman" w:hAnsi="Times New Roman"/>
          <w:szCs w:val="24"/>
        </w:rPr>
        <w:t xml:space="preserve"> a </w:t>
      </w:r>
      <w:r>
        <w:rPr>
          <w:rFonts w:ascii="Times New Roman" w:hAnsi="Times New Roman"/>
          <w:szCs w:val="24"/>
        </w:rPr>
        <w:t>zverejňujú</w:t>
      </w:r>
      <w:r w:rsidRPr="00451C87">
        <w:rPr>
          <w:rFonts w:ascii="Times New Roman" w:hAnsi="Times New Roman"/>
          <w:szCs w:val="24"/>
        </w:rPr>
        <w:t xml:space="preserve"> ich porovnanie.</w:t>
      </w:r>
    </w:p>
    <w:p w:rsidR="00451C87" w:rsidRPr="00451C87" w:rsidP="00451C87">
      <w:pPr>
        <w:pStyle w:val="ListParagraph"/>
        <w:numPr>
          <w:numId w:val="2"/>
        </w:numPr>
        <w:bidi w:val="0"/>
        <w:ind w:firstLine="0"/>
        <w:contextualSpacing w:val="0"/>
        <w:rPr>
          <w:rFonts w:ascii="Times New Roman" w:hAnsi="Times New Roman"/>
          <w:szCs w:val="24"/>
        </w:rPr>
      </w:pPr>
      <w:r w:rsidRPr="00451C87">
        <w:rPr>
          <w:rFonts w:ascii="Times New Roman" w:hAnsi="Times New Roman"/>
          <w:szCs w:val="24"/>
        </w:rPr>
        <w:t xml:space="preserve">V rámci metodiky UOE sa výdavky na vzdelávanie triedia podľa: </w:t>
      </w:r>
    </w:p>
    <w:p w:rsidR="00451C87" w:rsidRPr="00451C87" w:rsidP="0070680D">
      <w:pPr>
        <w:numPr>
          <w:numId w:val="6"/>
        </w:numPr>
        <w:autoSpaceDE w:val="0"/>
        <w:autoSpaceDN w:val="0"/>
        <w:bidi w:val="0"/>
        <w:adjustRightInd w:val="0"/>
        <w:spacing w:after="200"/>
        <w:ind w:left="714" w:hanging="357"/>
        <w:contextualSpacing/>
        <w:jc w:val="left"/>
        <w:rPr>
          <w:rFonts w:ascii="Times New Roman" w:eastAsia="Calibri" w:hAnsi="Times New Roman" w:hint="default"/>
          <w:szCs w:val="24"/>
        </w:rPr>
      </w:pPr>
      <w:r w:rsidRPr="00451C87">
        <w:rPr>
          <w:rFonts w:ascii="Times New Roman" w:eastAsia="Calibri" w:hAnsi="Times New Roman" w:hint="default"/>
          <w:szCs w:val="24"/>
        </w:rPr>
        <w:t>zdroja financovania (verejné</w:t>
      </w:r>
      <w:r w:rsidRPr="00451C87">
        <w:rPr>
          <w:rFonts w:ascii="Times New Roman" w:eastAsia="Calibri" w:hAnsi="Times New Roman" w:hint="default"/>
          <w:szCs w:val="24"/>
        </w:rPr>
        <w:t>, sú</w:t>
      </w:r>
      <w:r w:rsidRPr="00451C87">
        <w:rPr>
          <w:rFonts w:ascii="Times New Roman" w:eastAsia="Calibri" w:hAnsi="Times New Roman" w:hint="default"/>
          <w:szCs w:val="24"/>
        </w:rPr>
        <w:t>kromné</w:t>
      </w:r>
      <w:r w:rsidRPr="00451C87">
        <w:rPr>
          <w:rFonts w:ascii="Times New Roman" w:eastAsia="Calibri" w:hAnsi="Times New Roman" w:hint="default"/>
          <w:szCs w:val="24"/>
        </w:rPr>
        <w:t>, zahranič</w:t>
      </w:r>
      <w:r w:rsidRPr="00451C87">
        <w:rPr>
          <w:rFonts w:ascii="Times New Roman" w:eastAsia="Calibri" w:hAnsi="Times New Roman" w:hint="default"/>
          <w:szCs w:val="24"/>
        </w:rPr>
        <w:t>né</w:t>
      </w:r>
      <w:r w:rsidRPr="00451C87">
        <w:rPr>
          <w:rFonts w:ascii="Times New Roman" w:eastAsia="Calibri" w:hAnsi="Times New Roman" w:hint="default"/>
          <w:szCs w:val="24"/>
        </w:rPr>
        <w:t>),</w:t>
      </w:r>
    </w:p>
    <w:p w:rsidR="00451C87" w:rsidRPr="00451C87" w:rsidP="0070680D">
      <w:pPr>
        <w:numPr>
          <w:numId w:val="6"/>
        </w:numPr>
        <w:autoSpaceDE w:val="0"/>
        <w:autoSpaceDN w:val="0"/>
        <w:bidi w:val="0"/>
        <w:adjustRightInd w:val="0"/>
        <w:spacing w:after="200"/>
        <w:ind w:left="714" w:hanging="357"/>
        <w:contextualSpacing/>
        <w:jc w:val="left"/>
        <w:rPr>
          <w:rFonts w:ascii="Times New Roman" w:eastAsia="Calibri" w:hAnsi="Times New Roman" w:hint="default"/>
          <w:szCs w:val="24"/>
        </w:rPr>
      </w:pPr>
      <w:r w:rsidRPr="00451C87">
        <w:rPr>
          <w:rFonts w:ascii="Times New Roman" w:eastAsia="Calibri" w:hAnsi="Times New Roman" w:hint="default"/>
          <w:szCs w:val="24"/>
        </w:rPr>
        <w:t>typu transakcie (priame</w:t>
      </w:r>
      <w:r>
        <w:rPr>
          <w:rFonts w:ascii="Times New Roman" w:eastAsia="Calibri" w:hAnsi="Times New Roman" w:hint="default"/>
          <w:szCs w:val="24"/>
        </w:rPr>
        <w:t xml:space="preserve"> vý</w:t>
      </w:r>
      <w:r>
        <w:rPr>
          <w:rFonts w:ascii="Times New Roman" w:eastAsia="Calibri" w:hAnsi="Times New Roman" w:hint="default"/>
          <w:szCs w:val="24"/>
        </w:rPr>
        <w:t>davky na vzdelá</w:t>
      </w:r>
      <w:r>
        <w:rPr>
          <w:rFonts w:ascii="Times New Roman" w:eastAsia="Calibri" w:hAnsi="Times New Roman" w:hint="default"/>
          <w:szCs w:val="24"/>
        </w:rPr>
        <w:t>v</w:t>
      </w:r>
      <w:r>
        <w:rPr>
          <w:rFonts w:ascii="Times New Roman" w:eastAsia="Calibri" w:hAnsi="Times New Roman" w:hint="default"/>
          <w:szCs w:val="24"/>
        </w:rPr>
        <w:t>acie inš</w:t>
      </w:r>
      <w:r>
        <w:rPr>
          <w:rFonts w:ascii="Times New Roman" w:eastAsia="Calibri" w:hAnsi="Times New Roman" w:hint="default"/>
          <w:szCs w:val="24"/>
        </w:rPr>
        <w:t>titú</w:t>
      </w:r>
      <w:r>
        <w:rPr>
          <w:rFonts w:ascii="Times New Roman" w:eastAsia="Calibri" w:hAnsi="Times New Roman" w:hint="default"/>
          <w:szCs w:val="24"/>
        </w:rPr>
        <w:t>cie</w:t>
      </w:r>
      <w:r w:rsidRPr="00451C87">
        <w:rPr>
          <w:rFonts w:ascii="Times New Roman" w:eastAsia="Calibri" w:hAnsi="Times New Roman" w:hint="default"/>
          <w:szCs w:val="24"/>
        </w:rPr>
        <w:t>, transfery domá</w:t>
      </w:r>
      <w:r w:rsidRPr="00451C87">
        <w:rPr>
          <w:rFonts w:ascii="Times New Roman" w:eastAsia="Calibri" w:hAnsi="Times New Roman" w:hint="default"/>
          <w:szCs w:val="24"/>
        </w:rPr>
        <w:t>cnostiam, vý</w:t>
      </w:r>
      <w:r w:rsidRPr="00451C87">
        <w:rPr>
          <w:rFonts w:ascii="Times New Roman" w:eastAsia="Calibri" w:hAnsi="Times New Roman" w:hint="default"/>
          <w:szCs w:val="24"/>
        </w:rPr>
        <w:t>davky domá</w:t>
      </w:r>
      <w:r w:rsidRPr="00451C87">
        <w:rPr>
          <w:rFonts w:ascii="Times New Roman" w:eastAsia="Calibri" w:hAnsi="Times New Roman" w:hint="default"/>
          <w:szCs w:val="24"/>
        </w:rPr>
        <w:t>cností</w:t>
      </w:r>
      <w:r w:rsidRPr="00451C87">
        <w:rPr>
          <w:rFonts w:ascii="Times New Roman" w:eastAsia="Calibri" w:hAnsi="Times New Roman" w:hint="default"/>
          <w:szCs w:val="24"/>
        </w:rPr>
        <w:t>),</w:t>
      </w:r>
    </w:p>
    <w:p w:rsidR="00451C87" w:rsidRPr="00451C87" w:rsidP="0070680D">
      <w:pPr>
        <w:numPr>
          <w:numId w:val="6"/>
        </w:numPr>
        <w:autoSpaceDE w:val="0"/>
        <w:autoSpaceDN w:val="0"/>
        <w:bidi w:val="0"/>
        <w:adjustRightInd w:val="0"/>
        <w:spacing w:after="200"/>
        <w:ind w:left="714" w:hanging="357"/>
        <w:contextualSpacing/>
        <w:jc w:val="left"/>
        <w:rPr>
          <w:rFonts w:ascii="Times New Roman" w:eastAsia="Calibri" w:hAnsi="Times New Roman"/>
          <w:szCs w:val="24"/>
        </w:rPr>
      </w:pPr>
      <w:r w:rsidRPr="00451C87">
        <w:rPr>
          <w:rFonts w:ascii="Times New Roman" w:eastAsia="Calibri" w:hAnsi="Times New Roman" w:hint="default"/>
          <w:szCs w:val="24"/>
        </w:rPr>
        <w:t>ú</w:t>
      </w:r>
      <w:r w:rsidRPr="00451C87">
        <w:rPr>
          <w:rFonts w:ascii="Times New Roman" w:eastAsia="Calibri" w:hAnsi="Times New Roman" w:hint="default"/>
          <w:szCs w:val="24"/>
        </w:rPr>
        <w:t>rovne vzdelá</w:t>
      </w:r>
      <w:r w:rsidRPr="00451C87">
        <w:rPr>
          <w:rFonts w:ascii="Times New Roman" w:eastAsia="Calibri" w:hAnsi="Times New Roman" w:hint="default"/>
          <w:szCs w:val="24"/>
        </w:rPr>
        <w:t xml:space="preserve">vania </w:t>
      </w:r>
      <w:r w:rsidRPr="00451C87">
        <w:rPr>
          <w:rFonts w:ascii="Times New Roman" w:eastAsia="Calibri" w:hAnsi="Times New Roman" w:hint="default"/>
          <w:szCs w:val="24"/>
        </w:rPr>
        <w:t>–</w:t>
      </w:r>
      <w:r w:rsidRPr="00451C87">
        <w:rPr>
          <w:rFonts w:ascii="Times New Roman" w:eastAsia="Calibri" w:hAnsi="Times New Roman" w:hint="default"/>
          <w:szCs w:val="24"/>
        </w:rPr>
        <w:t xml:space="preserve"> ISCED 97</w:t>
      </w:r>
      <w:r>
        <w:rPr>
          <w:rFonts w:ascii="Times New Roman" w:eastAsia="Calibri" w:hAnsi="Times New Roman"/>
          <w:szCs w:val="24"/>
          <w:vertAlign w:val="superscript"/>
          <w:rtl w:val="0"/>
        </w:rPr>
        <w:footnoteReference w:id="2"/>
      </w:r>
      <w:r w:rsidRPr="00451C87">
        <w:rPr>
          <w:rFonts w:ascii="Times New Roman" w:eastAsia="Calibri" w:hAnsi="Times New Roman"/>
          <w:szCs w:val="24"/>
        </w:rPr>
        <w:t xml:space="preserve">. </w:t>
      </w:r>
    </w:p>
    <w:p w:rsidR="00451C87" w:rsidRPr="00451C87" w:rsidP="00451C87">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 xml:space="preserve">Medzinárodne porovnateľné údaje o verejných výdavkoch vo všeobecnosti, a v rámci toho aj pre vzdelávanie, sa zabezpečujú aj pomocou funkčnej klasifikácie výdavkov verejnej správy COFOG (Classification of the Functions of Government). </w:t>
      </w:r>
      <w:r>
        <w:rPr>
          <w:rFonts w:ascii="Times New Roman" w:hAnsi="Times New Roman"/>
          <w:szCs w:val="24"/>
        </w:rPr>
        <w:t>V prípade Slovenska nie sú v</w:t>
      </w:r>
      <w:r w:rsidRPr="00451C87">
        <w:rPr>
          <w:rFonts w:ascii="Times New Roman" w:hAnsi="Times New Roman"/>
          <w:szCs w:val="24"/>
        </w:rPr>
        <w:t>erejn</w:t>
      </w:r>
      <w:r>
        <w:rPr>
          <w:rFonts w:ascii="Times New Roman" w:hAnsi="Times New Roman"/>
          <w:szCs w:val="24"/>
        </w:rPr>
        <w:t>é</w:t>
      </w:r>
      <w:r w:rsidRPr="00451C87">
        <w:rPr>
          <w:rFonts w:ascii="Times New Roman" w:hAnsi="Times New Roman"/>
          <w:szCs w:val="24"/>
        </w:rPr>
        <w:t xml:space="preserve"> výdavk</w:t>
      </w:r>
      <w:r>
        <w:rPr>
          <w:rFonts w:ascii="Times New Roman" w:hAnsi="Times New Roman"/>
          <w:szCs w:val="24"/>
        </w:rPr>
        <w:t>y</w:t>
      </w:r>
      <w:r w:rsidRPr="00451C87">
        <w:rPr>
          <w:rFonts w:ascii="Times New Roman" w:hAnsi="Times New Roman"/>
          <w:szCs w:val="24"/>
        </w:rPr>
        <w:t xml:space="preserve"> na vzdelávanie publikované </w:t>
      </w:r>
      <w:r>
        <w:rPr>
          <w:rFonts w:ascii="Times New Roman" w:hAnsi="Times New Roman"/>
          <w:szCs w:val="24"/>
        </w:rPr>
        <w:t>s členením</w:t>
      </w:r>
      <w:r w:rsidRPr="00451C87">
        <w:rPr>
          <w:rFonts w:ascii="Times New Roman" w:hAnsi="Times New Roman"/>
          <w:szCs w:val="24"/>
        </w:rPr>
        <w:t xml:space="preserve"> na jednotlivé stupne vzdelania (Štatistický úrad SR ich má k dispozícií, ale ich pre nízku kvalitu ich nepublikuje). </w:t>
      </w:r>
    </w:p>
    <w:p w:rsidR="00451C87" w:rsidRPr="00D43097" w:rsidP="00D43097">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D43097">
        <w:rPr>
          <w:rFonts w:ascii="Times New Roman" w:hAnsi="Times New Roman"/>
          <w:szCs w:val="24"/>
        </w:rPr>
        <w:t xml:space="preserve">Medzi metodikou UOE a COFOG existujú </w:t>
      </w:r>
      <w:r w:rsidR="00D43097">
        <w:rPr>
          <w:rFonts w:ascii="Times New Roman" w:hAnsi="Times New Roman"/>
          <w:szCs w:val="24"/>
        </w:rPr>
        <w:t xml:space="preserve">viaceré </w:t>
      </w:r>
      <w:r w:rsidRPr="00D43097">
        <w:rPr>
          <w:rFonts w:ascii="Times New Roman" w:hAnsi="Times New Roman"/>
          <w:szCs w:val="24"/>
        </w:rPr>
        <w:t xml:space="preserve">rozdiely. </w:t>
      </w:r>
      <w:r w:rsidR="00D43097">
        <w:rPr>
          <w:rFonts w:ascii="Times New Roman" w:hAnsi="Times New Roman"/>
          <w:szCs w:val="24"/>
        </w:rPr>
        <w:t>Dôležité je však spomenúť, že metodika COFOG je východiskom pri tvorbe údajov podľa metodiky UOE, z dôvodu, že funkčná klasifikácia je rozpočtovou klasifikáciou, t.j. sú podľa nej rozpočtované a vykazované jednotlivé výdavkové položky verejnej správy.</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06" w:type="dxa"/>
            <w:tcBorders>
              <w:top w:val="single" w:sz="4" w:space="0" w:color="000000"/>
              <w:left w:val="single" w:sz="4" w:space="0" w:color="000000"/>
              <w:bottom w:val="single" w:sz="4" w:space="0" w:color="000000"/>
              <w:right w:val="single" w:sz="4" w:space="0" w:color="000000"/>
            </w:tcBorders>
            <w:shd w:val="clear" w:color="auto" w:fill="C6D9F1"/>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b/>
                <w:sz w:val="20"/>
              </w:rPr>
            </w:pPr>
            <w:r w:rsidRPr="0070680D">
              <w:rPr>
                <w:rFonts w:ascii="Times New Roman" w:eastAsia="Calibri" w:hAnsi="Times New Roman"/>
                <w:b/>
                <w:sz w:val="20"/>
              </w:rPr>
              <w:t>Metodika UOE</w:t>
            </w:r>
          </w:p>
        </w:tc>
        <w:tc>
          <w:tcPr>
            <w:tcW w:w="4606" w:type="dxa"/>
            <w:tcBorders>
              <w:top w:val="single" w:sz="4" w:space="0" w:color="000000"/>
              <w:left w:val="single" w:sz="4" w:space="0" w:color="000000"/>
              <w:bottom w:val="single" w:sz="4" w:space="0" w:color="000000"/>
              <w:right w:val="single" w:sz="4" w:space="0" w:color="000000"/>
            </w:tcBorders>
            <w:shd w:val="clear" w:color="auto" w:fill="C6D9F1"/>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b/>
                <w:sz w:val="20"/>
              </w:rPr>
            </w:pPr>
            <w:r w:rsidRPr="0070680D">
              <w:rPr>
                <w:rFonts w:ascii="Times New Roman" w:eastAsia="Calibri" w:hAnsi="Times New Roman"/>
                <w:b/>
                <w:sz w:val="20"/>
              </w:rPr>
              <w:t>COFOG</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D43097" w:rsidRPr="0070680D" w:rsidP="0070680D">
            <w:pPr>
              <w:autoSpaceDE w:val="0"/>
              <w:autoSpaceDN w:val="0"/>
              <w:bidi w:val="0"/>
              <w:adjustRightInd w:val="0"/>
              <w:spacing w:after="0"/>
              <w:contextualSpacing/>
              <w:rPr>
                <w:rFonts w:ascii="Calibri" w:eastAsia="Calibri" w:hAnsi="Calibri"/>
                <w:sz w:val="20"/>
                <w:szCs w:val="22"/>
              </w:rPr>
            </w:pPr>
            <w:r w:rsidRPr="0070680D">
              <w:rPr>
                <w:rFonts w:ascii="Times New Roman" w:eastAsia="Calibri" w:hAnsi="Times New Roman" w:hint="default"/>
                <w:sz w:val="20"/>
              </w:rPr>
              <w:t>Nie je rozpoč</w:t>
            </w:r>
            <w:r w:rsidRPr="0070680D">
              <w:rPr>
                <w:rFonts w:ascii="Times New Roman" w:eastAsia="Calibri" w:hAnsi="Times New Roman" w:hint="default"/>
                <w:sz w:val="20"/>
              </w:rPr>
              <w:t>tovou klasifiká</w:t>
            </w:r>
            <w:r w:rsidRPr="0070680D">
              <w:rPr>
                <w:rFonts w:ascii="Times New Roman" w:eastAsia="Calibri" w:hAnsi="Times New Roman" w:hint="default"/>
                <w:sz w:val="20"/>
              </w:rPr>
              <w:t>ciou</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D43097" w:rsidRPr="0070680D" w:rsidP="0070680D">
            <w:pPr>
              <w:autoSpaceDE w:val="0"/>
              <w:autoSpaceDN w:val="0"/>
              <w:bidi w:val="0"/>
              <w:adjustRightInd w:val="0"/>
              <w:spacing w:after="0"/>
              <w:contextualSpacing/>
              <w:rPr>
                <w:rFonts w:ascii="Calibri" w:eastAsia="Calibri" w:hAnsi="Calibri"/>
                <w:sz w:val="20"/>
                <w:szCs w:val="22"/>
              </w:rPr>
            </w:pPr>
            <w:r w:rsidRPr="0070680D">
              <w:rPr>
                <w:rFonts w:ascii="Times New Roman" w:eastAsia="Calibri" w:hAnsi="Times New Roman" w:hint="default"/>
                <w:sz w:val="20"/>
              </w:rPr>
              <w:t>Rozpoč</w:t>
            </w:r>
            <w:r w:rsidRPr="0070680D">
              <w:rPr>
                <w:rFonts w:ascii="Times New Roman" w:eastAsia="Calibri" w:hAnsi="Times New Roman" w:hint="default"/>
                <w:sz w:val="20"/>
              </w:rPr>
              <w:t>tová</w:t>
            </w:r>
            <w:r w:rsidRPr="0070680D">
              <w:rPr>
                <w:rFonts w:ascii="Times New Roman" w:eastAsia="Calibri" w:hAnsi="Times New Roman" w:hint="default"/>
                <w:sz w:val="20"/>
              </w:rPr>
              <w:t xml:space="preserve"> klasifiká</w:t>
            </w:r>
            <w:r w:rsidRPr="0070680D">
              <w:rPr>
                <w:rFonts w:ascii="Times New Roman" w:eastAsia="Calibri" w:hAnsi="Times New Roman" w:hint="default"/>
                <w:sz w:val="20"/>
              </w:rPr>
              <w:t>cia</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Pr>
                <w:rFonts w:ascii="Times New Roman" w:eastAsia="Calibri" w:hAnsi="Times New Roman" w:hint="default"/>
                <w:sz w:val="20"/>
              </w:rPr>
              <w:t>Pokrý</w:t>
            </w:r>
            <w:r w:rsidRPr="0070680D">
              <w:rPr>
                <w:rFonts w:ascii="Times New Roman" w:eastAsia="Calibri" w:hAnsi="Times New Roman" w:hint="default"/>
                <w:sz w:val="20"/>
              </w:rPr>
              <w:t>va len vzdelá</w:t>
            </w:r>
            <w:r w:rsidRPr="0070680D">
              <w:rPr>
                <w:rFonts w:ascii="Times New Roman" w:eastAsia="Calibri" w:hAnsi="Times New Roman" w:hint="default"/>
                <w:sz w:val="20"/>
              </w:rPr>
              <w:t>vanie</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Pr>
                <w:rFonts w:ascii="Times New Roman" w:eastAsia="Calibri" w:hAnsi="Times New Roman" w:hint="default"/>
                <w:sz w:val="20"/>
              </w:rPr>
              <w:t>Pokrý</w:t>
            </w:r>
            <w:r w:rsidRPr="0070680D">
              <w:rPr>
                <w:rFonts w:ascii="Times New Roman" w:eastAsia="Calibri" w:hAnsi="Times New Roman" w:hint="default"/>
                <w:sz w:val="20"/>
              </w:rPr>
              <w:t>va aj iné</w:t>
            </w:r>
            <w:r w:rsidRPr="0070680D">
              <w:rPr>
                <w:rFonts w:ascii="Times New Roman" w:eastAsia="Calibri" w:hAnsi="Times New Roman" w:hint="default"/>
                <w:sz w:val="20"/>
              </w:rPr>
              <w:t xml:space="preserve"> oblasti</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Pr>
                <w:rFonts w:ascii="Times New Roman" w:eastAsia="Calibri" w:hAnsi="Times New Roman" w:hint="default"/>
                <w:sz w:val="20"/>
              </w:rPr>
              <w:t>Pokrý</w:t>
            </w:r>
            <w:r w:rsidRPr="0070680D">
              <w:rPr>
                <w:rFonts w:ascii="Times New Roman" w:eastAsia="Calibri" w:hAnsi="Times New Roman" w:hint="default"/>
                <w:sz w:val="20"/>
              </w:rPr>
              <w:t>va č</w:t>
            </w:r>
            <w:r w:rsidRPr="0070680D">
              <w:rPr>
                <w:rFonts w:ascii="Times New Roman" w:eastAsia="Calibri" w:hAnsi="Times New Roman" w:hint="default"/>
                <w:sz w:val="20"/>
              </w:rPr>
              <w:t>iastoč</w:t>
            </w:r>
            <w:r w:rsidRPr="0070680D">
              <w:rPr>
                <w:rFonts w:ascii="Times New Roman" w:eastAsia="Calibri" w:hAnsi="Times New Roman" w:hint="default"/>
                <w:sz w:val="20"/>
              </w:rPr>
              <w:t>ne aj sú</w:t>
            </w:r>
            <w:r w:rsidRPr="0070680D">
              <w:rPr>
                <w:rFonts w:ascii="Times New Roman" w:eastAsia="Calibri" w:hAnsi="Times New Roman" w:hint="default"/>
                <w:sz w:val="20"/>
              </w:rPr>
              <w:t>kromné</w:t>
            </w:r>
            <w:r w:rsidRPr="0070680D">
              <w:rPr>
                <w:rFonts w:ascii="Times New Roman" w:eastAsia="Calibri" w:hAnsi="Times New Roman" w:hint="default"/>
                <w:sz w:val="20"/>
              </w:rPr>
              <w:t xml:space="preserve"> vý</w:t>
            </w:r>
            <w:r w:rsidRPr="0070680D">
              <w:rPr>
                <w:rFonts w:ascii="Times New Roman" w:eastAsia="Calibri" w:hAnsi="Times New Roman" w:hint="default"/>
                <w:sz w:val="20"/>
              </w:rPr>
              <w:t>davky</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Pr>
                <w:rFonts w:ascii="Times New Roman" w:eastAsia="Calibri" w:hAnsi="Times New Roman" w:hint="default"/>
                <w:sz w:val="20"/>
              </w:rPr>
              <w:t>Pokrý</w:t>
            </w:r>
            <w:r w:rsidRPr="0070680D">
              <w:rPr>
                <w:rFonts w:ascii="Times New Roman" w:eastAsia="Calibri" w:hAnsi="Times New Roman" w:hint="default"/>
                <w:sz w:val="20"/>
              </w:rPr>
              <w:t>va len vý</w:t>
            </w:r>
            <w:r w:rsidRPr="0070680D">
              <w:rPr>
                <w:rFonts w:ascii="Times New Roman" w:eastAsia="Calibri" w:hAnsi="Times New Roman" w:hint="default"/>
                <w:sz w:val="20"/>
              </w:rPr>
              <w:t>davky verej</w:t>
            </w:r>
            <w:r w:rsidRPr="0070680D">
              <w:rPr>
                <w:rFonts w:ascii="Times New Roman" w:eastAsia="Calibri" w:hAnsi="Times New Roman" w:hint="default"/>
                <w:sz w:val="20"/>
              </w:rPr>
              <w:t>nej sprá</w:t>
            </w:r>
            <w:r w:rsidRPr="0070680D">
              <w:rPr>
                <w:rFonts w:ascii="Times New Roman" w:eastAsia="Calibri" w:hAnsi="Times New Roman" w:hint="default"/>
                <w:sz w:val="20"/>
              </w:rPr>
              <w:t>vy</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Pr>
                <w:rFonts w:ascii="Times New Roman" w:eastAsia="Calibri" w:hAnsi="Times New Roman" w:hint="default"/>
                <w:sz w:val="20"/>
              </w:rPr>
              <w:t>Pokrý</w:t>
            </w:r>
            <w:r w:rsidRPr="0070680D">
              <w:rPr>
                <w:rFonts w:ascii="Times New Roman" w:eastAsia="Calibri" w:hAnsi="Times New Roman" w:hint="default"/>
                <w:sz w:val="20"/>
              </w:rPr>
              <w:t>va iba formá</w:t>
            </w:r>
            <w:r w:rsidRPr="0070680D">
              <w:rPr>
                <w:rFonts w:ascii="Times New Roman" w:eastAsia="Calibri" w:hAnsi="Times New Roman" w:hint="default"/>
                <w:sz w:val="20"/>
              </w:rPr>
              <w:t>lne vzdelá</w:t>
            </w:r>
            <w:r w:rsidRPr="0070680D">
              <w:rPr>
                <w:rFonts w:ascii="Times New Roman" w:eastAsia="Calibri" w:hAnsi="Times New Roman" w:hint="default"/>
                <w:sz w:val="20"/>
              </w:rPr>
              <w:t>vanie</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Pr>
                <w:rFonts w:ascii="Times New Roman" w:eastAsia="Calibri" w:hAnsi="Times New Roman" w:hint="default"/>
                <w:sz w:val="20"/>
              </w:rPr>
              <w:t>Pokrý</w:t>
            </w:r>
            <w:r w:rsidRPr="0070680D">
              <w:rPr>
                <w:rFonts w:ascii="Times New Roman" w:eastAsia="Calibri" w:hAnsi="Times New Roman" w:hint="default"/>
                <w:sz w:val="20"/>
              </w:rPr>
              <w:t>va taktiež</w:t>
            </w:r>
            <w:r w:rsidRPr="0070680D">
              <w:rPr>
                <w:rFonts w:ascii="Times New Roman" w:eastAsia="Calibri" w:hAnsi="Times New Roman" w:hint="default"/>
                <w:sz w:val="20"/>
              </w:rPr>
              <w:t xml:space="preserve"> neformá</w:t>
            </w:r>
            <w:r w:rsidRPr="0070680D">
              <w:rPr>
                <w:rFonts w:ascii="Times New Roman" w:eastAsia="Calibri" w:hAnsi="Times New Roman" w:hint="default"/>
                <w:sz w:val="20"/>
              </w:rPr>
              <w:t>lne vzdelá</w:t>
            </w:r>
            <w:r w:rsidRPr="0070680D">
              <w:rPr>
                <w:rFonts w:ascii="Times New Roman" w:eastAsia="Calibri" w:hAnsi="Times New Roman" w:hint="default"/>
                <w:sz w:val="20"/>
              </w:rPr>
              <w:t>vanie (napr. zariadenia a </w:t>
            </w:r>
            <w:r w:rsidRPr="0070680D">
              <w:rPr>
                <w:rFonts w:ascii="Times New Roman" w:eastAsia="Calibri" w:hAnsi="Times New Roman" w:hint="default"/>
                <w:sz w:val="20"/>
              </w:rPr>
              <w:t>inš</w:t>
            </w:r>
            <w:r w:rsidRPr="0070680D">
              <w:rPr>
                <w:rFonts w:ascii="Times New Roman" w:eastAsia="Calibri" w:hAnsi="Times New Roman" w:hint="default"/>
                <w:sz w:val="20"/>
              </w:rPr>
              <w:t>titú</w:t>
            </w:r>
            <w:r w:rsidRPr="0070680D">
              <w:rPr>
                <w:rFonts w:ascii="Times New Roman" w:eastAsia="Calibri" w:hAnsi="Times New Roman" w:hint="default"/>
                <w:sz w:val="20"/>
              </w:rPr>
              <w:t>cie celož</w:t>
            </w:r>
            <w:r w:rsidRPr="0070680D">
              <w:rPr>
                <w:rFonts w:ascii="Times New Roman" w:eastAsia="Calibri" w:hAnsi="Times New Roman" w:hint="default"/>
                <w:sz w:val="20"/>
              </w:rPr>
              <w:t>ivotné</w:t>
            </w:r>
            <w:r w:rsidRPr="0070680D">
              <w:rPr>
                <w:rFonts w:ascii="Times New Roman" w:eastAsia="Calibri" w:hAnsi="Times New Roman" w:hint="default"/>
                <w:sz w:val="20"/>
              </w:rPr>
              <w:t>ho vzdelá</w:t>
            </w:r>
            <w:r w:rsidRPr="0070680D">
              <w:rPr>
                <w:rFonts w:ascii="Times New Roman" w:eastAsia="Calibri" w:hAnsi="Times New Roman" w:hint="default"/>
                <w:sz w:val="20"/>
              </w:rPr>
              <w:t>vania)</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sidR="00D43097">
              <w:rPr>
                <w:rFonts w:ascii="Times New Roman" w:eastAsia="Calibri" w:hAnsi="Times New Roman" w:hint="default"/>
                <w:sz w:val="20"/>
              </w:rPr>
              <w:t>Č</w:t>
            </w:r>
            <w:r w:rsidRPr="0070680D">
              <w:rPr>
                <w:rFonts w:ascii="Times New Roman" w:eastAsia="Calibri" w:hAnsi="Times New Roman" w:hint="default"/>
                <w:sz w:val="20"/>
              </w:rPr>
              <w:t>asť</w:t>
            </w:r>
            <w:r w:rsidRPr="0070680D">
              <w:rPr>
                <w:rFonts w:ascii="Times New Roman" w:eastAsia="Calibri" w:hAnsi="Times New Roman" w:hint="default"/>
                <w:sz w:val="20"/>
              </w:rPr>
              <w:t xml:space="preserve"> vý</w:t>
            </w:r>
            <w:r w:rsidRPr="0070680D">
              <w:rPr>
                <w:rFonts w:ascii="Times New Roman" w:eastAsia="Calibri" w:hAnsi="Times New Roman" w:hint="default"/>
                <w:sz w:val="20"/>
              </w:rPr>
              <w:t>davkov vzdelá</w:t>
            </w:r>
            <w:r w:rsidRPr="0070680D">
              <w:rPr>
                <w:rFonts w:ascii="Times New Roman" w:eastAsia="Calibri" w:hAnsi="Times New Roman" w:hint="default"/>
                <w:sz w:val="20"/>
              </w:rPr>
              <w:t>vací</w:t>
            </w:r>
            <w:r w:rsidRPr="0070680D">
              <w:rPr>
                <w:rFonts w:ascii="Times New Roman" w:eastAsia="Calibri" w:hAnsi="Times New Roman" w:hint="default"/>
                <w:sz w:val="20"/>
              </w:rPr>
              <w:t>ch inš</w:t>
            </w:r>
            <w:r w:rsidRPr="0070680D">
              <w:rPr>
                <w:rFonts w:ascii="Times New Roman" w:eastAsia="Calibri" w:hAnsi="Times New Roman" w:hint="default"/>
                <w:sz w:val="20"/>
              </w:rPr>
              <w:t>titú</w:t>
            </w:r>
            <w:r w:rsidRPr="0070680D">
              <w:rPr>
                <w:rFonts w:ascii="Times New Roman" w:eastAsia="Calibri" w:hAnsi="Times New Roman" w:hint="default"/>
                <w:sz w:val="20"/>
              </w:rPr>
              <w:t>cií</w:t>
            </w:r>
            <w:r w:rsidRPr="0070680D">
              <w:rPr>
                <w:rFonts w:ascii="Times New Roman" w:eastAsia="Calibri" w:hAnsi="Times New Roman" w:hint="default"/>
                <w:sz w:val="20"/>
              </w:rPr>
              <w:t>, ktorá</w:t>
            </w:r>
            <w:r w:rsidRPr="0070680D">
              <w:rPr>
                <w:rFonts w:ascii="Times New Roman" w:eastAsia="Calibri" w:hAnsi="Times New Roman" w:hint="default"/>
                <w:sz w:val="20"/>
              </w:rPr>
              <w:t xml:space="preserve"> je financovaná</w:t>
            </w:r>
            <w:r w:rsidRPr="0070680D">
              <w:rPr>
                <w:rFonts w:ascii="Times New Roman" w:eastAsia="Calibri" w:hAnsi="Times New Roman" w:hint="default"/>
                <w:sz w:val="20"/>
              </w:rPr>
              <w:t xml:space="preserve"> zo sú</w:t>
            </w:r>
            <w:r w:rsidRPr="0070680D">
              <w:rPr>
                <w:rFonts w:ascii="Times New Roman" w:eastAsia="Calibri" w:hAnsi="Times New Roman" w:hint="default"/>
                <w:sz w:val="20"/>
              </w:rPr>
              <w:t>kromný</w:t>
            </w:r>
            <w:r w:rsidRPr="0070680D">
              <w:rPr>
                <w:rFonts w:ascii="Times New Roman" w:eastAsia="Calibri" w:hAnsi="Times New Roman" w:hint="default"/>
                <w:sz w:val="20"/>
              </w:rPr>
              <w:t>ch zdrojov, nezahŕň</w:t>
            </w:r>
            <w:r w:rsidRPr="0070680D">
              <w:rPr>
                <w:rFonts w:ascii="Times New Roman" w:eastAsia="Calibri" w:hAnsi="Times New Roman" w:hint="default"/>
                <w:sz w:val="20"/>
              </w:rPr>
              <w:t>a do verejný</w:t>
            </w:r>
            <w:r w:rsidRPr="0070680D">
              <w:rPr>
                <w:rFonts w:ascii="Times New Roman" w:eastAsia="Calibri" w:hAnsi="Times New Roman" w:hint="default"/>
                <w:sz w:val="20"/>
              </w:rPr>
              <w:t>ch vý</w:t>
            </w:r>
            <w:r w:rsidRPr="0070680D">
              <w:rPr>
                <w:rFonts w:ascii="Times New Roman" w:eastAsia="Calibri" w:hAnsi="Times New Roman" w:hint="default"/>
                <w:sz w:val="20"/>
              </w:rPr>
              <w:t>davkov</w:t>
            </w:r>
            <w:r w:rsidRPr="0070680D">
              <w:rPr>
                <w:rFonts w:ascii="Times New Roman" w:eastAsia="Calibri" w:hAnsi="Times New Roman" w:hint="default"/>
                <w:sz w:val="20"/>
              </w:rPr>
              <w:t xml:space="preserve"> na vzdelá</w:t>
            </w:r>
            <w:r w:rsidRPr="0070680D">
              <w:rPr>
                <w:rFonts w:ascii="Times New Roman" w:eastAsia="Calibri" w:hAnsi="Times New Roman" w:hint="default"/>
                <w:sz w:val="20"/>
              </w:rPr>
              <w:t>vanie.</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sz w:val="20"/>
              </w:rPr>
            </w:pPr>
            <w:r w:rsidRPr="0070680D" w:rsidR="00D43097">
              <w:rPr>
                <w:rFonts w:ascii="Times New Roman" w:eastAsia="Calibri" w:hAnsi="Times New Roman" w:hint="default"/>
                <w:sz w:val="20"/>
              </w:rPr>
              <w:t>Č</w:t>
            </w:r>
            <w:r w:rsidRPr="0070680D" w:rsidR="00D43097">
              <w:rPr>
                <w:rFonts w:ascii="Times New Roman" w:eastAsia="Calibri" w:hAnsi="Times New Roman" w:hint="default"/>
                <w:sz w:val="20"/>
              </w:rPr>
              <w:t>asť</w:t>
            </w:r>
            <w:r w:rsidRPr="0070680D" w:rsidR="00D43097">
              <w:rPr>
                <w:rFonts w:ascii="Times New Roman" w:eastAsia="Calibri" w:hAnsi="Times New Roman" w:hint="default"/>
                <w:sz w:val="20"/>
              </w:rPr>
              <w:t xml:space="preserve"> vý</w:t>
            </w:r>
            <w:r w:rsidRPr="0070680D" w:rsidR="00D43097">
              <w:rPr>
                <w:rFonts w:ascii="Times New Roman" w:eastAsia="Calibri" w:hAnsi="Times New Roman" w:hint="default"/>
                <w:sz w:val="20"/>
              </w:rPr>
              <w:t>davkov vzdelá</w:t>
            </w:r>
            <w:r w:rsidRPr="0070680D" w:rsidR="00D43097">
              <w:rPr>
                <w:rFonts w:ascii="Times New Roman" w:eastAsia="Calibri" w:hAnsi="Times New Roman" w:hint="default"/>
                <w:sz w:val="20"/>
              </w:rPr>
              <w:t>vací</w:t>
            </w:r>
            <w:r w:rsidRPr="0070680D" w:rsidR="00D43097">
              <w:rPr>
                <w:rFonts w:ascii="Times New Roman" w:eastAsia="Calibri" w:hAnsi="Times New Roman" w:hint="default"/>
                <w:sz w:val="20"/>
              </w:rPr>
              <w:t>ch inš</w:t>
            </w:r>
            <w:r w:rsidRPr="0070680D" w:rsidR="00D43097">
              <w:rPr>
                <w:rFonts w:ascii="Times New Roman" w:eastAsia="Calibri" w:hAnsi="Times New Roman" w:hint="default"/>
                <w:sz w:val="20"/>
              </w:rPr>
              <w:t>titú</w:t>
            </w:r>
            <w:r w:rsidRPr="0070680D" w:rsidR="00D43097">
              <w:rPr>
                <w:rFonts w:ascii="Times New Roman" w:eastAsia="Calibri" w:hAnsi="Times New Roman" w:hint="default"/>
                <w:sz w:val="20"/>
              </w:rPr>
              <w:t>cií</w:t>
            </w:r>
            <w:r w:rsidRPr="0070680D" w:rsidR="00D43097">
              <w:rPr>
                <w:rFonts w:ascii="Times New Roman" w:eastAsia="Calibri" w:hAnsi="Times New Roman" w:hint="default"/>
                <w:sz w:val="20"/>
              </w:rPr>
              <w:t>, ktorá</w:t>
            </w:r>
            <w:r w:rsidRPr="0070680D" w:rsidR="00D43097">
              <w:rPr>
                <w:rFonts w:ascii="Times New Roman" w:eastAsia="Calibri" w:hAnsi="Times New Roman" w:hint="default"/>
                <w:sz w:val="20"/>
              </w:rPr>
              <w:t xml:space="preserve"> je financovaná</w:t>
            </w:r>
            <w:r w:rsidRPr="0070680D" w:rsidR="00D43097">
              <w:rPr>
                <w:rFonts w:ascii="Times New Roman" w:eastAsia="Calibri" w:hAnsi="Times New Roman" w:hint="default"/>
                <w:sz w:val="20"/>
              </w:rPr>
              <w:t xml:space="preserve"> zo sú</w:t>
            </w:r>
            <w:r w:rsidRPr="0070680D" w:rsidR="00D43097">
              <w:rPr>
                <w:rFonts w:ascii="Times New Roman" w:eastAsia="Calibri" w:hAnsi="Times New Roman" w:hint="default"/>
                <w:sz w:val="20"/>
              </w:rPr>
              <w:t>kromný</w:t>
            </w:r>
            <w:r w:rsidRPr="0070680D" w:rsidR="00D43097">
              <w:rPr>
                <w:rFonts w:ascii="Times New Roman" w:eastAsia="Calibri" w:hAnsi="Times New Roman" w:hint="default"/>
                <w:sz w:val="20"/>
              </w:rPr>
              <w:t>ch zdrojov, je zahrnutá</w:t>
            </w:r>
            <w:r w:rsidRPr="0070680D" w:rsidR="00D43097">
              <w:rPr>
                <w:rFonts w:ascii="Times New Roman" w:eastAsia="Calibri" w:hAnsi="Times New Roman" w:hint="default"/>
                <w:sz w:val="20"/>
              </w:rPr>
              <w:t xml:space="preserve"> do verejný</w:t>
            </w:r>
            <w:r w:rsidRPr="0070680D" w:rsidR="00D43097">
              <w:rPr>
                <w:rFonts w:ascii="Times New Roman" w:eastAsia="Calibri" w:hAnsi="Times New Roman" w:hint="default"/>
                <w:sz w:val="20"/>
              </w:rPr>
              <w:t>ch vý</w:t>
            </w:r>
            <w:r w:rsidRPr="0070680D" w:rsidR="00D43097">
              <w:rPr>
                <w:rFonts w:ascii="Times New Roman" w:eastAsia="Calibri" w:hAnsi="Times New Roman" w:hint="default"/>
                <w:sz w:val="20"/>
              </w:rPr>
              <w:t>davkov na vzdelá</w:t>
            </w:r>
            <w:r w:rsidRPr="0070680D" w:rsidR="00D43097">
              <w:rPr>
                <w:rFonts w:ascii="Times New Roman" w:eastAsia="Calibri" w:hAnsi="Times New Roman" w:hint="default"/>
                <w:sz w:val="20"/>
              </w:rPr>
              <w:t>vanie.</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hint="default"/>
                <w:sz w:val="20"/>
              </w:rPr>
            </w:pPr>
            <w:r w:rsidRPr="0070680D" w:rsidR="00D43097">
              <w:rPr>
                <w:rFonts w:ascii="Times New Roman" w:eastAsia="Calibri" w:hAnsi="Times New Roman"/>
                <w:sz w:val="20"/>
              </w:rPr>
              <w:t>Do</w:t>
            </w:r>
            <w:r w:rsidRPr="0070680D">
              <w:rPr>
                <w:rFonts w:ascii="Times New Roman" w:eastAsia="Calibri" w:hAnsi="Times New Roman" w:hint="default"/>
                <w:sz w:val="20"/>
              </w:rPr>
              <w:t xml:space="preserve"> vý</w:t>
            </w:r>
            <w:r w:rsidRPr="0070680D">
              <w:rPr>
                <w:rFonts w:ascii="Times New Roman" w:eastAsia="Calibri" w:hAnsi="Times New Roman" w:hint="default"/>
                <w:sz w:val="20"/>
              </w:rPr>
              <w:t>davkov na vzdelá</w:t>
            </w:r>
            <w:r w:rsidRPr="0070680D">
              <w:rPr>
                <w:rFonts w:ascii="Times New Roman" w:eastAsia="Calibri" w:hAnsi="Times New Roman" w:hint="default"/>
                <w:sz w:val="20"/>
              </w:rPr>
              <w:t xml:space="preserve">vanie </w:t>
            </w:r>
            <w:r w:rsidRPr="0070680D" w:rsidR="00D43097">
              <w:rPr>
                <w:rFonts w:ascii="Times New Roman" w:eastAsia="Calibri" w:hAnsi="Times New Roman" w:hint="default"/>
                <w:sz w:val="20"/>
              </w:rPr>
              <w:t>zahrň</w:t>
            </w:r>
            <w:r w:rsidRPr="0070680D" w:rsidR="00D43097">
              <w:rPr>
                <w:rFonts w:ascii="Times New Roman" w:eastAsia="Calibri" w:hAnsi="Times New Roman" w:hint="default"/>
                <w:sz w:val="20"/>
              </w:rPr>
              <w:t xml:space="preserve">uje </w:t>
            </w:r>
            <w:r w:rsidRPr="0070680D">
              <w:rPr>
                <w:rFonts w:ascii="Times New Roman" w:eastAsia="Calibri" w:hAnsi="Times New Roman" w:hint="default"/>
                <w:sz w:val="20"/>
              </w:rPr>
              <w:t>aj vý</w:t>
            </w:r>
            <w:r w:rsidRPr="0070680D">
              <w:rPr>
                <w:rFonts w:ascii="Times New Roman" w:eastAsia="Calibri" w:hAnsi="Times New Roman" w:hint="default"/>
                <w:sz w:val="20"/>
              </w:rPr>
              <w:t>skumné</w:t>
            </w:r>
            <w:r w:rsidRPr="0070680D">
              <w:rPr>
                <w:rFonts w:ascii="Times New Roman" w:eastAsia="Calibri" w:hAnsi="Times New Roman" w:hint="default"/>
                <w:sz w:val="20"/>
              </w:rPr>
              <w:t xml:space="preserve"> aktivity v rá</w:t>
            </w:r>
            <w:r w:rsidRPr="0070680D">
              <w:rPr>
                <w:rFonts w:ascii="Times New Roman" w:eastAsia="Calibri" w:hAnsi="Times New Roman" w:hint="default"/>
                <w:sz w:val="20"/>
              </w:rPr>
              <w:t>mci inš</w:t>
            </w:r>
            <w:r w:rsidRPr="0070680D">
              <w:rPr>
                <w:rFonts w:ascii="Times New Roman" w:eastAsia="Calibri" w:hAnsi="Times New Roman" w:hint="default"/>
                <w:sz w:val="20"/>
              </w:rPr>
              <w:t>titú</w:t>
            </w:r>
            <w:r w:rsidRPr="0070680D">
              <w:rPr>
                <w:rFonts w:ascii="Times New Roman" w:eastAsia="Calibri" w:hAnsi="Times New Roman" w:hint="default"/>
                <w:sz w:val="20"/>
              </w:rPr>
              <w:t>cií</w:t>
            </w:r>
            <w:r w:rsidRPr="0070680D">
              <w:rPr>
                <w:rFonts w:ascii="Times New Roman" w:eastAsia="Calibri" w:hAnsi="Times New Roman" w:hint="default"/>
                <w:sz w:val="20"/>
              </w:rPr>
              <w:t xml:space="preserve"> terciá</w:t>
            </w:r>
            <w:r w:rsidRPr="0070680D">
              <w:rPr>
                <w:rFonts w:ascii="Times New Roman" w:eastAsia="Calibri" w:hAnsi="Times New Roman" w:hint="default"/>
                <w:sz w:val="20"/>
              </w:rPr>
              <w:t>rneho vzdelá</w:t>
            </w:r>
            <w:r w:rsidRPr="0070680D">
              <w:rPr>
                <w:rFonts w:ascii="Times New Roman" w:eastAsia="Calibri" w:hAnsi="Times New Roman" w:hint="default"/>
                <w:sz w:val="20"/>
              </w:rPr>
              <w:t>vania.</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sz w:val="20"/>
              </w:rPr>
            </w:pPr>
            <w:r w:rsidRPr="0070680D" w:rsidR="00D43097">
              <w:rPr>
                <w:rFonts w:ascii="Times New Roman" w:eastAsia="Calibri" w:hAnsi="Times New Roman"/>
                <w:sz w:val="20"/>
              </w:rPr>
              <w:t>V</w:t>
            </w:r>
            <w:r w:rsidRPr="0070680D">
              <w:rPr>
                <w:rFonts w:ascii="Times New Roman" w:eastAsia="Calibri" w:hAnsi="Times New Roman" w:hint="default"/>
                <w:sz w:val="20"/>
              </w:rPr>
              <w:t>ý</w:t>
            </w:r>
            <w:r w:rsidRPr="0070680D">
              <w:rPr>
                <w:rFonts w:ascii="Times New Roman" w:eastAsia="Calibri" w:hAnsi="Times New Roman" w:hint="default"/>
                <w:sz w:val="20"/>
              </w:rPr>
              <w:t>da</w:t>
            </w:r>
            <w:r w:rsidRPr="0070680D">
              <w:rPr>
                <w:rFonts w:ascii="Times New Roman" w:eastAsia="Calibri" w:hAnsi="Times New Roman" w:hint="default"/>
                <w:sz w:val="20"/>
              </w:rPr>
              <w:t>vky na vý</w:t>
            </w:r>
            <w:r w:rsidRPr="0070680D">
              <w:rPr>
                <w:rFonts w:ascii="Times New Roman" w:eastAsia="Calibri" w:hAnsi="Times New Roman" w:hint="default"/>
                <w:sz w:val="20"/>
              </w:rPr>
              <w:t>skum a vý</w:t>
            </w:r>
            <w:r w:rsidRPr="0070680D">
              <w:rPr>
                <w:rFonts w:ascii="Times New Roman" w:eastAsia="Calibri" w:hAnsi="Times New Roman" w:hint="default"/>
                <w:sz w:val="20"/>
              </w:rPr>
              <w:t>voj inš</w:t>
            </w:r>
            <w:r w:rsidRPr="0070680D">
              <w:rPr>
                <w:rFonts w:ascii="Times New Roman" w:eastAsia="Calibri" w:hAnsi="Times New Roman" w:hint="default"/>
                <w:sz w:val="20"/>
              </w:rPr>
              <w:t>titú</w:t>
            </w:r>
            <w:r w:rsidRPr="0070680D">
              <w:rPr>
                <w:rFonts w:ascii="Times New Roman" w:eastAsia="Calibri" w:hAnsi="Times New Roman" w:hint="default"/>
                <w:sz w:val="20"/>
              </w:rPr>
              <w:t>cií</w:t>
            </w:r>
            <w:r w:rsidRPr="0070680D">
              <w:rPr>
                <w:rFonts w:ascii="Times New Roman" w:eastAsia="Calibri" w:hAnsi="Times New Roman" w:hint="default"/>
                <w:sz w:val="20"/>
              </w:rPr>
              <w:t xml:space="preserve"> terciá</w:t>
            </w:r>
            <w:r w:rsidRPr="0070680D">
              <w:rPr>
                <w:rFonts w:ascii="Times New Roman" w:eastAsia="Calibri" w:hAnsi="Times New Roman" w:hint="default"/>
                <w:sz w:val="20"/>
              </w:rPr>
              <w:t>rneho vzdelá</w:t>
            </w:r>
            <w:r w:rsidRPr="0070680D">
              <w:rPr>
                <w:rFonts w:ascii="Times New Roman" w:eastAsia="Calibri" w:hAnsi="Times New Roman" w:hint="default"/>
                <w:sz w:val="20"/>
              </w:rPr>
              <w:t xml:space="preserve">vania </w:t>
            </w:r>
            <w:r w:rsidRPr="0070680D" w:rsidR="00D43097">
              <w:rPr>
                <w:rFonts w:ascii="Times New Roman" w:eastAsia="Calibri" w:hAnsi="Times New Roman" w:hint="default"/>
                <w:sz w:val="20"/>
              </w:rPr>
              <w:t>priraď</w:t>
            </w:r>
            <w:r w:rsidRPr="0070680D" w:rsidR="00D43097">
              <w:rPr>
                <w:rFonts w:ascii="Times New Roman" w:eastAsia="Calibri" w:hAnsi="Times New Roman" w:hint="default"/>
                <w:sz w:val="20"/>
              </w:rPr>
              <w:t xml:space="preserve">uje </w:t>
            </w:r>
            <w:r w:rsidRPr="0070680D">
              <w:rPr>
                <w:rFonts w:ascii="Times New Roman" w:eastAsia="Calibri" w:hAnsi="Times New Roman" w:hint="default"/>
                <w:sz w:val="20"/>
              </w:rPr>
              <w:t>k prí</w:t>
            </w:r>
            <w:r w:rsidRPr="0070680D">
              <w:rPr>
                <w:rFonts w:ascii="Times New Roman" w:eastAsia="Calibri" w:hAnsi="Times New Roman" w:hint="default"/>
                <w:sz w:val="20"/>
              </w:rPr>
              <w:t>sluš</w:t>
            </w:r>
            <w:r w:rsidRPr="0070680D">
              <w:rPr>
                <w:rFonts w:ascii="Times New Roman" w:eastAsia="Calibri" w:hAnsi="Times New Roman" w:hint="default"/>
                <w:sz w:val="20"/>
              </w:rPr>
              <w:t>ný</w:t>
            </w:r>
            <w:r w:rsidRPr="0070680D">
              <w:rPr>
                <w:rFonts w:ascii="Times New Roman" w:eastAsia="Calibri" w:hAnsi="Times New Roman" w:hint="default"/>
                <w:sz w:val="20"/>
              </w:rPr>
              <w:t xml:space="preserve">m </w:t>
            </w:r>
            <w:r w:rsidRPr="0070680D" w:rsidR="00D43097">
              <w:rPr>
                <w:rFonts w:ascii="Times New Roman" w:eastAsia="Calibri" w:hAnsi="Times New Roman" w:hint="default"/>
                <w:sz w:val="20"/>
              </w:rPr>
              <w:t>vecný</w:t>
            </w:r>
            <w:r w:rsidRPr="0070680D" w:rsidR="00D43097">
              <w:rPr>
                <w:rFonts w:ascii="Times New Roman" w:eastAsia="Calibri" w:hAnsi="Times New Roman" w:hint="default"/>
                <w:sz w:val="20"/>
              </w:rPr>
              <w:t xml:space="preserve">m oblastiam, tzv. </w:t>
            </w:r>
            <w:r w:rsidRPr="0070680D">
              <w:rPr>
                <w:rFonts w:ascii="Times New Roman" w:eastAsia="Calibri" w:hAnsi="Times New Roman" w:hint="default"/>
                <w:sz w:val="20"/>
              </w:rPr>
              <w:t>funkciá</w:t>
            </w:r>
            <w:r w:rsidRPr="0070680D">
              <w:rPr>
                <w:rFonts w:ascii="Times New Roman" w:eastAsia="Calibri" w:hAnsi="Times New Roman" w:hint="default"/>
                <w:sz w:val="20"/>
              </w:rPr>
              <w:t>m (napr. 01.4 Zá</w:t>
            </w:r>
            <w:r w:rsidRPr="0070680D">
              <w:rPr>
                <w:rFonts w:ascii="Times New Roman" w:eastAsia="Calibri" w:hAnsi="Times New Roman" w:hint="default"/>
                <w:sz w:val="20"/>
              </w:rPr>
              <w:t>kladný</w:t>
            </w:r>
            <w:r w:rsidRPr="0070680D">
              <w:rPr>
                <w:rFonts w:ascii="Times New Roman" w:eastAsia="Calibri" w:hAnsi="Times New Roman" w:hint="default"/>
                <w:sz w:val="20"/>
              </w:rPr>
              <w:t xml:space="preserve"> vý</w:t>
            </w:r>
            <w:r w:rsidRPr="0070680D">
              <w:rPr>
                <w:rFonts w:ascii="Times New Roman" w:eastAsia="Calibri" w:hAnsi="Times New Roman" w:hint="default"/>
                <w:sz w:val="20"/>
              </w:rPr>
              <w:t xml:space="preserve">skum, 07.5 </w:t>
            </w:r>
            <w:r w:rsidRPr="0070680D" w:rsidR="00D43097">
              <w:rPr>
                <w:rFonts w:ascii="Times New Roman" w:eastAsia="Calibri" w:hAnsi="Times New Roman"/>
                <w:sz w:val="20"/>
              </w:rPr>
              <w:t>V</w:t>
            </w:r>
            <w:r w:rsidRPr="0070680D">
              <w:rPr>
                <w:rFonts w:ascii="Times New Roman" w:eastAsia="Calibri" w:hAnsi="Times New Roman" w:hint="default"/>
                <w:sz w:val="20"/>
              </w:rPr>
              <w:t>ý</w:t>
            </w:r>
            <w:r w:rsidRPr="0070680D">
              <w:rPr>
                <w:rFonts w:ascii="Times New Roman" w:eastAsia="Calibri" w:hAnsi="Times New Roman" w:hint="default"/>
                <w:sz w:val="20"/>
              </w:rPr>
              <w:t>skum vý</w:t>
            </w:r>
            <w:r w:rsidRPr="0070680D">
              <w:rPr>
                <w:rFonts w:ascii="Times New Roman" w:eastAsia="Calibri" w:hAnsi="Times New Roman" w:hint="default"/>
                <w:sz w:val="20"/>
              </w:rPr>
              <w:t>voj v oblasti zdravia</w:t>
            </w:r>
            <w:r w:rsidRPr="0070680D" w:rsidR="00D43097">
              <w:rPr>
                <w:rFonts w:ascii="Times New Roman" w:eastAsia="Calibri" w:hAnsi="Times New Roman" w:hint="default"/>
                <w:sz w:val="20"/>
              </w:rPr>
              <w:t>, atď.</w:t>
            </w:r>
            <w:r w:rsidRPr="0070680D">
              <w:rPr>
                <w:rFonts w:ascii="Times New Roman" w:eastAsia="Calibri" w:hAnsi="Times New Roman"/>
                <w:sz w:val="20"/>
              </w:rPr>
              <w:t xml:space="preserve">). </w:t>
            </w:r>
          </w:p>
          <w:p w:rsidR="00451C87" w:rsidRPr="0070680D" w:rsidP="0070680D">
            <w:pPr>
              <w:autoSpaceDE w:val="0"/>
              <w:autoSpaceDN w:val="0"/>
              <w:bidi w:val="0"/>
              <w:adjustRightInd w:val="0"/>
              <w:spacing w:after="0"/>
              <w:contextualSpacing/>
              <w:rPr>
                <w:rFonts w:ascii="Times New Roman" w:eastAsia="Calibri" w:hAnsi="Times New Roman"/>
                <w:sz w:val="20"/>
              </w:rPr>
            </w:pP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sz w:val="20"/>
              </w:rPr>
            </w:pPr>
            <w:r w:rsidRPr="0070680D" w:rsidR="00D43097">
              <w:rPr>
                <w:rFonts w:ascii="Times New Roman" w:eastAsia="Calibri" w:hAnsi="Times New Roman"/>
                <w:sz w:val="20"/>
              </w:rPr>
              <w:t>Medzi v</w:t>
            </w:r>
            <w:r w:rsidRPr="0070680D">
              <w:rPr>
                <w:rFonts w:ascii="Times New Roman" w:eastAsia="Calibri" w:hAnsi="Times New Roman" w:hint="default"/>
                <w:sz w:val="20"/>
              </w:rPr>
              <w:t>ý</w:t>
            </w:r>
            <w:r w:rsidRPr="0070680D">
              <w:rPr>
                <w:rFonts w:ascii="Times New Roman" w:eastAsia="Calibri" w:hAnsi="Times New Roman" w:hint="default"/>
                <w:sz w:val="20"/>
              </w:rPr>
              <w:t>davky na vzdelá</w:t>
            </w:r>
            <w:r w:rsidRPr="0070680D">
              <w:rPr>
                <w:rFonts w:ascii="Times New Roman" w:eastAsia="Calibri" w:hAnsi="Times New Roman" w:hint="default"/>
                <w:sz w:val="20"/>
              </w:rPr>
              <w:t xml:space="preserve">vanie </w:t>
            </w:r>
            <w:r w:rsidRPr="0070680D" w:rsidR="00D43097">
              <w:rPr>
                <w:rFonts w:ascii="Times New Roman" w:eastAsia="Calibri" w:hAnsi="Times New Roman" w:hint="default"/>
                <w:sz w:val="20"/>
              </w:rPr>
              <w:t>zahŕň</w:t>
            </w:r>
            <w:r w:rsidRPr="0070680D" w:rsidR="00D43097">
              <w:rPr>
                <w:rFonts w:ascii="Times New Roman" w:eastAsia="Calibri" w:hAnsi="Times New Roman" w:hint="default"/>
                <w:sz w:val="20"/>
              </w:rPr>
              <w:t>a aj niektoré</w:t>
            </w:r>
            <w:r w:rsidRPr="0070680D" w:rsidR="00D43097">
              <w:rPr>
                <w:rFonts w:ascii="Times New Roman" w:eastAsia="Calibri" w:hAnsi="Times New Roman" w:hint="default"/>
                <w:sz w:val="20"/>
              </w:rPr>
              <w:t xml:space="preserve"> </w:t>
            </w:r>
            <w:r w:rsidRPr="0070680D">
              <w:rPr>
                <w:rFonts w:ascii="Times New Roman" w:eastAsia="Calibri" w:hAnsi="Times New Roman" w:hint="default"/>
                <w:sz w:val="20"/>
              </w:rPr>
              <w:t>transfery domá</w:t>
            </w:r>
            <w:r w:rsidRPr="0070680D">
              <w:rPr>
                <w:rFonts w:ascii="Times New Roman" w:eastAsia="Calibri" w:hAnsi="Times New Roman" w:hint="default"/>
                <w:sz w:val="20"/>
              </w:rPr>
              <w:t>cnosti</w:t>
            </w:r>
            <w:r w:rsidRPr="0070680D">
              <w:rPr>
                <w:rFonts w:ascii="Times New Roman" w:eastAsia="Calibri" w:hAnsi="Times New Roman" w:hint="default"/>
                <w:sz w:val="20"/>
              </w:rPr>
              <w:t>am (napr. rodinné</w:t>
            </w:r>
            <w:r w:rsidRPr="0070680D">
              <w:rPr>
                <w:rFonts w:ascii="Times New Roman" w:eastAsia="Calibri" w:hAnsi="Times New Roman" w:hint="default"/>
                <w:sz w:val="20"/>
              </w:rPr>
              <w:t xml:space="preserve"> prí</w:t>
            </w:r>
            <w:r w:rsidRPr="0070680D">
              <w:rPr>
                <w:rFonts w:ascii="Times New Roman" w:eastAsia="Calibri" w:hAnsi="Times New Roman" w:hint="default"/>
                <w:sz w:val="20"/>
              </w:rPr>
              <w:t>davky)</w:t>
            </w:r>
            <w:r w:rsidRPr="0070680D" w:rsidR="00D43097">
              <w:rPr>
                <w:rFonts w:ascii="Times New Roman" w:eastAsia="Calibri" w:hAnsi="Times New Roman"/>
                <w:sz w:val="20"/>
              </w:rPr>
              <w:t>.</w:t>
            </w: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451C87" w:rsidRPr="0070680D" w:rsidP="0070680D">
            <w:pPr>
              <w:autoSpaceDE w:val="0"/>
              <w:autoSpaceDN w:val="0"/>
              <w:bidi w:val="0"/>
              <w:adjustRightInd w:val="0"/>
              <w:spacing w:after="0"/>
              <w:contextualSpacing/>
              <w:rPr>
                <w:rFonts w:ascii="Times New Roman" w:eastAsia="Calibri" w:hAnsi="Times New Roman"/>
                <w:sz w:val="20"/>
              </w:rPr>
            </w:pPr>
            <w:r w:rsidRPr="0070680D" w:rsidR="00D43097">
              <w:rPr>
                <w:rFonts w:ascii="Times New Roman" w:eastAsia="Calibri" w:hAnsi="Times New Roman" w:hint="default"/>
                <w:sz w:val="20"/>
              </w:rPr>
              <w:t>Rodinné</w:t>
            </w:r>
            <w:r w:rsidRPr="0070680D" w:rsidR="00D43097">
              <w:rPr>
                <w:rFonts w:ascii="Times New Roman" w:eastAsia="Calibri" w:hAnsi="Times New Roman" w:hint="default"/>
                <w:sz w:val="20"/>
              </w:rPr>
              <w:t xml:space="preserve"> prí</w:t>
            </w:r>
            <w:r w:rsidRPr="0070680D" w:rsidR="00D43097">
              <w:rPr>
                <w:rFonts w:ascii="Times New Roman" w:eastAsia="Calibri" w:hAnsi="Times New Roman" w:hint="default"/>
                <w:sz w:val="20"/>
              </w:rPr>
              <w:t>davky sú</w:t>
            </w:r>
            <w:r w:rsidRPr="0070680D">
              <w:rPr>
                <w:rFonts w:ascii="Times New Roman" w:eastAsia="Calibri" w:hAnsi="Times New Roman" w:hint="default"/>
                <w:sz w:val="20"/>
              </w:rPr>
              <w:t xml:space="preserve"> súč</w:t>
            </w:r>
            <w:r w:rsidRPr="0070680D">
              <w:rPr>
                <w:rFonts w:ascii="Times New Roman" w:eastAsia="Calibri" w:hAnsi="Times New Roman" w:hint="default"/>
                <w:sz w:val="20"/>
              </w:rPr>
              <w:t>asť</w:t>
            </w:r>
            <w:r w:rsidRPr="0070680D">
              <w:rPr>
                <w:rFonts w:ascii="Times New Roman" w:eastAsia="Calibri" w:hAnsi="Times New Roman" w:hint="default"/>
                <w:sz w:val="20"/>
              </w:rPr>
              <w:t>ou sociá</w:t>
            </w:r>
            <w:r w:rsidRPr="0070680D">
              <w:rPr>
                <w:rFonts w:ascii="Times New Roman" w:eastAsia="Calibri" w:hAnsi="Times New Roman" w:hint="default"/>
                <w:sz w:val="20"/>
              </w:rPr>
              <w:t>lnych dá</w:t>
            </w:r>
            <w:r w:rsidRPr="0070680D">
              <w:rPr>
                <w:rFonts w:ascii="Times New Roman" w:eastAsia="Calibri" w:hAnsi="Times New Roman" w:hint="default"/>
                <w:sz w:val="20"/>
              </w:rPr>
              <w:t xml:space="preserve">vok, </w:t>
            </w:r>
            <w:r w:rsidRPr="0070680D" w:rsidR="00D43097">
              <w:rPr>
                <w:rFonts w:ascii="Times New Roman" w:eastAsia="Calibri" w:hAnsi="Times New Roman" w:hint="default"/>
                <w:sz w:val="20"/>
              </w:rPr>
              <w:t>nie vý</w:t>
            </w:r>
            <w:r w:rsidRPr="0070680D" w:rsidR="00D43097">
              <w:rPr>
                <w:rFonts w:ascii="Times New Roman" w:eastAsia="Calibri" w:hAnsi="Times New Roman" w:hint="default"/>
                <w:sz w:val="20"/>
              </w:rPr>
              <w:t>davkov na vzdelá</w:t>
            </w:r>
            <w:r w:rsidRPr="0070680D" w:rsidR="00D43097">
              <w:rPr>
                <w:rFonts w:ascii="Times New Roman" w:eastAsia="Calibri" w:hAnsi="Times New Roman" w:hint="default"/>
                <w:sz w:val="20"/>
              </w:rPr>
              <w:t>vanie.</w:t>
            </w:r>
          </w:p>
        </w:tc>
      </w:tr>
    </w:tbl>
    <w:p w:rsidR="00451C87" w:rsidP="00451C87">
      <w:pPr>
        <w:autoSpaceDE w:val="0"/>
        <w:autoSpaceDN w:val="0"/>
        <w:bidi w:val="0"/>
        <w:adjustRightInd w:val="0"/>
        <w:contextualSpacing/>
        <w:rPr>
          <w:rFonts w:ascii="Times New Roman" w:eastAsia="Calibri" w:hAnsi="Times New Roman"/>
          <w:szCs w:val="24"/>
        </w:rPr>
      </w:pPr>
    </w:p>
    <w:p w:rsidR="00451C87" w:rsidP="00451C87">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Verejné výdavky na vzdelávanie vykázané podľa metodiky UOE a COFOG v prípade krajín EÚ značne korelujú, ale v niektorých prípadoch sú rozdiely výraznejšie. V prípade Slovenska boli do roku 2003 medzi výdavkami podľa týchto metodík výraznejšie rozdiely. Od roku 2003 sa výdavky podľa oboch metodík vyvíjajú približne na rovnakej úrovni.</w:t>
      </w:r>
    </w:p>
    <w:p w:rsidR="0013336F" w:rsidP="0013336F">
      <w:pPr>
        <w:pStyle w:val="ListParagraph"/>
        <w:autoSpaceDE w:val="0"/>
        <w:autoSpaceDN w:val="0"/>
        <w:bidi w:val="0"/>
        <w:adjustRightInd w:val="0"/>
        <w:spacing w:line="240" w:lineRule="atLeast"/>
        <w:contextualSpacing w:val="0"/>
        <w:rPr>
          <w:rFonts w:ascii="Times New Roman" w:hAnsi="Times New Roman"/>
          <w:szCs w:val="24"/>
        </w:rPr>
      </w:pPr>
    </w:p>
    <w:tbl>
      <w:tblPr>
        <w:tblStyle w:val="TableNormal"/>
        <w:tblW w:w="9241" w:type="dxa"/>
        <w:tblLook w:val="04A0"/>
      </w:tblPr>
      <w:tblGrid>
        <w:gridCol w:w="4479"/>
        <w:gridCol w:w="283"/>
        <w:gridCol w:w="4479"/>
      </w:tblGrid>
      <w:tr>
        <w:tblPrEx>
          <w:tblW w:w="9241" w:type="dxa"/>
          <w:tblLook w:val="04A0"/>
        </w:tblPrEx>
        <w:tc>
          <w:tcPr>
            <w:tcW w:w="4479" w:type="dxa"/>
            <w:tcBorders>
              <w:top w:val="none" w:sz="0" w:space="0" w:color="auto"/>
              <w:left w:val="none" w:sz="0" w:space="0" w:color="auto"/>
              <w:bottom w:val="single" w:sz="4" w:space="0" w:color="auto"/>
              <w:right w:val="none" w:sz="0" w:space="0" w:color="auto"/>
            </w:tcBorders>
            <w:noWrap/>
            <w:textDirection w:val="lrTb"/>
            <w:vAlign w:val="top"/>
          </w:tcPr>
          <w:p w:rsidR="0013336F" w:rsidRPr="003C5B24" w:rsidP="0013336F">
            <w:pPr>
              <w:pStyle w:val="Caption"/>
              <w:bidi w:val="0"/>
              <w:spacing w:after="0"/>
              <w:rPr>
                <w:rFonts w:ascii="Times New Roman" w:hAnsi="Times New Roman"/>
              </w:rPr>
            </w:pPr>
            <w:bookmarkStart w:id="18" w:name="_Toc350251997"/>
            <w:bookmarkStart w:id="19" w:name="_Toc351635233"/>
            <w:r>
              <w:rPr>
                <w:rFonts w:ascii="Times New Roman" w:hAnsi="Times New Roman"/>
              </w:rPr>
              <w:t xml:space="preserve">Obrázok </w:t>
            </w:r>
            <w:r>
              <w:rPr>
                <w:rFonts w:ascii="Times New Roman" w:hAnsi="Times New Roman"/>
              </w:rPr>
              <w:fldChar w:fldCharType="begin"/>
            </w:r>
            <w:r>
              <w:rPr>
                <w:rFonts w:ascii="Times New Roman" w:hAnsi="Times New Roman"/>
              </w:rPr>
              <w:instrText xml:space="preserve"> SEQ Obrázok \* ARABIC </w:instrText>
            </w:r>
            <w:r>
              <w:rPr>
                <w:rFonts w:ascii="Times New Roman" w:hAnsi="Times New Roman"/>
              </w:rPr>
              <w:fldChar w:fldCharType="separate"/>
            </w:r>
            <w:r w:rsidR="00DA0ECA">
              <w:rPr>
                <w:rFonts w:ascii="Times New Roman" w:hAnsi="Times New Roman"/>
                <w:noProof/>
              </w:rPr>
              <w:t>1</w:t>
            </w:r>
            <w:r>
              <w:rPr>
                <w:rFonts w:ascii="Times New Roman" w:hAnsi="Times New Roman"/>
              </w:rPr>
              <w:fldChar w:fldCharType="end"/>
            </w:r>
            <w:r>
              <w:rPr>
                <w:rFonts w:ascii="Times New Roman" w:hAnsi="Times New Roman"/>
              </w:rPr>
              <w:t xml:space="preserve"> Verejné </w:t>
            </w:r>
            <w:bookmarkEnd w:id="18"/>
            <w:r>
              <w:rPr>
                <w:rFonts w:ascii="Times New Roman" w:hAnsi="Times New Roman"/>
              </w:rPr>
              <w:t>výdavky na vzdelávanie krajín EÚ (</w:t>
            </w:r>
            <w:r w:rsidRPr="0013336F">
              <w:rPr>
                <w:rFonts w:ascii="Times New Roman" w:hAnsi="Times New Roman"/>
              </w:rPr>
              <w:t>UOE vs. COFOG</w:t>
            </w:r>
            <w:r>
              <w:rPr>
                <w:rFonts w:ascii="Times New Roman" w:hAnsi="Times New Roman"/>
              </w:rPr>
              <w:t xml:space="preserve">, </w:t>
            </w:r>
            <w:r w:rsidRPr="0013336F">
              <w:rPr>
                <w:rFonts w:ascii="Times New Roman" w:hAnsi="Times New Roman"/>
              </w:rPr>
              <w:t>% HDP</w:t>
            </w:r>
            <w:r>
              <w:rPr>
                <w:rFonts w:ascii="Times New Roman" w:hAnsi="Times New Roman"/>
              </w:rPr>
              <w:t>, 2009</w:t>
            </w:r>
            <w:r w:rsidRPr="0013336F">
              <w:rPr>
                <w:rFonts w:ascii="Times New Roman" w:hAnsi="Times New Roman"/>
              </w:rPr>
              <w:t>)</w:t>
            </w:r>
            <w:bookmarkEnd w:id="19"/>
          </w:p>
        </w:tc>
        <w:tc>
          <w:tcPr>
            <w:tcW w:w="283" w:type="dxa"/>
            <w:tcBorders>
              <w:top w:val="none" w:sz="0" w:space="0" w:color="auto"/>
              <w:left w:val="none" w:sz="0" w:space="0" w:color="auto"/>
              <w:bottom w:val="none" w:sz="0" w:space="0" w:color="auto"/>
              <w:right w:val="none" w:sz="0" w:space="0" w:color="auto"/>
            </w:tcBorders>
            <w:noWrap/>
            <w:textDirection w:val="lrTb"/>
            <w:vAlign w:val="top"/>
          </w:tcPr>
          <w:p w:rsidR="0013336F" w:rsidRPr="003C5B24" w:rsidP="000B04FD">
            <w:pPr>
              <w:bidi w:val="0"/>
              <w:spacing w:after="0"/>
              <w:rPr>
                <w:rFonts w:ascii="Times New Roman" w:hAnsi="Times New Roman"/>
                <w:sz w:val="22"/>
                <w:szCs w:val="22"/>
              </w:rPr>
            </w:pPr>
          </w:p>
        </w:tc>
        <w:tc>
          <w:tcPr>
            <w:tcW w:w="4479" w:type="dxa"/>
            <w:tcBorders>
              <w:top w:val="none" w:sz="0" w:space="0" w:color="auto"/>
              <w:left w:val="none" w:sz="0" w:space="0" w:color="auto"/>
              <w:bottom w:val="single" w:sz="4" w:space="0" w:color="auto"/>
              <w:right w:val="none" w:sz="0" w:space="0" w:color="auto"/>
            </w:tcBorders>
            <w:noWrap/>
            <w:textDirection w:val="lrTb"/>
            <w:vAlign w:val="top"/>
          </w:tcPr>
          <w:p w:rsidR="0013336F" w:rsidRPr="003C5B24" w:rsidP="0013336F">
            <w:pPr>
              <w:pStyle w:val="Caption"/>
              <w:bidi w:val="0"/>
              <w:spacing w:after="0"/>
              <w:rPr>
                <w:rFonts w:ascii="Times New Roman" w:hAnsi="Times New Roman"/>
              </w:rPr>
            </w:pPr>
            <w:bookmarkStart w:id="20" w:name="_Toc350251998"/>
            <w:bookmarkStart w:id="21" w:name="_Toc351635234"/>
            <w:r>
              <w:rPr>
                <w:rFonts w:ascii="Times New Roman" w:hAnsi="Times New Roman"/>
              </w:rPr>
              <w:t xml:space="preserve">Obrázok </w:t>
            </w:r>
            <w:r>
              <w:rPr>
                <w:rFonts w:ascii="Times New Roman" w:hAnsi="Times New Roman"/>
              </w:rPr>
              <w:fldChar w:fldCharType="begin"/>
            </w:r>
            <w:r>
              <w:rPr>
                <w:rFonts w:ascii="Times New Roman" w:hAnsi="Times New Roman"/>
              </w:rPr>
              <w:instrText xml:space="preserve"> SEQ Obrázok \* ARABIC </w:instrText>
            </w:r>
            <w:r>
              <w:rPr>
                <w:rFonts w:ascii="Times New Roman" w:hAnsi="Times New Roman"/>
              </w:rPr>
              <w:fldChar w:fldCharType="separate"/>
            </w:r>
            <w:r w:rsidR="00DA0ECA">
              <w:rPr>
                <w:rFonts w:ascii="Times New Roman" w:hAnsi="Times New Roman"/>
                <w:noProof/>
              </w:rPr>
              <w:t>2</w:t>
            </w:r>
            <w:r>
              <w:rPr>
                <w:rFonts w:ascii="Times New Roman" w:hAnsi="Times New Roman"/>
              </w:rPr>
              <w:fldChar w:fldCharType="end"/>
            </w:r>
            <w:r>
              <w:rPr>
                <w:rFonts w:ascii="Times New Roman" w:hAnsi="Times New Roman"/>
              </w:rPr>
              <w:t xml:space="preserve"> Vývoj v</w:t>
            </w:r>
            <w:r w:rsidRPr="0013336F">
              <w:rPr>
                <w:rFonts w:ascii="Times New Roman" w:hAnsi="Times New Roman"/>
              </w:rPr>
              <w:t>erejn</w:t>
            </w:r>
            <w:r>
              <w:rPr>
                <w:rFonts w:ascii="Times New Roman" w:hAnsi="Times New Roman"/>
              </w:rPr>
              <w:t>ých</w:t>
            </w:r>
            <w:r w:rsidRPr="0013336F">
              <w:rPr>
                <w:rFonts w:ascii="Times New Roman" w:hAnsi="Times New Roman"/>
              </w:rPr>
              <w:t xml:space="preserve"> výdavk</w:t>
            </w:r>
            <w:r>
              <w:rPr>
                <w:rFonts w:ascii="Times New Roman" w:hAnsi="Times New Roman"/>
              </w:rPr>
              <w:t>ov</w:t>
            </w:r>
            <w:r w:rsidRPr="0013336F">
              <w:rPr>
                <w:rFonts w:ascii="Times New Roman" w:hAnsi="Times New Roman"/>
              </w:rPr>
              <w:t xml:space="preserve"> na vzdelávanie (UOE vs. COFOG, % HDP)</w:t>
            </w:r>
            <w:bookmarkEnd w:id="20"/>
            <w:bookmarkEnd w:id="21"/>
          </w:p>
        </w:tc>
      </w:tr>
      <w:tr>
        <w:tblPrEx>
          <w:tblW w:w="9241" w:type="dxa"/>
          <w:tblLook w:val="04A0"/>
        </w:tblPrEx>
        <w:tc>
          <w:tcPr>
            <w:tcW w:w="4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13336F" w:rsidRPr="00B32165" w:rsidP="000B04FD">
            <w:pPr>
              <w:bidi w:val="0"/>
              <w:spacing w:after="0"/>
              <w:rPr>
                <w:rFonts w:ascii="Calibri" w:hAnsi="Calibri"/>
                <w:sz w:val="22"/>
                <w:szCs w:val="22"/>
              </w:rPr>
            </w:pPr>
            <w:r>
              <w:rPr>
                <w:rFonts w:ascii="Times New Roman" w:eastAsia="Calibri" w:hAnsi="Times New Roman"/>
                <w:b/>
                <w:noProof/>
                <w:szCs w:val="24"/>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i1025" type="#_x0000_t75" style="width:206.57pt;height:164.16pt;visibility:visible" filled="f" stroked="f">
                  <v:imagedata r:id="rId6" o:title=""/>
                  <o:lock v:ext="edit" aspectratio="t"/>
                </v:shape>
              </w:pict>
            </w:r>
          </w:p>
        </w:tc>
        <w:tc>
          <w:tcPr>
            <w:tcW w:w="283" w:type="dxa"/>
            <w:tcBorders>
              <w:top w:val="none" w:sz="0" w:space="0" w:color="auto"/>
              <w:left w:val="none" w:sz="0" w:space="0" w:color="auto"/>
              <w:bottom w:val="none" w:sz="0" w:space="0" w:color="auto"/>
              <w:right w:val="none" w:sz="0" w:space="0" w:color="auto"/>
            </w:tcBorders>
            <w:noWrap/>
            <w:tcMar>
              <w:left w:w="0" w:type="dxa"/>
              <w:right w:w="0" w:type="dxa"/>
            </w:tcMar>
            <w:textDirection w:val="lrTb"/>
            <w:tcFitText/>
            <w:vAlign w:val="top"/>
          </w:tcPr>
          <w:p w:rsidR="0013336F" w:rsidRPr="00B32165" w:rsidP="000B04FD">
            <w:pPr>
              <w:bidi w:val="0"/>
              <w:spacing w:after="0"/>
              <w:rPr>
                <w:rFonts w:ascii="Calibri" w:hAnsi="Calibri"/>
                <w:sz w:val="22"/>
                <w:szCs w:val="22"/>
              </w:rPr>
            </w:pPr>
          </w:p>
        </w:tc>
        <w:tc>
          <w:tcPr>
            <w:tcW w:w="4479"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13336F" w:rsidRPr="00B32165" w:rsidP="000B04FD">
            <w:pPr>
              <w:bidi w:val="0"/>
              <w:spacing w:after="0"/>
              <w:rPr>
                <w:rFonts w:ascii="Calibri" w:hAnsi="Calibri"/>
                <w:sz w:val="22"/>
                <w:szCs w:val="22"/>
              </w:rPr>
            </w:pPr>
            <w:r>
              <w:rPr>
                <w:rFonts w:ascii="Times New Roman" w:eastAsia="Calibri" w:hAnsi="Times New Roman"/>
                <w:b/>
                <w:noProof/>
                <w:szCs w:val="24"/>
                <w:rtl w:val="0"/>
                <w:lang w:eastAsia="sk-SK"/>
              </w:rPr>
              <w:pict>
                <v:shape id="Obrázok 4" o:spid="_x0000_i1026" type="#_x0000_t75" style="width:202.19pt;height:164.62pt;visibility:visible" filled="f" stroked="f">
                  <v:imagedata r:id="rId7" o:title=""/>
                  <o:lock v:ext="edit" aspectratio="t"/>
                </v:shape>
              </w:pict>
            </w:r>
          </w:p>
        </w:tc>
      </w:tr>
      <w:tr>
        <w:tblPrEx>
          <w:tblW w:w="9241" w:type="dxa"/>
          <w:tblLook w:val="04A0"/>
        </w:tblPrEx>
        <w:tc>
          <w:tcPr>
            <w:tcW w:w="4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13336F" w:rsidRPr="00516E02" w:rsidP="0013336F">
            <w:pPr>
              <w:bidi w:val="0"/>
              <w:spacing w:after="0"/>
              <w:rPr>
                <w:rFonts w:ascii="Times New Roman" w:hAnsi="Times New Roman"/>
                <w:sz w:val="22"/>
                <w:szCs w:val="22"/>
              </w:rPr>
            </w:pPr>
            <w:r w:rsidRPr="00516E02">
              <w:rPr>
                <w:rFonts w:ascii="Times New Roman" w:hAnsi="Times New Roman"/>
                <w:sz w:val="16"/>
                <w:szCs w:val="16"/>
              </w:rPr>
              <w:t xml:space="preserve">Zdroj: </w:t>
            </w:r>
            <w:r>
              <w:rPr>
                <w:rFonts w:ascii="Times New Roman" w:hAnsi="Times New Roman"/>
                <w:sz w:val="16"/>
                <w:szCs w:val="16"/>
              </w:rPr>
              <w:t>Eurostat</w:t>
            </w:r>
          </w:p>
        </w:tc>
        <w:tc>
          <w:tcPr>
            <w:tcW w:w="283" w:type="dxa"/>
            <w:tcBorders>
              <w:top w:val="none" w:sz="0"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13336F" w:rsidRPr="00516E02" w:rsidP="000B04FD">
            <w:pPr>
              <w:bidi w:val="0"/>
              <w:spacing w:after="0"/>
              <w:rPr>
                <w:rFonts w:ascii="Times New Roman" w:hAnsi="Times New Roman"/>
                <w:sz w:val="22"/>
                <w:szCs w:val="22"/>
              </w:rPr>
            </w:pPr>
          </w:p>
        </w:tc>
        <w:tc>
          <w:tcPr>
            <w:tcW w:w="4479"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13336F" w:rsidRPr="00516E02" w:rsidP="0013336F">
            <w:pPr>
              <w:bidi w:val="0"/>
              <w:spacing w:after="0"/>
              <w:rPr>
                <w:rFonts w:ascii="Times New Roman" w:hAnsi="Times New Roman"/>
                <w:sz w:val="16"/>
                <w:szCs w:val="16"/>
              </w:rPr>
            </w:pPr>
            <w:r w:rsidRPr="00516E02">
              <w:rPr>
                <w:rFonts w:ascii="Times New Roman" w:hAnsi="Times New Roman"/>
                <w:sz w:val="16"/>
                <w:szCs w:val="16"/>
              </w:rPr>
              <w:t xml:space="preserve">Zdroj: </w:t>
            </w:r>
            <w:r>
              <w:rPr>
                <w:rFonts w:ascii="Times New Roman" w:hAnsi="Times New Roman"/>
                <w:sz w:val="16"/>
                <w:szCs w:val="16"/>
              </w:rPr>
              <w:t>Eurostat</w:t>
            </w:r>
          </w:p>
        </w:tc>
      </w:tr>
    </w:tbl>
    <w:p w:rsidR="00451C87" w:rsidRPr="00451C87" w:rsidP="00451C87">
      <w:pPr>
        <w:autoSpaceDE w:val="0"/>
        <w:autoSpaceDN w:val="0"/>
        <w:bidi w:val="0"/>
        <w:adjustRightInd w:val="0"/>
        <w:spacing w:after="200" w:line="276" w:lineRule="auto"/>
        <w:rPr>
          <w:rFonts w:ascii="Times New Roman" w:eastAsia="Calibri" w:hAnsi="Times New Roman"/>
          <w:szCs w:val="24"/>
        </w:rPr>
      </w:pPr>
    </w:p>
    <w:p w:rsidR="00451C87" w:rsidRPr="00451C87" w:rsidP="00DF0A1C">
      <w:pPr>
        <w:pStyle w:val="Heading2"/>
        <w:bidi w:val="0"/>
        <w:ind w:left="357" w:hanging="357"/>
        <w:rPr>
          <w:rFonts w:ascii="Times New Roman" w:hAnsi="Times New Roman"/>
        </w:rPr>
      </w:pPr>
      <w:bookmarkStart w:id="22" w:name="_Toc351637410"/>
      <w:r w:rsidR="005641B8">
        <w:rPr>
          <w:rFonts w:ascii="Times New Roman" w:hAnsi="Times New Roman"/>
        </w:rPr>
        <w:t>Metodika</w:t>
      </w:r>
      <w:r w:rsidRPr="00451C87">
        <w:rPr>
          <w:rFonts w:ascii="Times New Roman" w:hAnsi="Times New Roman"/>
        </w:rPr>
        <w:t xml:space="preserve"> UOE (Unesco/OECD/Eurostat)</w:t>
      </w:r>
      <w:bookmarkEnd w:id="22"/>
    </w:p>
    <w:p w:rsidR="00451C87" w:rsidRPr="00451C87" w:rsidP="00DF0A1C">
      <w:pPr>
        <w:pStyle w:val="Heading3"/>
        <w:bidi w:val="0"/>
        <w:ind w:left="567" w:hanging="567"/>
        <w:rPr>
          <w:rFonts w:ascii="Times New Roman" w:hAnsi="Times New Roman"/>
        </w:rPr>
      </w:pPr>
      <w:bookmarkStart w:id="23" w:name="_Toc351637411"/>
      <w:r w:rsidR="005641B8">
        <w:rPr>
          <w:rFonts w:ascii="Times New Roman" w:hAnsi="Times New Roman"/>
        </w:rPr>
        <w:t>Charakteristika m</w:t>
      </w:r>
      <w:r w:rsidRPr="00451C87">
        <w:rPr>
          <w:rFonts w:ascii="Times New Roman" w:hAnsi="Times New Roman"/>
        </w:rPr>
        <w:t>etodik</w:t>
      </w:r>
      <w:r w:rsidR="005641B8">
        <w:rPr>
          <w:rFonts w:ascii="Times New Roman" w:hAnsi="Times New Roman"/>
        </w:rPr>
        <w:t>y</w:t>
      </w:r>
      <w:bookmarkEnd w:id="23"/>
    </w:p>
    <w:p w:rsidR="00451C87" w:rsidRPr="00451C87" w:rsidP="00451C87">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 xml:space="preserve">Údaje o financovaní sú zbierané prostredníctvom tzv. tabuliek FIN-1 a FIN-2 systému UOE, do ktorých jednotlivé krajiny zaznamenávajú výdavky na vzdelávanie v rôznych členeniach. Výdavky na vzdelávanie v metodike UOE sú členené v troch dimenziách, ktoré sú zobrazené v tabuľke č. 1: </w:t>
      </w:r>
    </w:p>
    <w:p w:rsidR="00451C87" w:rsidRPr="00451C87" w:rsidP="0070680D">
      <w:pPr>
        <w:numPr>
          <w:numId w:val="7"/>
        </w:numPr>
        <w:bidi w:val="0"/>
        <w:spacing w:after="0"/>
        <w:rPr>
          <w:rFonts w:ascii="Times New Roman" w:eastAsia="Calibri" w:hAnsi="Times New Roman" w:hint="default"/>
          <w:szCs w:val="24"/>
        </w:rPr>
      </w:pPr>
      <w:r w:rsidRPr="00451C87">
        <w:rPr>
          <w:rFonts w:ascii="Times New Roman" w:eastAsia="Calibri" w:hAnsi="Times New Roman" w:hint="default"/>
          <w:szCs w:val="24"/>
        </w:rPr>
        <w:t>Prvá</w:t>
      </w:r>
      <w:r w:rsidRPr="00451C87">
        <w:rPr>
          <w:rFonts w:ascii="Times New Roman" w:eastAsia="Calibri" w:hAnsi="Times New Roman" w:hint="default"/>
          <w:szCs w:val="24"/>
        </w:rPr>
        <w:t xml:space="preserve"> dimenzia, vyznač</w:t>
      </w:r>
      <w:r w:rsidRPr="00451C87">
        <w:rPr>
          <w:rFonts w:ascii="Times New Roman" w:eastAsia="Calibri" w:hAnsi="Times New Roman" w:hint="default"/>
          <w:szCs w:val="24"/>
        </w:rPr>
        <w:t>ená</w:t>
      </w:r>
      <w:r w:rsidRPr="00451C87">
        <w:rPr>
          <w:rFonts w:ascii="Times New Roman" w:eastAsia="Calibri" w:hAnsi="Times New Roman" w:hint="default"/>
          <w:szCs w:val="24"/>
        </w:rPr>
        <w:t xml:space="preserve"> na horizontá</w:t>
      </w:r>
      <w:r w:rsidRPr="00451C87">
        <w:rPr>
          <w:rFonts w:ascii="Times New Roman" w:eastAsia="Calibri" w:hAnsi="Times New Roman" w:hint="default"/>
          <w:szCs w:val="24"/>
        </w:rPr>
        <w:t>lnej osi, definuje miesto, kam sú</w:t>
      </w:r>
      <w:r w:rsidRPr="00451C87">
        <w:rPr>
          <w:rFonts w:ascii="Times New Roman" w:eastAsia="Calibri" w:hAnsi="Times New Roman" w:hint="default"/>
          <w:szCs w:val="24"/>
        </w:rPr>
        <w:t xml:space="preserve"> vý</w:t>
      </w:r>
      <w:r w:rsidRPr="00451C87">
        <w:rPr>
          <w:rFonts w:ascii="Times New Roman" w:eastAsia="Calibri" w:hAnsi="Times New Roman" w:hint="default"/>
          <w:szCs w:val="24"/>
        </w:rPr>
        <w:t>davky na vzdelá</w:t>
      </w:r>
      <w:r w:rsidRPr="00451C87">
        <w:rPr>
          <w:rFonts w:ascii="Times New Roman" w:eastAsia="Calibri" w:hAnsi="Times New Roman" w:hint="default"/>
          <w:szCs w:val="24"/>
        </w:rPr>
        <w:t>vanie s</w:t>
      </w:r>
      <w:r w:rsidRPr="00451C87">
        <w:rPr>
          <w:rFonts w:ascii="Times New Roman" w:eastAsia="Calibri" w:hAnsi="Times New Roman" w:hint="default"/>
          <w:szCs w:val="24"/>
        </w:rPr>
        <w:t>merované</w:t>
      </w:r>
      <w:r w:rsidRPr="00451C87">
        <w:rPr>
          <w:rFonts w:ascii="Times New Roman" w:eastAsia="Calibri" w:hAnsi="Times New Roman" w:hint="default"/>
          <w:szCs w:val="24"/>
        </w:rPr>
        <w:t xml:space="preserve"> </w:t>
      </w:r>
      <w:r w:rsidRPr="00451C87">
        <w:rPr>
          <w:rFonts w:ascii="Times New Roman" w:eastAsia="Calibri" w:hAnsi="Times New Roman" w:hint="default"/>
          <w:szCs w:val="24"/>
        </w:rPr>
        <w:t>–</w:t>
      </w:r>
      <w:r w:rsidRPr="00451C87">
        <w:rPr>
          <w:rFonts w:ascii="Times New Roman" w:eastAsia="Calibri" w:hAnsi="Times New Roman" w:hint="default"/>
          <w:szCs w:val="24"/>
        </w:rPr>
        <w:t xml:space="preserve"> do vzdelá</w:t>
      </w:r>
      <w:r w:rsidRPr="00451C87">
        <w:rPr>
          <w:rFonts w:ascii="Times New Roman" w:eastAsia="Calibri" w:hAnsi="Times New Roman" w:hint="default"/>
          <w:szCs w:val="24"/>
        </w:rPr>
        <w:t>vací</w:t>
      </w:r>
      <w:r w:rsidRPr="00451C87">
        <w:rPr>
          <w:rFonts w:ascii="Times New Roman" w:eastAsia="Calibri" w:hAnsi="Times New Roman" w:hint="default"/>
          <w:szCs w:val="24"/>
        </w:rPr>
        <w:t>ch inš</w:t>
      </w:r>
      <w:r w:rsidRPr="00451C87">
        <w:rPr>
          <w:rFonts w:ascii="Times New Roman" w:eastAsia="Calibri" w:hAnsi="Times New Roman" w:hint="default"/>
          <w:szCs w:val="24"/>
        </w:rPr>
        <w:t>titú</w:t>
      </w:r>
      <w:r w:rsidRPr="00451C87">
        <w:rPr>
          <w:rFonts w:ascii="Times New Roman" w:eastAsia="Calibri" w:hAnsi="Times New Roman" w:hint="default"/>
          <w:szCs w:val="24"/>
        </w:rPr>
        <w:t>cií</w:t>
      </w:r>
      <w:r w:rsidRPr="00451C87">
        <w:rPr>
          <w:rFonts w:ascii="Times New Roman" w:eastAsia="Calibri" w:hAnsi="Times New Roman" w:hint="default"/>
          <w:szCs w:val="24"/>
        </w:rPr>
        <w:t xml:space="preserve"> (š</w:t>
      </w:r>
      <w:r w:rsidRPr="00451C87">
        <w:rPr>
          <w:rFonts w:ascii="Times New Roman" w:eastAsia="Calibri" w:hAnsi="Times New Roman" w:hint="default"/>
          <w:szCs w:val="24"/>
        </w:rPr>
        <w:t>koly, š</w:t>
      </w:r>
      <w:r w:rsidRPr="00451C87">
        <w:rPr>
          <w:rFonts w:ascii="Times New Roman" w:eastAsia="Calibri" w:hAnsi="Times New Roman" w:hint="default"/>
          <w:szCs w:val="24"/>
        </w:rPr>
        <w:t>kolské</w:t>
      </w:r>
      <w:r w:rsidRPr="00451C87">
        <w:rPr>
          <w:rFonts w:ascii="Times New Roman" w:eastAsia="Calibri" w:hAnsi="Times New Roman" w:hint="default"/>
          <w:szCs w:val="24"/>
        </w:rPr>
        <w:t xml:space="preserve"> zariadenia, vysoké</w:t>
      </w:r>
      <w:r w:rsidRPr="00451C87">
        <w:rPr>
          <w:rFonts w:ascii="Times New Roman" w:eastAsia="Calibri" w:hAnsi="Times New Roman" w:hint="default"/>
          <w:szCs w:val="24"/>
        </w:rPr>
        <w:t xml:space="preserve"> š</w:t>
      </w:r>
      <w:r w:rsidRPr="00451C87">
        <w:rPr>
          <w:rFonts w:ascii="Times New Roman" w:eastAsia="Calibri" w:hAnsi="Times New Roman" w:hint="default"/>
          <w:szCs w:val="24"/>
        </w:rPr>
        <w:t>koly a ď</w:t>
      </w:r>
      <w:r w:rsidRPr="00451C87">
        <w:rPr>
          <w:rFonts w:ascii="Times New Roman" w:eastAsia="Calibri" w:hAnsi="Times New Roman" w:hint="default"/>
          <w:szCs w:val="24"/>
        </w:rPr>
        <w:t>alš</w:t>
      </w:r>
      <w:r w:rsidRPr="00451C87">
        <w:rPr>
          <w:rFonts w:ascii="Times New Roman" w:eastAsia="Calibri" w:hAnsi="Times New Roman" w:hint="default"/>
          <w:szCs w:val="24"/>
        </w:rPr>
        <w:t>ie inš</w:t>
      </w:r>
      <w:r w:rsidRPr="00451C87">
        <w:rPr>
          <w:rFonts w:ascii="Times New Roman" w:eastAsia="Calibri" w:hAnsi="Times New Roman" w:hint="default"/>
          <w:szCs w:val="24"/>
        </w:rPr>
        <w:t>titú</w:t>
      </w:r>
      <w:r w:rsidRPr="00451C87">
        <w:rPr>
          <w:rFonts w:ascii="Times New Roman" w:eastAsia="Calibri" w:hAnsi="Times New Roman" w:hint="default"/>
          <w:szCs w:val="24"/>
        </w:rPr>
        <w:t>cie, ktoré</w:t>
      </w:r>
      <w:r w:rsidRPr="00451C87">
        <w:rPr>
          <w:rFonts w:ascii="Times New Roman" w:eastAsia="Calibri" w:hAnsi="Times New Roman" w:hint="default"/>
          <w:szCs w:val="24"/>
        </w:rPr>
        <w:t xml:space="preserve"> sa priamo podieľ</w:t>
      </w:r>
      <w:r w:rsidRPr="00451C87">
        <w:rPr>
          <w:rFonts w:ascii="Times New Roman" w:eastAsia="Calibri" w:hAnsi="Times New Roman" w:hint="default"/>
          <w:szCs w:val="24"/>
        </w:rPr>
        <w:t>ajú</w:t>
      </w:r>
      <w:r w:rsidRPr="00451C87">
        <w:rPr>
          <w:rFonts w:ascii="Times New Roman" w:eastAsia="Calibri" w:hAnsi="Times New Roman" w:hint="default"/>
          <w:szCs w:val="24"/>
        </w:rPr>
        <w:t xml:space="preserve"> na poskytovaní</w:t>
      </w:r>
      <w:r w:rsidRPr="00451C87">
        <w:rPr>
          <w:rFonts w:ascii="Times New Roman" w:eastAsia="Calibri" w:hAnsi="Times New Roman" w:hint="default"/>
          <w:szCs w:val="24"/>
        </w:rPr>
        <w:t xml:space="preserve"> podpory a pomoci pri vzdelá</w:t>
      </w:r>
      <w:r w:rsidRPr="00451C87">
        <w:rPr>
          <w:rFonts w:ascii="Times New Roman" w:eastAsia="Calibri" w:hAnsi="Times New Roman" w:hint="default"/>
          <w:szCs w:val="24"/>
        </w:rPr>
        <w:t>vaní</w:t>
      </w:r>
      <w:r w:rsidRPr="00451C87">
        <w:rPr>
          <w:rFonts w:ascii="Times New Roman" w:eastAsia="Calibri" w:hAnsi="Times New Roman" w:hint="default"/>
          <w:szCs w:val="24"/>
        </w:rPr>
        <w:t>) alebo mimo tý</w:t>
      </w:r>
      <w:r w:rsidRPr="00451C87">
        <w:rPr>
          <w:rFonts w:ascii="Times New Roman" w:eastAsia="Calibri" w:hAnsi="Times New Roman" w:hint="default"/>
          <w:szCs w:val="24"/>
        </w:rPr>
        <w:t>chto vzdelá</w:t>
      </w:r>
      <w:r w:rsidRPr="00451C87">
        <w:rPr>
          <w:rFonts w:ascii="Times New Roman" w:eastAsia="Calibri" w:hAnsi="Times New Roman" w:hint="default"/>
          <w:szCs w:val="24"/>
        </w:rPr>
        <w:t>vací</w:t>
      </w:r>
      <w:r w:rsidRPr="00451C87">
        <w:rPr>
          <w:rFonts w:ascii="Times New Roman" w:eastAsia="Calibri" w:hAnsi="Times New Roman" w:hint="default"/>
          <w:szCs w:val="24"/>
        </w:rPr>
        <w:t>ch inš</w:t>
      </w:r>
      <w:r w:rsidRPr="00451C87">
        <w:rPr>
          <w:rFonts w:ascii="Times New Roman" w:eastAsia="Calibri" w:hAnsi="Times New Roman" w:hint="default"/>
          <w:szCs w:val="24"/>
        </w:rPr>
        <w:t>titú</w:t>
      </w:r>
      <w:r w:rsidRPr="00451C87">
        <w:rPr>
          <w:rFonts w:ascii="Times New Roman" w:eastAsia="Calibri" w:hAnsi="Times New Roman" w:hint="default"/>
          <w:szCs w:val="24"/>
        </w:rPr>
        <w:t>cií</w:t>
      </w:r>
      <w:r w:rsidRPr="00451C87">
        <w:rPr>
          <w:rFonts w:ascii="Times New Roman" w:eastAsia="Calibri" w:hAnsi="Times New Roman" w:hint="default"/>
          <w:szCs w:val="24"/>
        </w:rPr>
        <w:t xml:space="preserve"> (sú</w:t>
      </w:r>
      <w:r w:rsidRPr="00451C87">
        <w:rPr>
          <w:rFonts w:ascii="Times New Roman" w:eastAsia="Calibri" w:hAnsi="Times New Roman" w:hint="default"/>
          <w:szCs w:val="24"/>
        </w:rPr>
        <w:t>kromný</w:t>
      </w:r>
      <w:r w:rsidRPr="00451C87">
        <w:rPr>
          <w:rFonts w:ascii="Times New Roman" w:eastAsia="Calibri" w:hAnsi="Times New Roman" w:hint="default"/>
          <w:szCs w:val="24"/>
        </w:rPr>
        <w:t xml:space="preserve"> ná</w:t>
      </w:r>
      <w:r w:rsidRPr="00451C87">
        <w:rPr>
          <w:rFonts w:ascii="Times New Roman" w:eastAsia="Calibri" w:hAnsi="Times New Roman" w:hint="default"/>
          <w:szCs w:val="24"/>
        </w:rPr>
        <w:t>kup tovarov a služ</w:t>
      </w:r>
      <w:r w:rsidRPr="00451C87">
        <w:rPr>
          <w:rFonts w:ascii="Times New Roman" w:eastAsia="Calibri" w:hAnsi="Times New Roman" w:hint="default"/>
          <w:szCs w:val="24"/>
        </w:rPr>
        <w:t xml:space="preserve">ieb). </w:t>
      </w:r>
    </w:p>
    <w:p w:rsidR="00451C87" w:rsidRPr="00451C87" w:rsidP="0070680D">
      <w:pPr>
        <w:numPr>
          <w:numId w:val="7"/>
        </w:numPr>
        <w:bidi w:val="0"/>
        <w:spacing w:after="0"/>
        <w:rPr>
          <w:rFonts w:ascii="Times New Roman" w:eastAsia="Calibri" w:hAnsi="Times New Roman" w:hint="default"/>
          <w:szCs w:val="24"/>
        </w:rPr>
      </w:pPr>
      <w:r w:rsidRPr="00451C87">
        <w:rPr>
          <w:rFonts w:ascii="Times New Roman" w:eastAsia="Calibri" w:hAnsi="Times New Roman" w:hint="default"/>
          <w:szCs w:val="24"/>
        </w:rPr>
        <w:t>Dru</w:t>
      </w:r>
      <w:r w:rsidRPr="00451C87">
        <w:rPr>
          <w:rFonts w:ascii="Times New Roman" w:eastAsia="Calibri" w:hAnsi="Times New Roman" w:hint="default"/>
          <w:szCs w:val="24"/>
        </w:rPr>
        <w:t>há</w:t>
      </w:r>
      <w:r w:rsidRPr="00451C87">
        <w:rPr>
          <w:rFonts w:ascii="Times New Roman" w:eastAsia="Calibri" w:hAnsi="Times New Roman" w:hint="default"/>
          <w:szCs w:val="24"/>
        </w:rPr>
        <w:t xml:space="preserve"> dimenzia, na zvislej osi, definuje vý</w:t>
      </w:r>
      <w:r w:rsidRPr="00451C87">
        <w:rPr>
          <w:rFonts w:ascii="Times New Roman" w:eastAsia="Calibri" w:hAnsi="Times New Roman" w:hint="default"/>
          <w:szCs w:val="24"/>
        </w:rPr>
        <w:t>davky na vzdelá</w:t>
      </w:r>
      <w:r w:rsidRPr="00451C87">
        <w:rPr>
          <w:rFonts w:ascii="Times New Roman" w:eastAsia="Calibri" w:hAnsi="Times New Roman" w:hint="default"/>
          <w:szCs w:val="24"/>
        </w:rPr>
        <w:t>vanie podľ</w:t>
      </w:r>
      <w:r w:rsidRPr="00451C87">
        <w:rPr>
          <w:rFonts w:ascii="Times New Roman" w:eastAsia="Calibri" w:hAnsi="Times New Roman" w:hint="default"/>
          <w:szCs w:val="24"/>
        </w:rPr>
        <w:t>a úč</w:t>
      </w:r>
      <w:r w:rsidRPr="00451C87">
        <w:rPr>
          <w:rFonts w:ascii="Times New Roman" w:eastAsia="Calibri" w:hAnsi="Times New Roman" w:hint="default"/>
          <w:szCs w:val="24"/>
        </w:rPr>
        <w:t xml:space="preserve">elu </w:t>
      </w:r>
      <w:r w:rsidRPr="00451C87">
        <w:rPr>
          <w:rFonts w:ascii="Times New Roman" w:eastAsia="Calibri" w:hAnsi="Times New Roman" w:hint="default"/>
          <w:szCs w:val="24"/>
        </w:rPr>
        <w:t>–</w:t>
      </w:r>
      <w:r w:rsidRPr="00451C87">
        <w:rPr>
          <w:rFonts w:ascii="Times New Roman" w:eastAsia="Calibri" w:hAnsi="Times New Roman" w:hint="default"/>
          <w:szCs w:val="24"/>
        </w:rPr>
        <w:t xml:space="preserve"> na vlastné</w:t>
      </w:r>
      <w:r w:rsidRPr="00451C87">
        <w:rPr>
          <w:rFonts w:ascii="Times New Roman" w:eastAsia="Calibri" w:hAnsi="Times New Roman" w:hint="default"/>
          <w:szCs w:val="24"/>
        </w:rPr>
        <w:t xml:space="preserve"> vzdelá</w:t>
      </w:r>
      <w:r w:rsidRPr="00451C87">
        <w:rPr>
          <w:rFonts w:ascii="Times New Roman" w:eastAsia="Calibri" w:hAnsi="Times New Roman" w:hint="default"/>
          <w:szCs w:val="24"/>
        </w:rPr>
        <w:t>vanie, vý</w:t>
      </w:r>
      <w:r w:rsidRPr="00451C87">
        <w:rPr>
          <w:rFonts w:ascii="Times New Roman" w:eastAsia="Calibri" w:hAnsi="Times New Roman" w:hint="default"/>
          <w:szCs w:val="24"/>
        </w:rPr>
        <w:t>skum a vý</w:t>
      </w:r>
      <w:r w:rsidRPr="00451C87">
        <w:rPr>
          <w:rFonts w:ascii="Times New Roman" w:eastAsia="Calibri" w:hAnsi="Times New Roman" w:hint="default"/>
          <w:szCs w:val="24"/>
        </w:rPr>
        <w:t>voj a servisné</w:t>
      </w:r>
      <w:r w:rsidRPr="00451C87">
        <w:rPr>
          <w:rFonts w:ascii="Times New Roman" w:eastAsia="Calibri" w:hAnsi="Times New Roman" w:hint="default"/>
          <w:szCs w:val="24"/>
        </w:rPr>
        <w:t xml:space="preserve"> služ</w:t>
      </w:r>
      <w:r w:rsidRPr="00451C87">
        <w:rPr>
          <w:rFonts w:ascii="Times New Roman" w:eastAsia="Calibri" w:hAnsi="Times New Roman" w:hint="default"/>
          <w:szCs w:val="24"/>
        </w:rPr>
        <w:t>by spojené</w:t>
      </w:r>
      <w:r w:rsidRPr="00451C87">
        <w:rPr>
          <w:rFonts w:ascii="Times New Roman" w:eastAsia="Calibri" w:hAnsi="Times New Roman" w:hint="default"/>
          <w:szCs w:val="24"/>
        </w:rPr>
        <w:t xml:space="preserve"> so vzdelá</w:t>
      </w:r>
      <w:r w:rsidRPr="00451C87">
        <w:rPr>
          <w:rFonts w:ascii="Times New Roman" w:eastAsia="Calibri" w:hAnsi="Times New Roman" w:hint="default"/>
          <w:szCs w:val="24"/>
        </w:rPr>
        <w:t>vaní</w:t>
      </w:r>
      <w:r w:rsidRPr="00451C87">
        <w:rPr>
          <w:rFonts w:ascii="Times New Roman" w:eastAsia="Calibri" w:hAnsi="Times New Roman" w:hint="default"/>
          <w:szCs w:val="24"/>
        </w:rPr>
        <w:t>m (ako sú</w:t>
      </w:r>
      <w:r w:rsidRPr="00451C87">
        <w:rPr>
          <w:rFonts w:ascii="Times New Roman" w:eastAsia="Calibri" w:hAnsi="Times New Roman" w:hint="default"/>
          <w:szCs w:val="24"/>
        </w:rPr>
        <w:t xml:space="preserve"> stravovanie, ubytovanie a ď</w:t>
      </w:r>
      <w:r w:rsidRPr="00451C87">
        <w:rPr>
          <w:rFonts w:ascii="Times New Roman" w:eastAsia="Calibri" w:hAnsi="Times New Roman" w:hint="default"/>
          <w:szCs w:val="24"/>
        </w:rPr>
        <w:t>alš</w:t>
      </w:r>
      <w:r w:rsidRPr="00451C87">
        <w:rPr>
          <w:rFonts w:ascii="Times New Roman" w:eastAsia="Calibri" w:hAnsi="Times New Roman" w:hint="default"/>
          <w:szCs w:val="24"/>
        </w:rPr>
        <w:t>ie podporné</w:t>
      </w:r>
      <w:r w:rsidRPr="00451C87">
        <w:rPr>
          <w:rFonts w:ascii="Times New Roman" w:eastAsia="Calibri" w:hAnsi="Times New Roman" w:hint="default"/>
          <w:szCs w:val="24"/>
        </w:rPr>
        <w:t xml:space="preserve"> č</w:t>
      </w:r>
      <w:r w:rsidRPr="00451C87">
        <w:rPr>
          <w:rFonts w:ascii="Times New Roman" w:eastAsia="Calibri" w:hAnsi="Times New Roman" w:hint="default"/>
          <w:szCs w:val="24"/>
        </w:rPr>
        <w:t>innosti, potrebné</w:t>
      </w:r>
      <w:r w:rsidRPr="00451C87">
        <w:rPr>
          <w:rFonts w:ascii="Times New Roman" w:eastAsia="Calibri" w:hAnsi="Times New Roman" w:hint="default"/>
          <w:szCs w:val="24"/>
        </w:rPr>
        <w:t xml:space="preserve"> pre realizá</w:t>
      </w:r>
      <w:r w:rsidRPr="00451C87">
        <w:rPr>
          <w:rFonts w:ascii="Times New Roman" w:eastAsia="Calibri" w:hAnsi="Times New Roman" w:hint="default"/>
          <w:szCs w:val="24"/>
        </w:rPr>
        <w:t>ciu vzdelá</w:t>
      </w:r>
      <w:r w:rsidRPr="00451C87">
        <w:rPr>
          <w:rFonts w:ascii="Times New Roman" w:eastAsia="Calibri" w:hAnsi="Times New Roman" w:hint="default"/>
          <w:szCs w:val="24"/>
        </w:rPr>
        <w:t xml:space="preserve">vania). </w:t>
      </w:r>
    </w:p>
    <w:p w:rsidR="00451C87" w:rsidP="0070680D">
      <w:pPr>
        <w:numPr>
          <w:numId w:val="7"/>
        </w:numPr>
        <w:bidi w:val="0"/>
        <w:spacing w:after="0"/>
        <w:rPr>
          <w:rFonts w:ascii="Times New Roman" w:eastAsia="Calibri" w:hAnsi="Times New Roman"/>
          <w:szCs w:val="24"/>
        </w:rPr>
      </w:pPr>
      <w:r w:rsidRPr="00451C87">
        <w:rPr>
          <w:rFonts w:ascii="Times New Roman" w:eastAsia="Calibri" w:hAnsi="Times New Roman" w:hint="default"/>
          <w:szCs w:val="24"/>
        </w:rPr>
        <w:t>Tr</w:t>
      </w:r>
      <w:r w:rsidRPr="00451C87">
        <w:rPr>
          <w:rFonts w:ascii="Times New Roman" w:eastAsia="Calibri" w:hAnsi="Times New Roman" w:hint="default"/>
          <w:szCs w:val="24"/>
        </w:rPr>
        <w:t>etia dimenzia charakterizuje zdroje financovania vý</w:t>
      </w:r>
      <w:r w:rsidRPr="00451C87">
        <w:rPr>
          <w:rFonts w:ascii="Times New Roman" w:eastAsia="Calibri" w:hAnsi="Times New Roman" w:hint="default"/>
          <w:szCs w:val="24"/>
        </w:rPr>
        <w:t>davkov s č</w:t>
      </w:r>
      <w:r w:rsidRPr="00451C87">
        <w:rPr>
          <w:rFonts w:ascii="Times New Roman" w:eastAsia="Calibri" w:hAnsi="Times New Roman" w:hint="default"/>
          <w:szCs w:val="24"/>
        </w:rPr>
        <w:t>lenení</w:t>
      </w:r>
      <w:r w:rsidRPr="00451C87">
        <w:rPr>
          <w:rFonts w:ascii="Times New Roman" w:eastAsia="Calibri" w:hAnsi="Times New Roman" w:hint="default"/>
          <w:szCs w:val="24"/>
        </w:rPr>
        <w:t>m na verejné</w:t>
      </w:r>
      <w:r w:rsidRPr="00451C87">
        <w:rPr>
          <w:rFonts w:ascii="Times New Roman" w:eastAsia="Calibri" w:hAnsi="Times New Roman" w:hint="default"/>
          <w:szCs w:val="24"/>
        </w:rPr>
        <w:t xml:space="preserve"> zdroje, vrá</w:t>
      </w:r>
      <w:r w:rsidRPr="00451C87">
        <w:rPr>
          <w:rFonts w:ascii="Times New Roman" w:eastAsia="Calibri" w:hAnsi="Times New Roman" w:hint="default"/>
          <w:szCs w:val="24"/>
        </w:rPr>
        <w:t>tane medziná</w:t>
      </w:r>
      <w:r w:rsidRPr="00451C87">
        <w:rPr>
          <w:rFonts w:ascii="Times New Roman" w:eastAsia="Calibri" w:hAnsi="Times New Roman" w:hint="default"/>
          <w:szCs w:val="24"/>
        </w:rPr>
        <w:t>rodný</w:t>
      </w:r>
      <w:r w:rsidRPr="00451C87">
        <w:rPr>
          <w:rFonts w:ascii="Times New Roman" w:eastAsia="Calibri" w:hAnsi="Times New Roman" w:hint="default"/>
          <w:szCs w:val="24"/>
        </w:rPr>
        <w:t>ch (bledomodré</w:t>
      </w:r>
      <w:r w:rsidRPr="00451C87">
        <w:rPr>
          <w:rFonts w:ascii="Times New Roman" w:eastAsia="Calibri" w:hAnsi="Times New Roman" w:hint="default"/>
          <w:szCs w:val="24"/>
        </w:rPr>
        <w:t xml:space="preserve"> vyznač</w:t>
      </w:r>
      <w:r w:rsidRPr="00451C87">
        <w:rPr>
          <w:rFonts w:ascii="Times New Roman" w:eastAsia="Calibri" w:hAnsi="Times New Roman" w:hint="default"/>
          <w:szCs w:val="24"/>
        </w:rPr>
        <w:t>enie), sú</w:t>
      </w:r>
      <w:r w:rsidRPr="00451C87">
        <w:rPr>
          <w:rFonts w:ascii="Times New Roman" w:eastAsia="Calibri" w:hAnsi="Times New Roman" w:hint="default"/>
          <w:szCs w:val="24"/>
        </w:rPr>
        <w:t>kromné</w:t>
      </w:r>
      <w:r w:rsidRPr="00451C87">
        <w:rPr>
          <w:rFonts w:ascii="Times New Roman" w:eastAsia="Calibri" w:hAnsi="Times New Roman" w:hint="default"/>
          <w:szCs w:val="24"/>
        </w:rPr>
        <w:t xml:space="preserve"> z domá</w:t>
      </w:r>
      <w:r w:rsidRPr="00451C87">
        <w:rPr>
          <w:rFonts w:ascii="Times New Roman" w:eastAsia="Calibri" w:hAnsi="Times New Roman" w:hint="default"/>
          <w:szCs w:val="24"/>
        </w:rPr>
        <w:t>cností</w:t>
      </w:r>
      <w:r w:rsidRPr="00451C87">
        <w:rPr>
          <w:rFonts w:ascii="Times New Roman" w:eastAsia="Calibri" w:hAnsi="Times New Roman" w:hint="default"/>
          <w:szCs w:val="24"/>
        </w:rPr>
        <w:t xml:space="preserve"> a ostatný</w:t>
      </w:r>
      <w:r w:rsidRPr="00451C87">
        <w:rPr>
          <w:rFonts w:ascii="Times New Roman" w:eastAsia="Calibri" w:hAnsi="Times New Roman" w:hint="default"/>
          <w:szCs w:val="24"/>
        </w:rPr>
        <w:t>ch subjektov (sý</w:t>
      </w:r>
      <w:r w:rsidRPr="00451C87">
        <w:rPr>
          <w:rFonts w:ascii="Times New Roman" w:eastAsia="Calibri" w:hAnsi="Times New Roman" w:hint="default"/>
          <w:szCs w:val="24"/>
        </w:rPr>
        <w:t>tomodré</w:t>
      </w:r>
      <w:r w:rsidRPr="00451C87">
        <w:rPr>
          <w:rFonts w:ascii="Times New Roman" w:eastAsia="Calibri" w:hAnsi="Times New Roman" w:hint="default"/>
          <w:szCs w:val="24"/>
        </w:rPr>
        <w:t xml:space="preserve"> vyfarbenie) ako aj sú</w:t>
      </w:r>
      <w:r w:rsidRPr="00451C87">
        <w:rPr>
          <w:rFonts w:ascii="Times New Roman" w:eastAsia="Calibri" w:hAnsi="Times New Roman" w:hint="default"/>
          <w:szCs w:val="24"/>
        </w:rPr>
        <w:t>kromné</w:t>
      </w:r>
      <w:r w:rsidRPr="00451C87">
        <w:rPr>
          <w:rFonts w:ascii="Times New Roman" w:eastAsia="Calibri" w:hAnsi="Times New Roman" w:hint="default"/>
          <w:szCs w:val="24"/>
        </w:rPr>
        <w:t xml:space="preserve"> zdroje </w:t>
      </w:r>
      <w:r w:rsidR="00240CDE">
        <w:rPr>
          <w:rFonts w:ascii="Times New Roman" w:eastAsia="Calibri" w:hAnsi="Times New Roman"/>
          <w:szCs w:val="24"/>
        </w:rPr>
        <w:t>s</w:t>
      </w:r>
      <w:r w:rsidRPr="00451C87">
        <w:rPr>
          <w:rFonts w:ascii="Times New Roman" w:eastAsia="Calibri" w:hAnsi="Times New Roman"/>
          <w:szCs w:val="24"/>
        </w:rPr>
        <w:t xml:space="preserve"> verejn</w:t>
      </w:r>
      <w:r w:rsidR="00240CDE">
        <w:rPr>
          <w:rFonts w:ascii="Times New Roman" w:eastAsia="Calibri" w:hAnsi="Times New Roman"/>
          <w:szCs w:val="24"/>
        </w:rPr>
        <w:t>ou</w:t>
      </w:r>
      <w:r w:rsidRPr="00451C87">
        <w:rPr>
          <w:rFonts w:ascii="Times New Roman" w:eastAsia="Calibri" w:hAnsi="Times New Roman" w:hint="default"/>
          <w:szCs w:val="24"/>
        </w:rPr>
        <w:t xml:space="preserve"> dotá</w:t>
      </w:r>
      <w:r w:rsidRPr="00451C87">
        <w:rPr>
          <w:rFonts w:ascii="Times New Roman" w:eastAsia="Calibri" w:hAnsi="Times New Roman" w:hint="default"/>
          <w:szCs w:val="24"/>
        </w:rPr>
        <w:t>ci</w:t>
      </w:r>
      <w:r w:rsidR="00240CDE">
        <w:rPr>
          <w:rFonts w:ascii="Times New Roman" w:eastAsia="Calibri" w:hAnsi="Times New Roman"/>
          <w:szCs w:val="24"/>
        </w:rPr>
        <w:t>ou</w:t>
      </w:r>
      <w:r w:rsidRPr="00451C87">
        <w:rPr>
          <w:rFonts w:ascii="Times New Roman" w:eastAsia="Calibri" w:hAnsi="Times New Roman" w:hint="default"/>
          <w:szCs w:val="24"/>
        </w:rPr>
        <w:t xml:space="preserve"> (sivé</w:t>
      </w:r>
      <w:r w:rsidRPr="00451C87">
        <w:rPr>
          <w:rFonts w:ascii="Times New Roman" w:eastAsia="Calibri" w:hAnsi="Times New Roman" w:hint="default"/>
          <w:szCs w:val="24"/>
        </w:rPr>
        <w:t xml:space="preserve"> vyfa</w:t>
      </w:r>
      <w:r w:rsidRPr="00451C87">
        <w:rPr>
          <w:rFonts w:ascii="Times New Roman" w:eastAsia="Calibri" w:hAnsi="Times New Roman" w:hint="default"/>
          <w:szCs w:val="24"/>
        </w:rPr>
        <w:t xml:space="preserve">rbenie). </w:t>
      </w:r>
    </w:p>
    <w:p w:rsidR="00614701" w:rsidRPr="00451C87" w:rsidP="00614701">
      <w:pPr>
        <w:bidi w:val="0"/>
        <w:spacing w:after="0"/>
        <w:ind w:left="720"/>
        <w:rPr>
          <w:rFonts w:ascii="Times New Roman" w:eastAsia="Calibri" w:hAnsi="Times New Roman"/>
          <w:szCs w:val="24"/>
        </w:rPr>
      </w:pPr>
    </w:p>
    <w:p w:rsidR="00451C87" w:rsidP="00451C87">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Údaje sú navyše členené podľa</w:t>
      </w:r>
      <w:r w:rsidR="00240CDE">
        <w:rPr>
          <w:rFonts w:ascii="Times New Roman" w:hAnsi="Times New Roman"/>
          <w:szCs w:val="24"/>
        </w:rPr>
        <w:t xml:space="preserve"> stupňov vzdelávania</w:t>
      </w:r>
      <w:r w:rsidRPr="00451C87">
        <w:rPr>
          <w:rFonts w:ascii="Times New Roman" w:hAnsi="Times New Roman"/>
          <w:szCs w:val="24"/>
        </w:rPr>
        <w:t xml:space="preserve"> ISCED</w:t>
      </w:r>
      <w:r w:rsidR="00240CDE">
        <w:rPr>
          <w:rFonts w:ascii="Times New Roman" w:hAnsi="Times New Roman"/>
          <w:szCs w:val="24"/>
        </w:rPr>
        <w:t>.</w:t>
      </w:r>
    </w:p>
    <w:p w:rsidR="00826C5B" w:rsidP="00826C5B">
      <w:pPr>
        <w:pStyle w:val="ListParagraph"/>
        <w:autoSpaceDE w:val="0"/>
        <w:autoSpaceDN w:val="0"/>
        <w:bidi w:val="0"/>
        <w:adjustRightInd w:val="0"/>
        <w:spacing w:line="240" w:lineRule="atLeast"/>
        <w:contextualSpacing w:val="0"/>
        <w:rPr>
          <w:rFonts w:ascii="Times New Roman" w:hAnsi="Times New Roman"/>
          <w:szCs w:val="24"/>
        </w:rPr>
      </w:pPr>
    </w:p>
    <w:p w:rsidR="00826C5B" w:rsidP="00826C5B">
      <w:pPr>
        <w:pStyle w:val="ListParagraph"/>
        <w:autoSpaceDE w:val="0"/>
        <w:autoSpaceDN w:val="0"/>
        <w:bidi w:val="0"/>
        <w:adjustRightInd w:val="0"/>
        <w:spacing w:line="240" w:lineRule="atLeast"/>
        <w:contextualSpacing w:val="0"/>
        <w:rPr>
          <w:rFonts w:ascii="Times New Roman" w:hAnsi="Times New Roman"/>
          <w:szCs w:val="24"/>
        </w:rPr>
      </w:pPr>
    </w:p>
    <w:p w:rsidR="00826C5B" w:rsidP="00826C5B">
      <w:pPr>
        <w:pStyle w:val="ListParagraph"/>
        <w:autoSpaceDE w:val="0"/>
        <w:autoSpaceDN w:val="0"/>
        <w:bidi w:val="0"/>
        <w:adjustRightInd w:val="0"/>
        <w:spacing w:line="240" w:lineRule="atLeast"/>
        <w:contextualSpacing w:val="0"/>
        <w:rPr>
          <w:rFonts w:ascii="Times New Roman" w:hAnsi="Times New Roman"/>
          <w:szCs w:val="24"/>
        </w:rPr>
      </w:pPr>
    </w:p>
    <w:p w:rsidR="00614701" w:rsidP="00826C5B">
      <w:pPr>
        <w:pStyle w:val="ListParagraph"/>
        <w:autoSpaceDE w:val="0"/>
        <w:autoSpaceDN w:val="0"/>
        <w:bidi w:val="0"/>
        <w:adjustRightInd w:val="0"/>
        <w:spacing w:line="240" w:lineRule="atLeast"/>
        <w:contextualSpacing w:val="0"/>
        <w:rPr>
          <w:rFonts w:ascii="Times New Roman" w:hAnsi="Times New Roman"/>
          <w:szCs w:val="24"/>
        </w:rPr>
      </w:pPr>
    </w:p>
    <w:p w:rsidR="00614701" w:rsidP="00826C5B">
      <w:pPr>
        <w:pStyle w:val="ListParagraph"/>
        <w:autoSpaceDE w:val="0"/>
        <w:autoSpaceDN w:val="0"/>
        <w:bidi w:val="0"/>
        <w:adjustRightInd w:val="0"/>
        <w:spacing w:line="240" w:lineRule="atLeast"/>
        <w:contextualSpacing w:val="0"/>
        <w:rPr>
          <w:rFonts w:ascii="Times New Roman" w:hAnsi="Times New Roman"/>
          <w:szCs w:val="24"/>
        </w:rPr>
      </w:pPr>
    </w:p>
    <w:p w:rsidR="005641B8" w:rsidP="005641B8">
      <w:pPr>
        <w:pStyle w:val="Caption"/>
        <w:bidi w:val="0"/>
        <w:spacing w:after="0"/>
        <w:rPr>
          <w:rFonts w:ascii="Times New Roman" w:hAnsi="Times New Roman"/>
        </w:rPr>
      </w:pPr>
      <w:bookmarkStart w:id="24" w:name="_Toc348505454"/>
      <w:bookmarkStart w:id="25" w:name="_Toc350252044"/>
      <w:bookmarkStart w:id="26" w:name="_Toc351635236"/>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1</w:t>
      </w:r>
      <w:r>
        <w:rPr>
          <w:rFonts w:ascii="Times New Roman" w:hAnsi="Times New Roman"/>
        </w:rPr>
        <w:fldChar w:fldCharType="end"/>
      </w:r>
      <w:r>
        <w:rPr>
          <w:rFonts w:ascii="Times New Roman" w:hAnsi="Times New Roman"/>
        </w:rPr>
        <w:t xml:space="preserve"> </w:t>
      </w:r>
      <w:bookmarkEnd w:id="24"/>
      <w:bookmarkEnd w:id="25"/>
      <w:r w:rsidRPr="005641B8">
        <w:rPr>
          <w:rFonts w:ascii="Times New Roman" w:hAnsi="Times New Roman"/>
        </w:rPr>
        <w:t>Členenie výdavkov na vzdelávanie</w:t>
      </w:r>
      <w:bookmarkEnd w:id="26"/>
    </w:p>
    <w:p w:rsidR="005641B8" w:rsidRPr="00451C87" w:rsidP="005641B8">
      <w:pPr>
        <w:pStyle w:val="ListParagraph"/>
        <w:autoSpaceDE w:val="0"/>
        <w:autoSpaceDN w:val="0"/>
        <w:bidi w:val="0"/>
        <w:adjustRightInd w:val="0"/>
        <w:spacing w:line="240" w:lineRule="atLeast"/>
        <w:ind w:left="0"/>
        <w:contextualSpacing w:val="0"/>
        <w:rPr>
          <w:rFonts w:ascii="Times New Roman" w:hAnsi="Times New Roman"/>
          <w:szCs w:val="24"/>
        </w:rPr>
      </w:pPr>
    </w:p>
    <w:p w:rsidR="00451C87" w:rsidRPr="00451C87" w:rsidP="00451C87">
      <w:pPr>
        <w:bidi w:val="0"/>
        <w:spacing w:line="276" w:lineRule="auto"/>
        <w:jc w:val="center"/>
        <w:rPr>
          <w:rFonts w:ascii="Times New Roman" w:eastAsia="Calibri" w:hAnsi="Times New Roman"/>
          <w:szCs w:val="24"/>
        </w:rPr>
      </w:pPr>
      <w:r>
        <w:rPr>
          <w:rFonts w:ascii="Times New Roman" w:eastAsia="Calibri" w:hAnsi="Times New Roman"/>
          <w:noProof/>
          <w:szCs w:val="24"/>
          <w:rtl w:val="0"/>
          <w:lang w:eastAsia="sk-SK"/>
        </w:rPr>
        <w:pict>
          <v:shape id="Obrázok 5" o:spid="_x0000_i1027" type="#_x0000_t75" style="width:452.69pt;height:316.04pt;visibility:visible" filled="f" stroked="f">
            <v:imagedata r:id="rId8" o:title=""/>
            <o:lock v:ext="edit" aspectratio="t"/>
          </v:shape>
        </w:pict>
      </w:r>
    </w:p>
    <w:p w:rsidR="00451C87" w:rsidRPr="00451C87" w:rsidP="00826C5B">
      <w:pPr>
        <w:pStyle w:val="ListParagraph"/>
        <w:numPr>
          <w:numId w:val="2"/>
        </w:numPr>
        <w:autoSpaceDE w:val="0"/>
        <w:autoSpaceDN w:val="0"/>
        <w:bidi w:val="0"/>
        <w:adjustRightInd w:val="0"/>
        <w:spacing w:line="240" w:lineRule="atLeast"/>
        <w:ind w:firstLine="0"/>
        <w:contextualSpacing w:val="0"/>
        <w:rPr>
          <w:rFonts w:ascii="Times New Roman" w:eastAsia="Calibri" w:hAnsi="Times New Roman"/>
          <w:szCs w:val="24"/>
        </w:rPr>
      </w:pPr>
      <w:r w:rsidR="00831660">
        <w:rPr>
          <w:rFonts w:ascii="Times New Roman" w:hAnsi="Times New Roman"/>
          <w:szCs w:val="24"/>
        </w:rPr>
        <w:t>Metodika</w:t>
      </w:r>
      <w:r w:rsidR="00614701">
        <w:rPr>
          <w:rFonts w:ascii="Times New Roman" w:hAnsi="Times New Roman"/>
          <w:szCs w:val="24"/>
        </w:rPr>
        <w:t xml:space="preserve"> pokrýva</w:t>
      </w:r>
      <w:r w:rsidRPr="00451C87">
        <w:rPr>
          <w:rFonts w:ascii="Times New Roman" w:hAnsi="Times New Roman"/>
          <w:szCs w:val="24"/>
        </w:rPr>
        <w:t xml:space="preserve"> všetky verejné výdavky na vzdelávanie bez ohľadu na to, či sú vynaložené na inštitúcie alebo ide o transfer súkromným ​​subjektom na úhradu životných nákladov </w:t>
      </w:r>
      <w:r w:rsidR="00240CDE">
        <w:rPr>
          <w:rFonts w:ascii="Times New Roman" w:hAnsi="Times New Roman"/>
          <w:szCs w:val="24"/>
        </w:rPr>
        <w:t xml:space="preserve">študentov </w:t>
      </w:r>
      <w:r w:rsidRPr="00451C87">
        <w:rPr>
          <w:rFonts w:ascii="Times New Roman" w:hAnsi="Times New Roman"/>
          <w:szCs w:val="24"/>
        </w:rPr>
        <w:t xml:space="preserve">alebo na vzdelávacie služby. V prípade súkromných výdavkov sú pokryté len tie, ktoré priamo súvisia s tovarmi a službami súvisiacimi so vzdelávaním. </w:t>
      </w:r>
    </w:p>
    <w:p w:rsidR="00494673" w:rsidP="00451C87">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Pr>
          <w:rFonts w:ascii="Times New Roman" w:hAnsi="Times New Roman"/>
          <w:szCs w:val="24"/>
        </w:rPr>
        <w:t>Dva kľúčové indikátory</w:t>
      </w:r>
      <w:r w:rsidR="00614701">
        <w:rPr>
          <w:rFonts w:ascii="Times New Roman" w:hAnsi="Times New Roman"/>
          <w:szCs w:val="24"/>
        </w:rPr>
        <w:t xml:space="preserve"> výdavkov, ktoré</w:t>
      </w:r>
      <w:r>
        <w:rPr>
          <w:rFonts w:ascii="Times New Roman" w:hAnsi="Times New Roman"/>
          <w:szCs w:val="24"/>
        </w:rPr>
        <w:t xml:space="preserve"> </w:t>
      </w:r>
      <w:r w:rsidR="00614701">
        <w:rPr>
          <w:rFonts w:ascii="Times New Roman" w:hAnsi="Times New Roman"/>
          <w:szCs w:val="24"/>
        </w:rPr>
        <w:t xml:space="preserve">sa vo verejnej diskusii </w:t>
      </w:r>
      <w:r w:rsidR="00831660">
        <w:rPr>
          <w:rFonts w:ascii="Times New Roman" w:hAnsi="Times New Roman"/>
          <w:szCs w:val="24"/>
        </w:rPr>
        <w:t>používajú</w:t>
      </w:r>
      <w:r w:rsidR="00614701">
        <w:rPr>
          <w:rFonts w:ascii="Times New Roman" w:hAnsi="Times New Roman"/>
          <w:szCs w:val="24"/>
        </w:rPr>
        <w:t xml:space="preserve">, </w:t>
      </w:r>
      <w:r>
        <w:rPr>
          <w:rFonts w:ascii="Times New Roman" w:hAnsi="Times New Roman"/>
          <w:szCs w:val="24"/>
        </w:rPr>
        <w:t>sú</w:t>
      </w:r>
      <w:r w:rsidR="00614701">
        <w:rPr>
          <w:rFonts w:ascii="Times New Roman" w:hAnsi="Times New Roman"/>
          <w:szCs w:val="24"/>
        </w:rPr>
        <w:t xml:space="preserve"> nasledovné</w:t>
      </w:r>
      <w:r>
        <w:rPr>
          <w:rFonts w:ascii="Times New Roman" w:hAnsi="Times New Roman"/>
          <w:szCs w:val="24"/>
        </w:rPr>
        <w:t>:</w:t>
      </w:r>
    </w:p>
    <w:p w:rsidR="00494673" w:rsidRPr="00494673" w:rsidP="0070680D">
      <w:pPr>
        <w:numPr>
          <w:numId w:val="8"/>
        </w:numPr>
        <w:bidi w:val="0"/>
        <w:spacing w:after="0" w:line="20" w:lineRule="atLeast"/>
        <w:ind w:left="714" w:hanging="357"/>
        <w:contextualSpacing/>
        <w:rPr>
          <w:rFonts w:ascii="Times New Roman" w:hAnsi="Times New Roman"/>
          <w:szCs w:val="24"/>
        </w:rPr>
      </w:pPr>
      <w:r>
        <w:rPr>
          <w:rFonts w:ascii="Times New Roman" w:hAnsi="Times New Roman"/>
          <w:szCs w:val="24"/>
        </w:rPr>
        <w:t>c</w:t>
      </w:r>
      <w:r w:rsidRPr="00494673">
        <w:rPr>
          <w:rFonts w:ascii="Times New Roman" w:hAnsi="Times New Roman"/>
          <w:szCs w:val="24"/>
        </w:rPr>
        <w:t>elkové výdavky na vzdelávacie inštitúcie</w:t>
      </w:r>
      <w:r>
        <w:rPr>
          <w:rFonts w:ascii="Times New Roman" w:hAnsi="Times New Roman"/>
          <w:szCs w:val="24"/>
        </w:rPr>
        <w:t>,</w:t>
      </w:r>
    </w:p>
    <w:p w:rsidR="00494673" w:rsidP="0070680D">
      <w:pPr>
        <w:pStyle w:val="ListParagraph"/>
        <w:numPr>
          <w:numId w:val="8"/>
        </w:numPr>
        <w:autoSpaceDE w:val="0"/>
        <w:autoSpaceDN w:val="0"/>
        <w:bidi w:val="0"/>
        <w:adjustRightInd w:val="0"/>
        <w:spacing w:line="20" w:lineRule="atLeast"/>
        <w:ind w:left="714" w:hanging="357"/>
        <w:contextualSpacing w:val="0"/>
        <w:rPr>
          <w:rFonts w:ascii="Times New Roman" w:hAnsi="Times New Roman"/>
          <w:szCs w:val="24"/>
        </w:rPr>
      </w:pPr>
      <w:r>
        <w:rPr>
          <w:rFonts w:ascii="Times New Roman" w:hAnsi="Times New Roman"/>
          <w:szCs w:val="24"/>
        </w:rPr>
        <w:t>celkové verejné výdavky na vzdelávanie.</w:t>
      </w:r>
    </w:p>
    <w:p w:rsidR="00494673" w:rsidRPr="00494673" w:rsidP="00494673">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bookmarkStart w:id="27" w:name="_MON_1175699848"/>
      <w:bookmarkStart w:id="28" w:name="_MON_1175699887"/>
      <w:bookmarkStart w:id="29" w:name="_MON_1175699930"/>
      <w:bookmarkStart w:id="30" w:name="_MON_1175699951"/>
      <w:bookmarkStart w:id="31" w:name="_MON_1176633630"/>
      <w:bookmarkStart w:id="32" w:name="_MON_1176633695"/>
      <w:bookmarkStart w:id="33" w:name="_MON_1175699352"/>
      <w:bookmarkStart w:id="34" w:name="_MON_1175699635"/>
      <w:bookmarkStart w:id="35" w:name="_MON_1175699690"/>
      <w:bookmarkEnd w:id="27"/>
      <w:bookmarkEnd w:id="28"/>
      <w:bookmarkEnd w:id="29"/>
      <w:bookmarkEnd w:id="30"/>
      <w:bookmarkEnd w:id="31"/>
      <w:bookmarkEnd w:id="32"/>
      <w:bookmarkEnd w:id="33"/>
      <w:bookmarkEnd w:id="34"/>
      <w:bookmarkEnd w:id="35"/>
      <w:r>
        <w:rPr>
          <w:rFonts w:ascii="Times New Roman" w:hAnsi="Times New Roman"/>
          <w:szCs w:val="24"/>
        </w:rPr>
        <w:t>C</w:t>
      </w:r>
      <w:r w:rsidRPr="00494673">
        <w:rPr>
          <w:rFonts w:ascii="Times New Roman" w:hAnsi="Times New Roman"/>
          <w:szCs w:val="24"/>
        </w:rPr>
        <w:t>elkové výdavky na vzdelávacie inštitúcie</w:t>
      </w:r>
      <w:r>
        <w:rPr>
          <w:rFonts w:ascii="Times New Roman" w:hAnsi="Times New Roman"/>
          <w:szCs w:val="24"/>
        </w:rPr>
        <w:t xml:space="preserve"> zahŕňajú výdavky, ktoré </w:t>
      </w:r>
      <w:r w:rsidR="00831660">
        <w:rPr>
          <w:rFonts w:ascii="Times New Roman" w:hAnsi="Times New Roman"/>
          <w:szCs w:val="24"/>
        </w:rPr>
        <w:t>smerujú</w:t>
      </w:r>
      <w:r>
        <w:rPr>
          <w:rFonts w:ascii="Times New Roman" w:hAnsi="Times New Roman"/>
          <w:szCs w:val="24"/>
        </w:rPr>
        <w:t xml:space="preserve"> na vzdelávacie inštitúcie (školy) z verejných zdrojov, zo zahraničia, od študentov a domácností, ako aj od iných súkromných jednotiek. Je to suma zdrojov, s ktorými vzdelávacie inštitúcie hospodária.</w:t>
      </w:r>
    </w:p>
    <w:p w:rsidR="00494673" w:rsidP="00494673">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Pr>
          <w:rFonts w:ascii="Times New Roman" w:hAnsi="Times New Roman"/>
          <w:szCs w:val="24"/>
        </w:rPr>
        <w:t>C</w:t>
      </w:r>
      <w:r w:rsidRPr="00451C87">
        <w:rPr>
          <w:rFonts w:ascii="Times New Roman" w:hAnsi="Times New Roman"/>
          <w:szCs w:val="24"/>
        </w:rPr>
        <w:t xml:space="preserve">elkové verejné výdavky na vzdelávanie sa </w:t>
      </w:r>
      <w:r>
        <w:rPr>
          <w:rFonts w:ascii="Times New Roman" w:hAnsi="Times New Roman"/>
          <w:szCs w:val="24"/>
        </w:rPr>
        <w:t xml:space="preserve">skladajú z dvoch častí. Prvou sú </w:t>
      </w:r>
      <w:r w:rsidRPr="00451C87">
        <w:rPr>
          <w:rFonts w:ascii="Times New Roman" w:hAnsi="Times New Roman"/>
          <w:szCs w:val="24"/>
        </w:rPr>
        <w:t xml:space="preserve">verejné výdavky na vzdelávacie inštitúcie, </w:t>
      </w:r>
      <w:r>
        <w:rPr>
          <w:rFonts w:ascii="Times New Roman" w:hAnsi="Times New Roman"/>
          <w:szCs w:val="24"/>
        </w:rPr>
        <w:t>druhou zložkou sú</w:t>
      </w:r>
      <w:r w:rsidRPr="00451C87">
        <w:rPr>
          <w:rFonts w:ascii="Times New Roman" w:hAnsi="Times New Roman"/>
          <w:szCs w:val="24"/>
        </w:rPr>
        <w:t xml:space="preserve"> transfery a platby z verejných zdrojov na vzdelávacie účely súkromným subjektom</w:t>
      </w:r>
      <w:r>
        <w:rPr>
          <w:rFonts w:ascii="Times New Roman" w:hAnsi="Times New Roman"/>
          <w:szCs w:val="24"/>
        </w:rPr>
        <w:t>, t.j. či už študentom alebo iným subjektom</w:t>
      </w:r>
      <w:r w:rsidRPr="00451C87">
        <w:rPr>
          <w:rFonts w:ascii="Times New Roman" w:hAnsi="Times New Roman"/>
          <w:szCs w:val="24"/>
        </w:rPr>
        <w:t xml:space="preserve"> (napr. štipendiá, atď.)</w:t>
      </w:r>
      <w:r>
        <w:rPr>
          <w:rFonts w:ascii="Times New Roman" w:hAnsi="Times New Roman"/>
          <w:szCs w:val="24"/>
        </w:rPr>
        <w:t>.</w:t>
      </w:r>
      <w:r w:rsidRPr="00451C87">
        <w:rPr>
          <w:rFonts w:ascii="Times New Roman" w:hAnsi="Times New Roman"/>
          <w:szCs w:val="24"/>
        </w:rPr>
        <w:t xml:space="preserve"> </w:t>
      </w:r>
      <w:r>
        <w:rPr>
          <w:rFonts w:ascii="Times New Roman" w:hAnsi="Times New Roman"/>
          <w:szCs w:val="24"/>
        </w:rPr>
        <w:t>C</w:t>
      </w:r>
      <w:r w:rsidRPr="00451C87">
        <w:rPr>
          <w:rFonts w:ascii="Times New Roman" w:hAnsi="Times New Roman"/>
          <w:szCs w:val="24"/>
        </w:rPr>
        <w:t xml:space="preserve">elkové verejné výdavky na vzdelávanie </w:t>
      </w:r>
      <w:r>
        <w:rPr>
          <w:rFonts w:ascii="Times New Roman" w:hAnsi="Times New Roman"/>
          <w:szCs w:val="24"/>
        </w:rPr>
        <w:t>sú preto vyššie ako</w:t>
      </w:r>
      <w:r w:rsidRPr="00451C87">
        <w:rPr>
          <w:rFonts w:ascii="Times New Roman" w:hAnsi="Times New Roman"/>
          <w:szCs w:val="24"/>
        </w:rPr>
        <w:t> verejn</w:t>
      </w:r>
      <w:r>
        <w:rPr>
          <w:rFonts w:ascii="Times New Roman" w:hAnsi="Times New Roman"/>
          <w:szCs w:val="24"/>
        </w:rPr>
        <w:t>é</w:t>
      </w:r>
      <w:r w:rsidRPr="00451C87">
        <w:rPr>
          <w:rFonts w:ascii="Times New Roman" w:hAnsi="Times New Roman"/>
          <w:szCs w:val="24"/>
        </w:rPr>
        <w:t xml:space="preserve"> výdavk</w:t>
      </w:r>
      <w:r>
        <w:rPr>
          <w:rFonts w:ascii="Times New Roman" w:hAnsi="Times New Roman"/>
          <w:szCs w:val="24"/>
        </w:rPr>
        <w:t>y</w:t>
      </w:r>
      <w:r w:rsidRPr="00451C87">
        <w:rPr>
          <w:rFonts w:ascii="Times New Roman" w:hAnsi="Times New Roman"/>
          <w:szCs w:val="24"/>
        </w:rPr>
        <w:t xml:space="preserve"> na vzdelávacie inštitúcie.</w:t>
      </w:r>
    </w:p>
    <w:p w:rsidR="00826C5B" w:rsidP="00826C5B">
      <w:pPr>
        <w:pStyle w:val="ListParagraph"/>
        <w:autoSpaceDE w:val="0"/>
        <w:autoSpaceDN w:val="0"/>
        <w:bidi w:val="0"/>
        <w:adjustRightInd w:val="0"/>
        <w:spacing w:line="240" w:lineRule="atLeast"/>
        <w:contextualSpacing w:val="0"/>
        <w:rPr>
          <w:rFonts w:ascii="Times New Roman" w:hAnsi="Times New Roman"/>
          <w:szCs w:val="24"/>
        </w:rPr>
      </w:pPr>
    </w:p>
    <w:p w:rsidR="00826C5B" w:rsidP="00826C5B">
      <w:pPr>
        <w:pStyle w:val="ListParagraph"/>
        <w:autoSpaceDE w:val="0"/>
        <w:autoSpaceDN w:val="0"/>
        <w:bidi w:val="0"/>
        <w:adjustRightInd w:val="0"/>
        <w:spacing w:line="240" w:lineRule="atLeast"/>
        <w:contextualSpacing w:val="0"/>
        <w:rPr>
          <w:rFonts w:ascii="Times New Roman" w:hAnsi="Times New Roman"/>
          <w:szCs w:val="24"/>
        </w:rPr>
      </w:pPr>
    </w:p>
    <w:p w:rsidR="00826C5B" w:rsidP="00826C5B">
      <w:pPr>
        <w:pStyle w:val="ListParagraph"/>
        <w:autoSpaceDE w:val="0"/>
        <w:autoSpaceDN w:val="0"/>
        <w:bidi w:val="0"/>
        <w:adjustRightInd w:val="0"/>
        <w:spacing w:line="240" w:lineRule="atLeast"/>
        <w:contextualSpacing w:val="0"/>
        <w:rPr>
          <w:rFonts w:ascii="Times New Roman" w:hAnsi="Times New Roman"/>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826C5B" w:rsidRPr="0070680D" w:rsidP="0070680D">
            <w:pPr>
              <w:bidi w:val="0"/>
              <w:spacing w:after="0"/>
              <w:rPr>
                <w:rFonts w:ascii="Times New Roman" w:eastAsia="Calibri" w:hAnsi="Times New Roman"/>
                <w:sz w:val="22"/>
                <w:szCs w:val="24"/>
              </w:rPr>
            </w:pPr>
          </w:p>
          <w:p w:rsidR="00FF0C71" w:rsidRPr="0070680D" w:rsidP="0070680D">
            <w:pPr>
              <w:pStyle w:val="Caption"/>
              <w:bidi w:val="0"/>
              <w:spacing w:after="0"/>
              <w:rPr>
                <w:rFonts w:ascii="Times New Roman" w:eastAsia="Calibri" w:hAnsi="Times New Roman" w:hint="default"/>
              </w:rPr>
            </w:pPr>
            <w:bookmarkStart w:id="36" w:name="_Toc350252115"/>
            <w:bookmarkStart w:id="37" w:name="_Toc351635246"/>
            <w:r w:rsidRPr="0070680D">
              <w:rPr>
                <w:rFonts w:ascii="Times New Roman" w:eastAsia="Calibri" w:hAnsi="Times New Roman" w:hint="default"/>
              </w:rPr>
              <w:t>Rá</w:t>
            </w:r>
            <w:r w:rsidRPr="0070680D">
              <w:rPr>
                <w:rFonts w:ascii="Times New Roman" w:eastAsia="Calibri" w:hAnsi="Times New Roman" w:hint="default"/>
              </w:rPr>
              <w:t>mč</w:t>
            </w:r>
            <w:r w:rsidRPr="0070680D">
              <w:rPr>
                <w:rFonts w:ascii="Times New Roman" w:eastAsia="Calibri" w:hAnsi="Times New Roman" w:hint="default"/>
              </w:rPr>
              <w:t xml:space="preserve">ek </w:t>
            </w:r>
            <w:r w:rsidRPr="0070680D">
              <w:rPr>
                <w:rFonts w:ascii="Times New Roman" w:eastAsia="Calibri" w:hAnsi="Times New Roman" w:hint="default"/>
              </w:rPr>
              <w:fldChar w:fldCharType="begin"/>
            </w:r>
            <w:r w:rsidRPr="0070680D">
              <w:rPr>
                <w:rFonts w:ascii="Times New Roman" w:eastAsia="Calibri" w:hAnsi="Times New Roman" w:hint="default"/>
              </w:rPr>
              <w:instrText xml:space="preserve"> SEQ Rá</w:instrText>
            </w:r>
            <w:r w:rsidRPr="0070680D">
              <w:rPr>
                <w:rFonts w:ascii="Times New Roman" w:eastAsia="Calibri" w:hAnsi="Times New Roman" w:hint="default"/>
              </w:rPr>
              <w:instrText>mč</w:instrText>
            </w:r>
            <w:r w:rsidRPr="0070680D">
              <w:rPr>
                <w:rFonts w:ascii="Times New Roman" w:eastAsia="Calibri" w:hAnsi="Times New Roman" w:hint="default"/>
              </w:rPr>
              <w:instrText xml:space="preserve">ek \* ARABIC </w:instrText>
            </w:r>
            <w:r w:rsidRPr="0070680D">
              <w:rPr>
                <w:rFonts w:ascii="Times New Roman" w:eastAsia="Calibri" w:hAnsi="Times New Roman" w:hint="default"/>
              </w:rPr>
              <w:fldChar w:fldCharType="separate"/>
            </w:r>
            <w:r w:rsidR="00DA0ECA">
              <w:rPr>
                <w:rFonts w:ascii="Times New Roman" w:eastAsia="Calibri" w:hAnsi="Times New Roman"/>
                <w:noProof/>
              </w:rPr>
              <w:t>1</w:t>
            </w:r>
            <w:r w:rsidRPr="0070680D">
              <w:rPr>
                <w:rFonts w:ascii="Times New Roman" w:eastAsia="Calibri" w:hAnsi="Times New Roman" w:hint="default"/>
              </w:rPr>
              <w:fldChar w:fldCharType="end"/>
            </w:r>
            <w:r w:rsidRPr="0070680D">
              <w:rPr>
                <w:rFonts w:ascii="Times New Roman" w:eastAsia="Calibri" w:hAnsi="Times New Roman"/>
              </w:rPr>
              <w:t xml:space="preserve"> </w:t>
            </w:r>
            <w:bookmarkEnd w:id="36"/>
            <w:r w:rsidRPr="0070680D">
              <w:rPr>
                <w:rFonts w:ascii="Times New Roman" w:eastAsia="Calibri" w:hAnsi="Times New Roman" w:hint="default"/>
              </w:rPr>
              <w:t>Č</w:t>
            </w:r>
            <w:r w:rsidRPr="0070680D">
              <w:rPr>
                <w:rFonts w:ascii="Times New Roman" w:eastAsia="Calibri" w:hAnsi="Times New Roman" w:hint="default"/>
              </w:rPr>
              <w:t>lenenie ú</w:t>
            </w:r>
            <w:r w:rsidRPr="0070680D">
              <w:rPr>
                <w:rFonts w:ascii="Times New Roman" w:eastAsia="Calibri" w:hAnsi="Times New Roman" w:hint="default"/>
              </w:rPr>
              <w:t>dajov v metodike UOE</w:t>
            </w:r>
            <w:bookmarkEnd w:id="37"/>
          </w:p>
          <w:p w:rsidR="00826C5B" w:rsidRPr="0070680D" w:rsidP="0070680D">
            <w:pPr>
              <w:bidi w:val="0"/>
              <w:spacing w:after="0" w:line="276" w:lineRule="auto"/>
              <w:rPr>
                <w:rFonts w:ascii="Times New Roman" w:eastAsia="Calibri" w:hAnsi="Times New Roman"/>
                <w:b/>
                <w:sz w:val="20"/>
                <w:szCs w:val="36"/>
              </w:rPr>
            </w:pPr>
          </w:p>
          <w:p w:rsidR="00826C5B" w:rsidRPr="0070680D" w:rsidP="0070680D">
            <w:pPr>
              <w:bidi w:val="0"/>
              <w:spacing w:after="0" w:line="276" w:lineRule="auto"/>
              <w:rPr>
                <w:rFonts w:ascii="Times New Roman" w:eastAsia="Calibri" w:hAnsi="Times New Roman" w:hint="default"/>
                <w:sz w:val="20"/>
                <w:szCs w:val="36"/>
              </w:rPr>
            </w:pPr>
            <w:r w:rsidRPr="0070680D">
              <w:rPr>
                <w:rFonts w:ascii="Times New Roman" w:eastAsia="Calibri" w:hAnsi="Times New Roman" w:hint="default"/>
                <w:sz w:val="20"/>
                <w:szCs w:val="36"/>
              </w:rPr>
              <w:t>Zdroje, z ktorý</w:t>
            </w:r>
            <w:r w:rsidRPr="0070680D">
              <w:rPr>
                <w:rFonts w:ascii="Times New Roman" w:eastAsia="Calibri" w:hAnsi="Times New Roman" w:hint="default"/>
                <w:sz w:val="20"/>
                <w:szCs w:val="36"/>
              </w:rPr>
              <w:t>ch poskytujú</w:t>
            </w:r>
            <w:r w:rsidRPr="0070680D">
              <w:rPr>
                <w:rFonts w:ascii="Times New Roman" w:eastAsia="Calibri" w:hAnsi="Times New Roman" w:hint="default"/>
                <w:sz w:val="20"/>
                <w:szCs w:val="36"/>
              </w:rPr>
              <w:t xml:space="preserve"> ekonomiky prostriedky na vzdelá</w:t>
            </w:r>
            <w:r w:rsidRPr="0070680D">
              <w:rPr>
                <w:rFonts w:ascii="Times New Roman" w:eastAsia="Calibri" w:hAnsi="Times New Roman" w:hint="default"/>
                <w:sz w:val="20"/>
                <w:szCs w:val="36"/>
              </w:rPr>
              <w:t>vanie, mož</w:t>
            </w:r>
            <w:r w:rsidRPr="0070680D">
              <w:rPr>
                <w:rFonts w:ascii="Times New Roman" w:eastAsia="Calibri" w:hAnsi="Times New Roman" w:hint="default"/>
                <w:sz w:val="20"/>
                <w:szCs w:val="36"/>
              </w:rPr>
              <w:t>no zaradiť</w:t>
            </w:r>
            <w:r w:rsidRPr="0070680D">
              <w:rPr>
                <w:rFonts w:ascii="Times New Roman" w:eastAsia="Calibri" w:hAnsi="Times New Roman" w:hint="default"/>
                <w:sz w:val="20"/>
                <w:szCs w:val="36"/>
              </w:rPr>
              <w:t xml:space="preserve"> do tý</w:t>
            </w:r>
            <w:r w:rsidRPr="0070680D">
              <w:rPr>
                <w:rFonts w:ascii="Times New Roman" w:eastAsia="Calibri" w:hAnsi="Times New Roman" w:hint="default"/>
                <w:sz w:val="20"/>
                <w:szCs w:val="36"/>
              </w:rPr>
              <w:t>chto kategó</w:t>
            </w:r>
            <w:r w:rsidRPr="0070680D">
              <w:rPr>
                <w:rFonts w:ascii="Times New Roman" w:eastAsia="Calibri" w:hAnsi="Times New Roman" w:hint="default"/>
                <w:sz w:val="20"/>
                <w:szCs w:val="36"/>
              </w:rPr>
              <w:t>rií</w:t>
            </w:r>
            <w:r w:rsidRPr="0070680D">
              <w:rPr>
                <w:rFonts w:ascii="Times New Roman" w:eastAsia="Calibri" w:hAnsi="Times New Roman" w:hint="default"/>
                <w:sz w:val="20"/>
                <w:szCs w:val="36"/>
              </w:rPr>
              <w:t>:</w:t>
            </w:r>
          </w:p>
          <w:p w:rsidR="00826C5B" w:rsidRPr="0070680D" w:rsidP="0070680D">
            <w:pPr>
              <w:numPr>
                <w:numId w:val="4"/>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vlá</w:t>
            </w:r>
            <w:r w:rsidRPr="0070680D">
              <w:rPr>
                <w:rFonts w:ascii="Times New Roman" w:eastAsia="Calibri" w:hAnsi="Times New Roman" w:hint="default"/>
                <w:sz w:val="20"/>
                <w:szCs w:val="36"/>
              </w:rPr>
              <w:t>dne (verejné</w:t>
            </w:r>
            <w:r w:rsidRPr="0070680D">
              <w:rPr>
                <w:rFonts w:ascii="Times New Roman" w:eastAsia="Calibri" w:hAnsi="Times New Roman" w:hint="default"/>
                <w:sz w:val="20"/>
                <w:szCs w:val="36"/>
              </w:rPr>
              <w:t xml:space="preserve">) zdroje  </w:t>
            </w:r>
          </w:p>
          <w:p w:rsidR="00826C5B" w:rsidRPr="0070680D" w:rsidP="0070680D">
            <w:pPr>
              <w:numPr>
                <w:numId w:val="4"/>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mimovlá</w:t>
            </w:r>
            <w:r w:rsidRPr="0070680D">
              <w:rPr>
                <w:rFonts w:ascii="Times New Roman" w:eastAsia="Calibri" w:hAnsi="Times New Roman" w:hint="default"/>
                <w:sz w:val="20"/>
                <w:szCs w:val="36"/>
              </w:rPr>
              <w:t>dne (sú</w:t>
            </w:r>
            <w:r w:rsidRPr="0070680D">
              <w:rPr>
                <w:rFonts w:ascii="Times New Roman" w:eastAsia="Calibri" w:hAnsi="Times New Roman" w:hint="default"/>
                <w:sz w:val="20"/>
                <w:szCs w:val="36"/>
              </w:rPr>
              <w:t>kromné</w:t>
            </w:r>
            <w:r w:rsidRPr="0070680D">
              <w:rPr>
                <w:rFonts w:ascii="Times New Roman" w:eastAsia="Calibri" w:hAnsi="Times New Roman" w:hint="default"/>
                <w:sz w:val="20"/>
                <w:szCs w:val="36"/>
              </w:rPr>
              <w:t>) zdro</w:t>
            </w:r>
            <w:r w:rsidRPr="0070680D">
              <w:rPr>
                <w:rFonts w:ascii="Times New Roman" w:eastAsia="Calibri" w:hAnsi="Times New Roman" w:hint="default"/>
                <w:sz w:val="20"/>
                <w:szCs w:val="36"/>
              </w:rPr>
              <w:t>je</w:t>
            </w:r>
          </w:p>
          <w:p w:rsidR="00826C5B" w:rsidRPr="0070680D" w:rsidP="0070680D">
            <w:pPr>
              <w:numPr>
                <w:numId w:val="4"/>
              </w:numPr>
              <w:bidi w:val="0"/>
              <w:spacing w:after="0" w:line="276" w:lineRule="auto"/>
              <w:ind w:left="714" w:hanging="357"/>
              <w:jc w:val="left"/>
              <w:rPr>
                <w:rFonts w:ascii="Times New Roman" w:eastAsia="Calibri" w:hAnsi="Times New Roman" w:hint="default"/>
                <w:sz w:val="20"/>
                <w:szCs w:val="36"/>
              </w:rPr>
            </w:pPr>
            <w:r w:rsidRPr="0070680D">
              <w:rPr>
                <w:rFonts w:ascii="Times New Roman" w:eastAsia="Calibri" w:hAnsi="Times New Roman" w:hint="default"/>
                <w:sz w:val="20"/>
                <w:szCs w:val="36"/>
              </w:rPr>
              <w:t>zdroje medziná</w:t>
            </w:r>
            <w:r w:rsidRPr="0070680D">
              <w:rPr>
                <w:rFonts w:ascii="Times New Roman" w:eastAsia="Calibri" w:hAnsi="Times New Roman" w:hint="default"/>
                <w:sz w:val="20"/>
                <w:szCs w:val="36"/>
              </w:rPr>
              <w:t>rodný</w:t>
            </w:r>
            <w:r w:rsidRPr="0070680D">
              <w:rPr>
                <w:rFonts w:ascii="Times New Roman" w:eastAsia="Calibri" w:hAnsi="Times New Roman" w:hint="default"/>
                <w:sz w:val="20"/>
                <w:szCs w:val="36"/>
              </w:rPr>
              <w:t>ch agentú</w:t>
            </w:r>
            <w:r w:rsidRPr="0070680D">
              <w:rPr>
                <w:rFonts w:ascii="Times New Roman" w:eastAsia="Calibri" w:hAnsi="Times New Roman" w:hint="default"/>
                <w:sz w:val="20"/>
                <w:szCs w:val="36"/>
              </w:rPr>
              <w:t>r a iné</w:t>
            </w:r>
            <w:r w:rsidRPr="0070680D">
              <w:rPr>
                <w:rFonts w:ascii="Times New Roman" w:eastAsia="Calibri" w:hAnsi="Times New Roman" w:hint="default"/>
                <w:sz w:val="20"/>
                <w:szCs w:val="36"/>
              </w:rPr>
              <w:t xml:space="preserve"> zahranič</w:t>
            </w:r>
            <w:r w:rsidRPr="0070680D">
              <w:rPr>
                <w:rFonts w:ascii="Times New Roman" w:eastAsia="Calibri" w:hAnsi="Times New Roman" w:hint="default"/>
                <w:sz w:val="20"/>
                <w:szCs w:val="36"/>
              </w:rPr>
              <w:t>né</w:t>
            </w:r>
            <w:r w:rsidRPr="0070680D">
              <w:rPr>
                <w:rFonts w:ascii="Times New Roman" w:eastAsia="Calibri" w:hAnsi="Times New Roman" w:hint="default"/>
                <w:sz w:val="20"/>
                <w:szCs w:val="36"/>
              </w:rPr>
              <w:t xml:space="preserve"> zdroje</w:t>
            </w:r>
          </w:p>
          <w:p w:rsidR="00826C5B" w:rsidRPr="0070680D" w:rsidP="0070680D">
            <w:pPr>
              <w:bidi w:val="0"/>
              <w:spacing w:after="0" w:line="276" w:lineRule="auto"/>
              <w:rPr>
                <w:rFonts w:ascii="Times New Roman" w:eastAsia="Calibri" w:hAnsi="Times New Roman" w:hint="default"/>
                <w:sz w:val="20"/>
                <w:szCs w:val="36"/>
              </w:rPr>
            </w:pPr>
            <w:r w:rsidRPr="0070680D">
              <w:rPr>
                <w:rFonts w:ascii="Times New Roman" w:eastAsia="Calibri" w:hAnsi="Times New Roman" w:hint="default"/>
                <w:sz w:val="20"/>
                <w:szCs w:val="36"/>
              </w:rPr>
              <w:t>Vlá</w:t>
            </w:r>
            <w:r w:rsidRPr="0070680D">
              <w:rPr>
                <w:rFonts w:ascii="Times New Roman" w:eastAsia="Calibri" w:hAnsi="Times New Roman" w:hint="default"/>
                <w:sz w:val="20"/>
                <w:szCs w:val="36"/>
              </w:rPr>
              <w:t>dne (verejné</w:t>
            </w:r>
            <w:r w:rsidRPr="0070680D">
              <w:rPr>
                <w:rFonts w:ascii="Times New Roman" w:eastAsia="Calibri" w:hAnsi="Times New Roman" w:hint="default"/>
                <w:sz w:val="20"/>
                <w:szCs w:val="36"/>
              </w:rPr>
              <w:t>) zdroje sú</w:t>
            </w:r>
            <w:r w:rsidRPr="0070680D">
              <w:rPr>
                <w:rFonts w:ascii="Times New Roman" w:eastAsia="Calibri" w:hAnsi="Times New Roman" w:hint="default"/>
                <w:sz w:val="20"/>
                <w:szCs w:val="36"/>
              </w:rPr>
              <w:t xml:space="preserve"> poskytované</w:t>
            </w:r>
            <w:r w:rsidRPr="0070680D">
              <w:rPr>
                <w:rFonts w:ascii="Times New Roman" w:eastAsia="Calibri" w:hAnsi="Times New Roman" w:hint="default"/>
                <w:sz w:val="20"/>
                <w:szCs w:val="36"/>
              </w:rPr>
              <w:t>:</w:t>
            </w:r>
          </w:p>
          <w:p w:rsidR="00826C5B" w:rsidRPr="0070680D" w:rsidP="0070680D">
            <w:pPr>
              <w:numPr>
                <w:numId w:val="4"/>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vo forme priamych vý</w:t>
            </w:r>
            <w:r w:rsidRPr="0070680D">
              <w:rPr>
                <w:rFonts w:ascii="Times New Roman" w:eastAsia="Calibri" w:hAnsi="Times New Roman" w:hint="default"/>
                <w:sz w:val="20"/>
                <w:szCs w:val="36"/>
              </w:rPr>
              <w:t>davkov na vzdelá</w:t>
            </w:r>
            <w:r w:rsidRPr="0070680D">
              <w:rPr>
                <w:rFonts w:ascii="Times New Roman" w:eastAsia="Calibri" w:hAnsi="Times New Roman" w:hint="default"/>
                <w:sz w:val="20"/>
                <w:szCs w:val="36"/>
              </w:rPr>
              <w:t>vacie inš</w:t>
            </w:r>
            <w:r w:rsidRPr="0070680D">
              <w:rPr>
                <w:rFonts w:ascii="Times New Roman" w:eastAsia="Calibri" w:hAnsi="Times New Roman" w:hint="default"/>
                <w:sz w:val="20"/>
                <w:szCs w:val="36"/>
              </w:rPr>
              <w:t>titú</w:t>
            </w:r>
            <w:r w:rsidRPr="0070680D">
              <w:rPr>
                <w:rFonts w:ascii="Times New Roman" w:eastAsia="Calibri" w:hAnsi="Times New Roman" w:hint="default"/>
                <w:sz w:val="20"/>
                <w:szCs w:val="36"/>
              </w:rPr>
              <w:t>cie</w:t>
            </w:r>
          </w:p>
          <w:p w:rsidR="00826C5B" w:rsidRPr="0070680D" w:rsidP="0070680D">
            <w:pPr>
              <w:numPr>
                <w:numId w:val="4"/>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ako transfery v rá</w:t>
            </w:r>
            <w:r w:rsidRPr="0070680D">
              <w:rPr>
                <w:rFonts w:ascii="Times New Roman" w:eastAsia="Calibri" w:hAnsi="Times New Roman" w:hint="default"/>
                <w:sz w:val="20"/>
                <w:szCs w:val="36"/>
              </w:rPr>
              <w:t>mci verejnej sprá</w:t>
            </w:r>
            <w:r w:rsidRPr="0070680D">
              <w:rPr>
                <w:rFonts w:ascii="Times New Roman" w:eastAsia="Calibri" w:hAnsi="Times New Roman" w:hint="default"/>
                <w:sz w:val="20"/>
                <w:szCs w:val="36"/>
              </w:rPr>
              <w:t>vy (urč</w:t>
            </w:r>
            <w:r w:rsidRPr="0070680D">
              <w:rPr>
                <w:rFonts w:ascii="Times New Roman" w:eastAsia="Calibri" w:hAnsi="Times New Roman" w:hint="default"/>
                <w:sz w:val="20"/>
                <w:szCs w:val="36"/>
              </w:rPr>
              <w:t>ené</w:t>
            </w:r>
            <w:r w:rsidRPr="0070680D">
              <w:rPr>
                <w:rFonts w:ascii="Times New Roman" w:eastAsia="Calibri" w:hAnsi="Times New Roman" w:hint="default"/>
                <w:sz w:val="20"/>
                <w:szCs w:val="36"/>
              </w:rPr>
              <w:t xml:space="preserve"> na vzdelá</w:t>
            </w:r>
            <w:r w:rsidRPr="0070680D">
              <w:rPr>
                <w:rFonts w:ascii="Times New Roman" w:eastAsia="Calibri" w:hAnsi="Times New Roman" w:hint="default"/>
                <w:sz w:val="20"/>
                <w:szCs w:val="36"/>
              </w:rPr>
              <w:t>vanie)</w:t>
            </w:r>
          </w:p>
          <w:p w:rsidR="00826C5B" w:rsidRPr="0070680D" w:rsidP="0070680D">
            <w:pPr>
              <w:numPr>
                <w:numId w:val="4"/>
              </w:numPr>
              <w:bidi w:val="0"/>
              <w:spacing w:after="0" w:line="276" w:lineRule="auto"/>
              <w:ind w:left="714" w:hanging="357"/>
              <w:jc w:val="left"/>
              <w:rPr>
                <w:rFonts w:ascii="Times New Roman" w:eastAsia="Calibri" w:hAnsi="Times New Roman" w:hint="default"/>
                <w:sz w:val="20"/>
                <w:szCs w:val="36"/>
              </w:rPr>
            </w:pPr>
            <w:r w:rsidRPr="0070680D">
              <w:rPr>
                <w:rFonts w:ascii="Times New Roman" w:eastAsia="Calibri" w:hAnsi="Times New Roman" w:hint="default"/>
                <w:sz w:val="20"/>
                <w:szCs w:val="36"/>
              </w:rPr>
              <w:t>ako transfer sú</w:t>
            </w:r>
            <w:r w:rsidRPr="0070680D">
              <w:rPr>
                <w:rFonts w:ascii="Times New Roman" w:eastAsia="Calibri" w:hAnsi="Times New Roman" w:hint="default"/>
                <w:sz w:val="20"/>
                <w:szCs w:val="36"/>
              </w:rPr>
              <w:t>kromný</w:t>
            </w:r>
            <w:r w:rsidRPr="0070680D">
              <w:rPr>
                <w:rFonts w:ascii="Times New Roman" w:eastAsia="Calibri" w:hAnsi="Times New Roman" w:hint="default"/>
                <w:sz w:val="20"/>
                <w:szCs w:val="36"/>
              </w:rPr>
              <w:t>m osobá</w:t>
            </w:r>
            <w:r w:rsidRPr="0070680D">
              <w:rPr>
                <w:rFonts w:ascii="Times New Roman" w:eastAsia="Calibri" w:hAnsi="Times New Roman" w:hint="default"/>
                <w:sz w:val="20"/>
                <w:szCs w:val="36"/>
              </w:rPr>
              <w:t>m (domá</w:t>
            </w:r>
            <w:r w:rsidRPr="0070680D">
              <w:rPr>
                <w:rFonts w:ascii="Times New Roman" w:eastAsia="Calibri" w:hAnsi="Times New Roman" w:hint="default"/>
                <w:sz w:val="20"/>
                <w:szCs w:val="36"/>
              </w:rPr>
              <w:t>cnosti a </w:t>
            </w:r>
            <w:r w:rsidRPr="0070680D">
              <w:rPr>
                <w:rFonts w:ascii="Times New Roman" w:eastAsia="Calibri" w:hAnsi="Times New Roman" w:hint="default"/>
                <w:sz w:val="20"/>
                <w:szCs w:val="36"/>
              </w:rPr>
              <w:t>iné</w:t>
            </w:r>
            <w:r w:rsidRPr="0070680D">
              <w:rPr>
                <w:rFonts w:ascii="Times New Roman" w:eastAsia="Calibri" w:hAnsi="Times New Roman" w:hint="default"/>
                <w:sz w:val="20"/>
                <w:szCs w:val="36"/>
              </w:rPr>
              <w:t xml:space="preserve"> inš</w:t>
            </w:r>
            <w:r w:rsidRPr="0070680D">
              <w:rPr>
                <w:rFonts w:ascii="Times New Roman" w:eastAsia="Calibri" w:hAnsi="Times New Roman" w:hint="default"/>
                <w:sz w:val="20"/>
                <w:szCs w:val="36"/>
              </w:rPr>
              <w:t>titú</w:t>
            </w:r>
            <w:r w:rsidRPr="0070680D">
              <w:rPr>
                <w:rFonts w:ascii="Times New Roman" w:eastAsia="Calibri" w:hAnsi="Times New Roman" w:hint="default"/>
                <w:sz w:val="20"/>
                <w:szCs w:val="36"/>
              </w:rPr>
              <w:t>cie)</w:t>
            </w:r>
          </w:p>
          <w:p w:rsidR="00826C5B" w:rsidRPr="0070680D" w:rsidP="0070680D">
            <w:pPr>
              <w:bidi w:val="0"/>
              <w:spacing w:after="0" w:line="276" w:lineRule="auto"/>
              <w:rPr>
                <w:rFonts w:ascii="Times New Roman" w:eastAsia="Calibri" w:hAnsi="Times New Roman" w:hint="default"/>
                <w:sz w:val="20"/>
                <w:szCs w:val="36"/>
              </w:rPr>
            </w:pPr>
            <w:r w:rsidRPr="0070680D">
              <w:rPr>
                <w:rFonts w:ascii="Times New Roman" w:eastAsia="Calibri" w:hAnsi="Times New Roman" w:hint="default"/>
                <w:sz w:val="20"/>
                <w:szCs w:val="36"/>
              </w:rPr>
              <w:t>Mimovlá</w:t>
            </w:r>
            <w:r w:rsidRPr="0070680D">
              <w:rPr>
                <w:rFonts w:ascii="Times New Roman" w:eastAsia="Calibri" w:hAnsi="Times New Roman" w:hint="default"/>
                <w:sz w:val="20"/>
                <w:szCs w:val="36"/>
              </w:rPr>
              <w:t>dne (sú</w:t>
            </w:r>
            <w:r w:rsidRPr="0070680D">
              <w:rPr>
                <w:rFonts w:ascii="Times New Roman" w:eastAsia="Calibri" w:hAnsi="Times New Roman" w:hint="default"/>
                <w:sz w:val="20"/>
                <w:szCs w:val="36"/>
              </w:rPr>
              <w:t>kromné</w:t>
            </w:r>
            <w:r w:rsidRPr="0070680D">
              <w:rPr>
                <w:rFonts w:ascii="Times New Roman" w:eastAsia="Calibri" w:hAnsi="Times New Roman" w:hint="default"/>
                <w:sz w:val="20"/>
                <w:szCs w:val="36"/>
              </w:rPr>
              <w:t>) zdroje môž</w:t>
            </w:r>
            <w:r w:rsidRPr="0070680D">
              <w:rPr>
                <w:rFonts w:ascii="Times New Roman" w:eastAsia="Calibri" w:hAnsi="Times New Roman" w:hint="default"/>
                <w:sz w:val="20"/>
                <w:szCs w:val="36"/>
              </w:rPr>
              <w:t>u pochá</w:t>
            </w:r>
            <w:r w:rsidRPr="0070680D">
              <w:rPr>
                <w:rFonts w:ascii="Times New Roman" w:eastAsia="Calibri" w:hAnsi="Times New Roman" w:hint="default"/>
                <w:sz w:val="20"/>
                <w:szCs w:val="36"/>
              </w:rPr>
              <w:t>dzať</w:t>
            </w:r>
            <w:r w:rsidRPr="0070680D">
              <w:rPr>
                <w:rFonts w:ascii="Times New Roman" w:eastAsia="Calibri" w:hAnsi="Times New Roman" w:hint="default"/>
                <w:sz w:val="20"/>
                <w:szCs w:val="36"/>
              </w:rPr>
              <w:t xml:space="preserve"> od:</w:t>
            </w:r>
          </w:p>
          <w:p w:rsidR="00826C5B" w:rsidRPr="0070680D" w:rsidP="0070680D">
            <w:pPr>
              <w:numPr>
                <w:numId w:val="4"/>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domá</w:t>
            </w:r>
            <w:r w:rsidRPr="0070680D">
              <w:rPr>
                <w:rFonts w:ascii="Times New Roman" w:eastAsia="Calibri" w:hAnsi="Times New Roman" w:hint="default"/>
                <w:sz w:val="20"/>
                <w:szCs w:val="36"/>
              </w:rPr>
              <w:t>cností</w:t>
            </w:r>
            <w:r w:rsidRPr="0070680D">
              <w:rPr>
                <w:rFonts w:ascii="Times New Roman" w:eastAsia="Calibri" w:hAnsi="Times New Roman" w:hint="default"/>
                <w:sz w:val="20"/>
                <w:szCs w:val="36"/>
              </w:rPr>
              <w:t xml:space="preserve"> - š</w:t>
            </w:r>
            <w:r w:rsidRPr="0070680D">
              <w:rPr>
                <w:rFonts w:ascii="Times New Roman" w:eastAsia="Calibri" w:hAnsi="Times New Roman" w:hint="default"/>
                <w:sz w:val="20"/>
                <w:szCs w:val="36"/>
              </w:rPr>
              <w:t>tudentov a ich rodí</w:t>
            </w:r>
            <w:r w:rsidRPr="0070680D">
              <w:rPr>
                <w:rFonts w:ascii="Times New Roman" w:eastAsia="Calibri" w:hAnsi="Times New Roman" w:hint="default"/>
                <w:sz w:val="20"/>
                <w:szCs w:val="36"/>
              </w:rPr>
              <w:t>n</w:t>
            </w:r>
          </w:p>
          <w:p w:rsidR="00826C5B" w:rsidRPr="0070680D" w:rsidP="0070680D">
            <w:pPr>
              <w:numPr>
                <w:numId w:val="4"/>
              </w:numPr>
              <w:bidi w:val="0"/>
              <w:spacing w:after="0" w:line="276" w:lineRule="auto"/>
              <w:ind w:left="714" w:hanging="357"/>
              <w:jc w:val="left"/>
              <w:rPr>
                <w:rFonts w:ascii="Times New Roman" w:eastAsia="Calibri" w:hAnsi="Times New Roman" w:hint="default"/>
                <w:sz w:val="20"/>
                <w:szCs w:val="36"/>
              </w:rPr>
            </w:pPr>
            <w:r w:rsidRPr="0070680D">
              <w:rPr>
                <w:rFonts w:ascii="Times New Roman" w:eastAsia="Calibri" w:hAnsi="Times New Roman" w:hint="default"/>
                <w:sz w:val="20"/>
                <w:szCs w:val="36"/>
              </w:rPr>
              <w:t>ostatný</w:t>
            </w:r>
            <w:r w:rsidRPr="0070680D">
              <w:rPr>
                <w:rFonts w:ascii="Times New Roman" w:eastAsia="Calibri" w:hAnsi="Times New Roman" w:hint="default"/>
                <w:sz w:val="20"/>
                <w:szCs w:val="36"/>
              </w:rPr>
              <w:t>ch sú</w:t>
            </w:r>
            <w:r w:rsidRPr="0070680D">
              <w:rPr>
                <w:rFonts w:ascii="Times New Roman" w:eastAsia="Calibri" w:hAnsi="Times New Roman" w:hint="default"/>
                <w:sz w:val="20"/>
                <w:szCs w:val="36"/>
              </w:rPr>
              <w:t>kromný</w:t>
            </w:r>
            <w:r w:rsidRPr="0070680D">
              <w:rPr>
                <w:rFonts w:ascii="Times New Roman" w:eastAsia="Calibri" w:hAnsi="Times New Roman" w:hint="default"/>
                <w:sz w:val="20"/>
                <w:szCs w:val="36"/>
              </w:rPr>
              <w:t>ch subjektov - sú</w:t>
            </w:r>
            <w:r w:rsidRPr="0070680D">
              <w:rPr>
                <w:rFonts w:ascii="Times New Roman" w:eastAsia="Calibri" w:hAnsi="Times New Roman" w:hint="default"/>
                <w:sz w:val="20"/>
                <w:szCs w:val="36"/>
              </w:rPr>
              <w:t>kromné</w:t>
            </w:r>
            <w:r w:rsidRPr="0070680D">
              <w:rPr>
                <w:rFonts w:ascii="Times New Roman" w:eastAsia="Calibri" w:hAnsi="Times New Roman" w:hint="default"/>
                <w:sz w:val="20"/>
                <w:szCs w:val="36"/>
              </w:rPr>
              <w:t xml:space="preserve"> podniky a neziskové</w:t>
            </w:r>
            <w:r w:rsidRPr="0070680D">
              <w:rPr>
                <w:rFonts w:ascii="Times New Roman" w:eastAsia="Calibri" w:hAnsi="Times New Roman" w:hint="default"/>
                <w:sz w:val="20"/>
                <w:szCs w:val="36"/>
              </w:rPr>
              <w:t xml:space="preserve"> organizá</w:t>
            </w:r>
            <w:r w:rsidRPr="0070680D">
              <w:rPr>
                <w:rFonts w:ascii="Times New Roman" w:eastAsia="Calibri" w:hAnsi="Times New Roman" w:hint="default"/>
                <w:sz w:val="20"/>
                <w:szCs w:val="36"/>
              </w:rPr>
              <w:t>cie (vrá</w:t>
            </w:r>
            <w:r w:rsidRPr="0070680D">
              <w:rPr>
                <w:rFonts w:ascii="Times New Roman" w:eastAsia="Calibri" w:hAnsi="Times New Roman" w:hint="default"/>
                <w:sz w:val="20"/>
                <w:szCs w:val="36"/>
              </w:rPr>
              <w:t>tane ná</w:t>
            </w:r>
            <w:r w:rsidRPr="0070680D">
              <w:rPr>
                <w:rFonts w:ascii="Times New Roman" w:eastAsia="Calibri" w:hAnsi="Times New Roman" w:hint="default"/>
                <w:sz w:val="20"/>
                <w:szCs w:val="36"/>
              </w:rPr>
              <w:t>bož</w:t>
            </w:r>
            <w:r w:rsidRPr="0070680D">
              <w:rPr>
                <w:rFonts w:ascii="Times New Roman" w:eastAsia="Calibri" w:hAnsi="Times New Roman" w:hint="default"/>
                <w:sz w:val="20"/>
                <w:szCs w:val="36"/>
              </w:rPr>
              <w:t>enský</w:t>
            </w:r>
            <w:r w:rsidRPr="0070680D">
              <w:rPr>
                <w:rFonts w:ascii="Times New Roman" w:eastAsia="Calibri" w:hAnsi="Times New Roman" w:hint="default"/>
                <w:sz w:val="20"/>
                <w:szCs w:val="36"/>
              </w:rPr>
              <w:t>ch a dobroč</w:t>
            </w:r>
            <w:r w:rsidRPr="0070680D">
              <w:rPr>
                <w:rFonts w:ascii="Times New Roman" w:eastAsia="Calibri" w:hAnsi="Times New Roman" w:hint="default"/>
                <w:sz w:val="20"/>
                <w:szCs w:val="36"/>
              </w:rPr>
              <w:t>inný</w:t>
            </w:r>
            <w:r w:rsidRPr="0070680D">
              <w:rPr>
                <w:rFonts w:ascii="Times New Roman" w:eastAsia="Calibri" w:hAnsi="Times New Roman" w:hint="default"/>
                <w:sz w:val="20"/>
                <w:szCs w:val="36"/>
              </w:rPr>
              <w:t>ch organizá</w:t>
            </w:r>
            <w:r w:rsidRPr="0070680D">
              <w:rPr>
                <w:rFonts w:ascii="Times New Roman" w:eastAsia="Calibri" w:hAnsi="Times New Roman" w:hint="default"/>
                <w:sz w:val="20"/>
                <w:szCs w:val="36"/>
              </w:rPr>
              <w:t>cií</w:t>
            </w:r>
            <w:r w:rsidRPr="0070680D">
              <w:rPr>
                <w:rFonts w:ascii="Times New Roman" w:eastAsia="Calibri" w:hAnsi="Times New Roman" w:hint="default"/>
                <w:sz w:val="20"/>
                <w:szCs w:val="36"/>
              </w:rPr>
              <w:t>)</w:t>
            </w:r>
          </w:p>
          <w:p w:rsidR="00826C5B" w:rsidRPr="0070680D" w:rsidP="0070680D">
            <w:pPr>
              <w:bidi w:val="0"/>
              <w:spacing w:line="276" w:lineRule="auto"/>
              <w:rPr>
                <w:rFonts w:ascii="Times New Roman" w:eastAsia="Calibri" w:hAnsi="Times New Roman" w:hint="default"/>
                <w:sz w:val="20"/>
                <w:szCs w:val="36"/>
              </w:rPr>
            </w:pPr>
            <w:r w:rsidRPr="0070680D">
              <w:rPr>
                <w:rFonts w:ascii="Times New Roman" w:eastAsia="Calibri" w:hAnsi="Times New Roman" w:hint="default"/>
                <w:sz w:val="20"/>
                <w:szCs w:val="36"/>
              </w:rPr>
              <w:t>Zdroje medziná</w:t>
            </w:r>
            <w:r w:rsidRPr="0070680D">
              <w:rPr>
                <w:rFonts w:ascii="Times New Roman" w:eastAsia="Calibri" w:hAnsi="Times New Roman" w:hint="default"/>
                <w:sz w:val="20"/>
                <w:szCs w:val="36"/>
              </w:rPr>
              <w:t>rodný</w:t>
            </w:r>
            <w:r w:rsidRPr="0070680D">
              <w:rPr>
                <w:rFonts w:ascii="Times New Roman" w:eastAsia="Calibri" w:hAnsi="Times New Roman" w:hint="default"/>
                <w:sz w:val="20"/>
                <w:szCs w:val="36"/>
              </w:rPr>
              <w:t>ch agentú</w:t>
            </w:r>
            <w:r w:rsidRPr="0070680D">
              <w:rPr>
                <w:rFonts w:ascii="Times New Roman" w:eastAsia="Calibri" w:hAnsi="Times New Roman" w:hint="default"/>
                <w:sz w:val="20"/>
                <w:szCs w:val="36"/>
              </w:rPr>
              <w:t>r a i</w:t>
            </w:r>
            <w:r w:rsidRPr="0070680D">
              <w:rPr>
                <w:rFonts w:ascii="Times New Roman" w:eastAsia="Calibri" w:hAnsi="Times New Roman" w:hint="default"/>
                <w:sz w:val="20"/>
                <w:szCs w:val="36"/>
              </w:rPr>
              <w:t>né</w:t>
            </w:r>
            <w:r w:rsidRPr="0070680D">
              <w:rPr>
                <w:rFonts w:ascii="Times New Roman" w:eastAsia="Calibri" w:hAnsi="Times New Roman" w:hint="default"/>
                <w:sz w:val="20"/>
                <w:szCs w:val="36"/>
              </w:rPr>
              <w:t xml:space="preserve"> zahranič</w:t>
            </w:r>
            <w:r w:rsidRPr="0070680D">
              <w:rPr>
                <w:rFonts w:ascii="Times New Roman" w:eastAsia="Calibri" w:hAnsi="Times New Roman" w:hint="default"/>
                <w:sz w:val="20"/>
                <w:szCs w:val="36"/>
              </w:rPr>
              <w:t>né</w:t>
            </w:r>
            <w:r w:rsidRPr="0070680D">
              <w:rPr>
                <w:rFonts w:ascii="Times New Roman" w:eastAsia="Calibri" w:hAnsi="Times New Roman" w:hint="default"/>
                <w:sz w:val="20"/>
                <w:szCs w:val="36"/>
              </w:rPr>
              <w:t xml:space="preserve"> zdroje môž</w:t>
            </w:r>
            <w:r w:rsidRPr="0070680D">
              <w:rPr>
                <w:rFonts w:ascii="Times New Roman" w:eastAsia="Calibri" w:hAnsi="Times New Roman" w:hint="default"/>
                <w:sz w:val="20"/>
                <w:szCs w:val="36"/>
              </w:rPr>
              <w:t>u byť</w:t>
            </w:r>
            <w:r w:rsidRPr="0070680D">
              <w:rPr>
                <w:rFonts w:ascii="Times New Roman" w:eastAsia="Calibri" w:hAnsi="Times New Roman" w:hint="default"/>
                <w:sz w:val="20"/>
                <w:szCs w:val="36"/>
              </w:rPr>
              <w:t xml:space="preserve"> vyplá</w:t>
            </w:r>
            <w:r w:rsidRPr="0070680D">
              <w:rPr>
                <w:rFonts w:ascii="Times New Roman" w:eastAsia="Calibri" w:hAnsi="Times New Roman" w:hint="default"/>
                <w:sz w:val="20"/>
                <w:szCs w:val="36"/>
              </w:rPr>
              <w:t>cané</w:t>
            </w:r>
            <w:r w:rsidRPr="0070680D">
              <w:rPr>
                <w:rFonts w:ascii="Times New Roman" w:eastAsia="Calibri" w:hAnsi="Times New Roman" w:hint="default"/>
                <w:sz w:val="20"/>
                <w:szCs w:val="36"/>
              </w:rPr>
              <w:t xml:space="preserve"> vlá</w:t>
            </w:r>
            <w:r w:rsidRPr="0070680D">
              <w:rPr>
                <w:rFonts w:ascii="Times New Roman" w:eastAsia="Calibri" w:hAnsi="Times New Roman" w:hint="default"/>
                <w:sz w:val="20"/>
                <w:szCs w:val="36"/>
              </w:rPr>
              <w:t>dam alebo priamo vzdelá</w:t>
            </w:r>
            <w:r w:rsidRPr="0070680D">
              <w:rPr>
                <w:rFonts w:ascii="Times New Roman" w:eastAsia="Calibri" w:hAnsi="Times New Roman" w:hint="default"/>
                <w:sz w:val="20"/>
                <w:szCs w:val="36"/>
              </w:rPr>
              <w:t>vací</w:t>
            </w:r>
            <w:r w:rsidRPr="0070680D">
              <w:rPr>
                <w:rFonts w:ascii="Times New Roman" w:eastAsia="Calibri" w:hAnsi="Times New Roman" w:hint="default"/>
                <w:sz w:val="20"/>
                <w:szCs w:val="36"/>
              </w:rPr>
              <w:t>m inš</w:t>
            </w:r>
            <w:r w:rsidRPr="0070680D">
              <w:rPr>
                <w:rFonts w:ascii="Times New Roman" w:eastAsia="Calibri" w:hAnsi="Times New Roman" w:hint="default"/>
                <w:sz w:val="20"/>
                <w:szCs w:val="36"/>
              </w:rPr>
              <w:t>titú</w:t>
            </w:r>
            <w:r w:rsidRPr="0070680D">
              <w:rPr>
                <w:rFonts w:ascii="Times New Roman" w:eastAsia="Calibri" w:hAnsi="Times New Roman" w:hint="default"/>
                <w:sz w:val="20"/>
                <w:szCs w:val="36"/>
              </w:rPr>
              <w:t>ciá</w:t>
            </w:r>
            <w:r w:rsidRPr="0070680D">
              <w:rPr>
                <w:rFonts w:ascii="Times New Roman" w:eastAsia="Calibri" w:hAnsi="Times New Roman" w:hint="default"/>
                <w:sz w:val="20"/>
                <w:szCs w:val="36"/>
              </w:rPr>
              <w:t>m.</w:t>
            </w:r>
          </w:p>
          <w:p w:rsidR="00826C5B" w:rsidRPr="0070680D" w:rsidP="0070680D">
            <w:pPr>
              <w:bidi w:val="0"/>
              <w:spacing w:after="0" w:line="276" w:lineRule="auto"/>
              <w:rPr>
                <w:rFonts w:ascii="Times New Roman" w:eastAsia="Calibri" w:hAnsi="Times New Roman" w:hint="default"/>
                <w:sz w:val="20"/>
                <w:szCs w:val="36"/>
              </w:rPr>
            </w:pPr>
            <w:r w:rsidRPr="0070680D">
              <w:rPr>
                <w:rFonts w:ascii="Times New Roman" w:eastAsia="Calibri" w:hAnsi="Times New Roman" w:hint="default"/>
                <w:sz w:val="20"/>
                <w:szCs w:val="36"/>
              </w:rPr>
              <w:t>Metodika UOE taktiež</w:t>
            </w:r>
            <w:r w:rsidRPr="0070680D">
              <w:rPr>
                <w:rFonts w:ascii="Times New Roman" w:eastAsia="Calibri" w:hAnsi="Times New Roman" w:hint="default"/>
                <w:sz w:val="20"/>
                <w:szCs w:val="36"/>
              </w:rPr>
              <w:t xml:space="preserve"> č</w:t>
            </w:r>
            <w:r w:rsidRPr="0070680D">
              <w:rPr>
                <w:rFonts w:ascii="Times New Roman" w:eastAsia="Calibri" w:hAnsi="Times New Roman" w:hint="default"/>
                <w:sz w:val="20"/>
                <w:szCs w:val="36"/>
              </w:rPr>
              <w:t>lení</w:t>
            </w:r>
            <w:r w:rsidRPr="0070680D">
              <w:rPr>
                <w:rFonts w:ascii="Times New Roman" w:eastAsia="Calibri" w:hAnsi="Times New Roman" w:hint="default"/>
                <w:sz w:val="20"/>
                <w:szCs w:val="36"/>
              </w:rPr>
              <w:t xml:space="preserve"> vý</w:t>
            </w:r>
            <w:r w:rsidRPr="0070680D">
              <w:rPr>
                <w:rFonts w:ascii="Times New Roman" w:eastAsia="Calibri" w:hAnsi="Times New Roman" w:hint="default"/>
                <w:sz w:val="20"/>
                <w:szCs w:val="36"/>
              </w:rPr>
              <w:t>davky vynalož</w:t>
            </w:r>
            <w:r w:rsidRPr="0070680D">
              <w:rPr>
                <w:rFonts w:ascii="Times New Roman" w:eastAsia="Calibri" w:hAnsi="Times New Roman" w:hint="default"/>
                <w:sz w:val="20"/>
                <w:szCs w:val="36"/>
              </w:rPr>
              <w:t>ené</w:t>
            </w:r>
            <w:r w:rsidRPr="0070680D">
              <w:rPr>
                <w:rFonts w:ascii="Times New Roman" w:eastAsia="Calibri" w:hAnsi="Times New Roman" w:hint="default"/>
                <w:sz w:val="20"/>
                <w:szCs w:val="36"/>
              </w:rPr>
              <w:t xml:space="preserve"> vzdelá</w:t>
            </w:r>
            <w:r w:rsidRPr="0070680D">
              <w:rPr>
                <w:rFonts w:ascii="Times New Roman" w:eastAsia="Calibri" w:hAnsi="Times New Roman" w:hint="default"/>
                <w:sz w:val="20"/>
                <w:szCs w:val="36"/>
              </w:rPr>
              <w:t>vací</w:t>
            </w:r>
            <w:r w:rsidRPr="0070680D">
              <w:rPr>
                <w:rFonts w:ascii="Times New Roman" w:eastAsia="Calibri" w:hAnsi="Times New Roman" w:hint="default"/>
                <w:sz w:val="20"/>
                <w:szCs w:val="36"/>
              </w:rPr>
              <w:t>mi inš</w:t>
            </w:r>
            <w:r w:rsidRPr="0070680D">
              <w:rPr>
                <w:rFonts w:ascii="Times New Roman" w:eastAsia="Calibri" w:hAnsi="Times New Roman" w:hint="default"/>
                <w:sz w:val="20"/>
                <w:szCs w:val="36"/>
              </w:rPr>
              <w:t>titú</w:t>
            </w:r>
            <w:r w:rsidRPr="0070680D">
              <w:rPr>
                <w:rFonts w:ascii="Times New Roman" w:eastAsia="Calibri" w:hAnsi="Times New Roman" w:hint="default"/>
                <w:sz w:val="20"/>
                <w:szCs w:val="36"/>
              </w:rPr>
              <w:t>ciami na jednotlivé</w:t>
            </w:r>
            <w:r w:rsidRPr="0070680D">
              <w:rPr>
                <w:rFonts w:ascii="Times New Roman" w:eastAsia="Calibri" w:hAnsi="Times New Roman" w:hint="default"/>
                <w:sz w:val="20"/>
                <w:szCs w:val="36"/>
              </w:rPr>
              <w:t xml:space="preserve"> vý</w:t>
            </w:r>
            <w:r w:rsidRPr="0070680D">
              <w:rPr>
                <w:rFonts w:ascii="Times New Roman" w:eastAsia="Calibri" w:hAnsi="Times New Roman" w:hint="default"/>
                <w:sz w:val="20"/>
                <w:szCs w:val="36"/>
              </w:rPr>
              <w:t>davkové</w:t>
            </w:r>
            <w:r w:rsidRPr="0070680D">
              <w:rPr>
                <w:rFonts w:ascii="Times New Roman" w:eastAsia="Calibri" w:hAnsi="Times New Roman" w:hint="default"/>
                <w:sz w:val="20"/>
                <w:szCs w:val="36"/>
              </w:rPr>
              <w:t xml:space="preserve"> kategó</w:t>
            </w:r>
            <w:r w:rsidRPr="0070680D">
              <w:rPr>
                <w:rFonts w:ascii="Times New Roman" w:eastAsia="Calibri" w:hAnsi="Times New Roman" w:hint="default"/>
                <w:sz w:val="20"/>
                <w:szCs w:val="36"/>
              </w:rPr>
              <w:t>rie v </w:t>
            </w:r>
            <w:r w:rsidRPr="0070680D">
              <w:rPr>
                <w:rFonts w:ascii="Times New Roman" w:eastAsia="Calibri" w:hAnsi="Times New Roman" w:hint="default"/>
                <w:sz w:val="20"/>
                <w:szCs w:val="36"/>
              </w:rPr>
              <w:t>rá</w:t>
            </w:r>
            <w:r w:rsidRPr="0070680D">
              <w:rPr>
                <w:rFonts w:ascii="Times New Roman" w:eastAsia="Calibri" w:hAnsi="Times New Roman" w:hint="default"/>
                <w:sz w:val="20"/>
                <w:szCs w:val="36"/>
              </w:rPr>
              <w:t>mci inš</w:t>
            </w:r>
            <w:r w:rsidRPr="0070680D">
              <w:rPr>
                <w:rFonts w:ascii="Times New Roman" w:eastAsia="Calibri" w:hAnsi="Times New Roman" w:hint="default"/>
                <w:sz w:val="20"/>
                <w:szCs w:val="36"/>
              </w:rPr>
              <w:t>titú</w:t>
            </w:r>
            <w:r w:rsidRPr="0070680D">
              <w:rPr>
                <w:rFonts w:ascii="Times New Roman" w:eastAsia="Calibri" w:hAnsi="Times New Roman" w:hint="default"/>
                <w:sz w:val="20"/>
                <w:szCs w:val="36"/>
              </w:rPr>
              <w:t>cií</w:t>
            </w:r>
            <w:r w:rsidRPr="0070680D">
              <w:rPr>
                <w:rFonts w:ascii="Times New Roman" w:eastAsia="Calibri" w:hAnsi="Times New Roman" w:hint="default"/>
                <w:sz w:val="20"/>
                <w:szCs w:val="36"/>
              </w:rPr>
              <w:t xml:space="preserve"> a </w:t>
            </w:r>
            <w:r w:rsidRPr="0070680D">
              <w:rPr>
                <w:rFonts w:ascii="Times New Roman" w:eastAsia="Calibri" w:hAnsi="Times New Roman" w:hint="default"/>
                <w:sz w:val="20"/>
                <w:szCs w:val="36"/>
              </w:rPr>
              <w:t>podľ</w:t>
            </w:r>
            <w:r w:rsidRPr="0070680D">
              <w:rPr>
                <w:rFonts w:ascii="Times New Roman" w:eastAsia="Calibri" w:hAnsi="Times New Roman" w:hint="default"/>
                <w:sz w:val="20"/>
                <w:szCs w:val="36"/>
              </w:rPr>
              <w:t>a ISCED. Vý</w:t>
            </w:r>
            <w:r w:rsidRPr="0070680D">
              <w:rPr>
                <w:rFonts w:ascii="Times New Roman" w:eastAsia="Calibri" w:hAnsi="Times New Roman" w:hint="default"/>
                <w:sz w:val="20"/>
                <w:szCs w:val="36"/>
              </w:rPr>
              <w:t>davkové</w:t>
            </w:r>
            <w:r w:rsidRPr="0070680D">
              <w:rPr>
                <w:rFonts w:ascii="Times New Roman" w:eastAsia="Calibri" w:hAnsi="Times New Roman" w:hint="default"/>
                <w:sz w:val="20"/>
                <w:szCs w:val="36"/>
              </w:rPr>
              <w:t xml:space="preserve"> kategó</w:t>
            </w:r>
            <w:r w:rsidRPr="0070680D">
              <w:rPr>
                <w:rFonts w:ascii="Times New Roman" w:eastAsia="Calibri" w:hAnsi="Times New Roman" w:hint="default"/>
                <w:sz w:val="20"/>
                <w:szCs w:val="36"/>
              </w:rPr>
              <w:t>rie zahŕň</w:t>
            </w:r>
            <w:r w:rsidRPr="0070680D">
              <w:rPr>
                <w:rFonts w:ascii="Times New Roman" w:eastAsia="Calibri" w:hAnsi="Times New Roman" w:hint="default"/>
                <w:sz w:val="20"/>
                <w:szCs w:val="36"/>
              </w:rPr>
              <w:t>ajú</w:t>
            </w:r>
            <w:r w:rsidRPr="0070680D">
              <w:rPr>
                <w:rFonts w:ascii="Times New Roman" w:eastAsia="Calibri" w:hAnsi="Times New Roman" w:hint="default"/>
                <w:sz w:val="20"/>
                <w:szCs w:val="36"/>
              </w:rPr>
              <w:t>:</w:t>
            </w:r>
          </w:p>
          <w:p w:rsidR="00826C5B" w:rsidRPr="0070680D" w:rsidP="0070680D">
            <w:pPr>
              <w:numPr>
                <w:numId w:val="4"/>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sz w:val="20"/>
                <w:szCs w:val="36"/>
              </w:rPr>
              <w:t>v</w:t>
            </w:r>
            <w:r w:rsidRPr="0070680D">
              <w:rPr>
                <w:rFonts w:ascii="Times New Roman" w:eastAsia="Calibri" w:hAnsi="Times New Roman" w:hint="default"/>
                <w:sz w:val="20"/>
                <w:szCs w:val="36"/>
              </w:rPr>
              <w:t>ý</w:t>
            </w:r>
            <w:r w:rsidRPr="0070680D">
              <w:rPr>
                <w:rFonts w:ascii="Times New Roman" w:eastAsia="Calibri" w:hAnsi="Times New Roman" w:hint="default"/>
                <w:sz w:val="20"/>
                <w:szCs w:val="36"/>
              </w:rPr>
              <w:t xml:space="preserve">davky na odmeny zamestnancov </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hrubé</w:t>
            </w:r>
            <w:r w:rsidRPr="0070680D">
              <w:rPr>
                <w:rFonts w:ascii="Times New Roman" w:eastAsia="Calibri" w:hAnsi="Times New Roman" w:hint="default"/>
                <w:sz w:val="20"/>
                <w:szCs w:val="36"/>
              </w:rPr>
              <w:t xml:space="preserve"> mzdy</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vý</w:t>
            </w:r>
            <w:r w:rsidRPr="0070680D">
              <w:rPr>
                <w:rFonts w:ascii="Times New Roman" w:eastAsia="Calibri" w:hAnsi="Times New Roman" w:hint="default"/>
                <w:sz w:val="20"/>
                <w:szCs w:val="36"/>
              </w:rPr>
              <w:t>davky na dô</w:t>
            </w:r>
            <w:r w:rsidRPr="0070680D">
              <w:rPr>
                <w:rFonts w:ascii="Times New Roman" w:eastAsia="Calibri" w:hAnsi="Times New Roman" w:hint="default"/>
                <w:sz w:val="20"/>
                <w:szCs w:val="36"/>
              </w:rPr>
              <w:t>chodkové</w:t>
            </w:r>
            <w:r w:rsidRPr="0070680D">
              <w:rPr>
                <w:rFonts w:ascii="Times New Roman" w:eastAsia="Calibri" w:hAnsi="Times New Roman" w:hint="default"/>
                <w:sz w:val="20"/>
                <w:szCs w:val="36"/>
              </w:rPr>
              <w:t xml:space="preserve"> zabezpeč</w:t>
            </w:r>
            <w:r w:rsidRPr="0070680D">
              <w:rPr>
                <w:rFonts w:ascii="Times New Roman" w:eastAsia="Calibri" w:hAnsi="Times New Roman" w:hint="default"/>
                <w:sz w:val="20"/>
                <w:szCs w:val="36"/>
              </w:rPr>
              <w:t>enie</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iné</w:t>
            </w:r>
            <w:r w:rsidRPr="0070680D">
              <w:rPr>
                <w:rFonts w:ascii="Times New Roman" w:eastAsia="Calibri" w:hAnsi="Times New Roman" w:hint="default"/>
                <w:sz w:val="20"/>
                <w:szCs w:val="36"/>
              </w:rPr>
              <w:t xml:space="preserve"> nemzdové</w:t>
            </w:r>
            <w:r w:rsidRPr="0070680D">
              <w:rPr>
                <w:rFonts w:ascii="Times New Roman" w:eastAsia="Calibri" w:hAnsi="Times New Roman" w:hint="default"/>
                <w:sz w:val="20"/>
                <w:szCs w:val="36"/>
              </w:rPr>
              <w:t xml:space="preserve"> ná</w:t>
            </w:r>
            <w:r w:rsidRPr="0070680D">
              <w:rPr>
                <w:rFonts w:ascii="Times New Roman" w:eastAsia="Calibri" w:hAnsi="Times New Roman" w:hint="default"/>
                <w:sz w:val="20"/>
                <w:szCs w:val="36"/>
              </w:rPr>
              <w:t xml:space="preserve">hrady. </w:t>
            </w:r>
          </w:p>
          <w:p w:rsidR="00826C5B" w:rsidRPr="0070680D" w:rsidP="0070680D">
            <w:pPr>
              <w:numPr>
                <w:numId w:val="4"/>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iné</w:t>
            </w:r>
            <w:r w:rsidRPr="0070680D">
              <w:rPr>
                <w:rFonts w:ascii="Times New Roman" w:eastAsia="Calibri" w:hAnsi="Times New Roman" w:hint="default"/>
                <w:sz w:val="20"/>
                <w:szCs w:val="36"/>
              </w:rPr>
              <w:t xml:space="preserve"> bež</w:t>
            </w:r>
            <w:r w:rsidRPr="0070680D">
              <w:rPr>
                <w:rFonts w:ascii="Times New Roman" w:eastAsia="Calibri" w:hAnsi="Times New Roman" w:hint="default"/>
                <w:sz w:val="20"/>
                <w:szCs w:val="36"/>
              </w:rPr>
              <w:t>né</w:t>
            </w:r>
            <w:r w:rsidRPr="0070680D">
              <w:rPr>
                <w:rFonts w:ascii="Times New Roman" w:eastAsia="Calibri" w:hAnsi="Times New Roman" w:hint="default"/>
                <w:sz w:val="20"/>
                <w:szCs w:val="36"/>
              </w:rPr>
              <w:t xml:space="preserve"> vý</w:t>
            </w:r>
            <w:r w:rsidRPr="0070680D">
              <w:rPr>
                <w:rFonts w:ascii="Times New Roman" w:eastAsia="Calibri" w:hAnsi="Times New Roman" w:hint="default"/>
                <w:sz w:val="20"/>
                <w:szCs w:val="36"/>
              </w:rPr>
              <w:t>davky</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vý</w:t>
            </w:r>
            <w:r w:rsidRPr="0070680D">
              <w:rPr>
                <w:rFonts w:ascii="Times New Roman" w:eastAsia="Calibri" w:hAnsi="Times New Roman" w:hint="default"/>
                <w:sz w:val="20"/>
                <w:szCs w:val="36"/>
              </w:rPr>
              <w:t>davky na zmluvné</w:t>
            </w:r>
            <w:r w:rsidRPr="0070680D">
              <w:rPr>
                <w:rFonts w:ascii="Times New Roman" w:eastAsia="Calibri" w:hAnsi="Times New Roman" w:hint="default"/>
                <w:sz w:val="20"/>
                <w:szCs w:val="36"/>
              </w:rPr>
              <w:t xml:space="preserve"> a nakú</w:t>
            </w:r>
            <w:r w:rsidRPr="0070680D">
              <w:rPr>
                <w:rFonts w:ascii="Times New Roman" w:eastAsia="Calibri" w:hAnsi="Times New Roman" w:hint="default"/>
                <w:sz w:val="20"/>
                <w:szCs w:val="36"/>
              </w:rPr>
              <w:t>pené</w:t>
            </w:r>
            <w:r w:rsidRPr="0070680D">
              <w:rPr>
                <w:rFonts w:ascii="Times New Roman" w:eastAsia="Calibri" w:hAnsi="Times New Roman" w:hint="default"/>
                <w:sz w:val="20"/>
                <w:szCs w:val="36"/>
              </w:rPr>
              <w:t xml:space="preserve"> služ</w:t>
            </w:r>
            <w:r w:rsidRPr="0070680D">
              <w:rPr>
                <w:rFonts w:ascii="Times New Roman" w:eastAsia="Calibri" w:hAnsi="Times New Roman" w:hint="default"/>
                <w:sz w:val="20"/>
                <w:szCs w:val="36"/>
              </w:rPr>
              <w:t xml:space="preserve">by, </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vý</w:t>
            </w:r>
            <w:r w:rsidRPr="0070680D">
              <w:rPr>
                <w:rFonts w:ascii="Times New Roman" w:eastAsia="Calibri" w:hAnsi="Times New Roman" w:hint="default"/>
                <w:sz w:val="20"/>
                <w:szCs w:val="36"/>
              </w:rPr>
              <w:t>davky na ostatné</w:t>
            </w:r>
            <w:r w:rsidRPr="0070680D">
              <w:rPr>
                <w:rFonts w:ascii="Times New Roman" w:eastAsia="Calibri" w:hAnsi="Times New Roman" w:hint="default"/>
                <w:sz w:val="20"/>
                <w:szCs w:val="36"/>
              </w:rPr>
              <w:t xml:space="preserve"> prostriedky, </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pomoc vzdelá</w:t>
            </w:r>
            <w:r w:rsidRPr="0070680D">
              <w:rPr>
                <w:rFonts w:ascii="Times New Roman" w:eastAsia="Calibri" w:hAnsi="Times New Roman" w:hint="default"/>
                <w:sz w:val="20"/>
                <w:szCs w:val="36"/>
              </w:rPr>
              <w:t>vací</w:t>
            </w:r>
            <w:r w:rsidRPr="0070680D">
              <w:rPr>
                <w:rFonts w:ascii="Times New Roman" w:eastAsia="Calibri" w:hAnsi="Times New Roman" w:hint="default"/>
                <w:sz w:val="20"/>
                <w:szCs w:val="36"/>
              </w:rPr>
              <w:t>ch inš</w:t>
            </w:r>
            <w:r w:rsidRPr="0070680D">
              <w:rPr>
                <w:rFonts w:ascii="Times New Roman" w:eastAsia="Calibri" w:hAnsi="Times New Roman" w:hint="default"/>
                <w:sz w:val="20"/>
                <w:szCs w:val="36"/>
              </w:rPr>
              <w:t>titú</w:t>
            </w:r>
            <w:r w:rsidRPr="0070680D">
              <w:rPr>
                <w:rFonts w:ascii="Times New Roman" w:eastAsia="Calibri" w:hAnsi="Times New Roman" w:hint="default"/>
                <w:sz w:val="20"/>
                <w:szCs w:val="36"/>
              </w:rPr>
              <w:t>cií</w:t>
            </w:r>
            <w:r w:rsidRPr="0070680D">
              <w:rPr>
                <w:rFonts w:ascii="Times New Roman" w:eastAsia="Calibri" w:hAnsi="Times New Roman" w:hint="default"/>
                <w:sz w:val="20"/>
                <w:szCs w:val="36"/>
              </w:rPr>
              <w:t xml:space="preserve"> š</w:t>
            </w:r>
            <w:r w:rsidRPr="0070680D">
              <w:rPr>
                <w:rFonts w:ascii="Times New Roman" w:eastAsia="Calibri" w:hAnsi="Times New Roman" w:hint="default"/>
                <w:sz w:val="20"/>
                <w:szCs w:val="36"/>
              </w:rPr>
              <w:t>tudentom,</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iné</w:t>
            </w:r>
            <w:r w:rsidRPr="0070680D">
              <w:rPr>
                <w:rFonts w:ascii="Times New Roman" w:eastAsia="Calibri" w:hAnsi="Times New Roman" w:hint="default"/>
                <w:sz w:val="20"/>
                <w:szCs w:val="36"/>
              </w:rPr>
              <w:t xml:space="preserve"> vyž</w:t>
            </w:r>
            <w:r w:rsidRPr="0070680D">
              <w:rPr>
                <w:rFonts w:ascii="Times New Roman" w:eastAsia="Calibri" w:hAnsi="Times New Roman" w:hint="default"/>
                <w:sz w:val="20"/>
                <w:szCs w:val="36"/>
              </w:rPr>
              <w:t>adované</w:t>
            </w:r>
            <w:r w:rsidRPr="0070680D">
              <w:rPr>
                <w:rFonts w:ascii="Times New Roman" w:eastAsia="Calibri" w:hAnsi="Times New Roman" w:hint="default"/>
                <w:sz w:val="20"/>
                <w:szCs w:val="36"/>
              </w:rPr>
              <w:t xml:space="preserve"> platby.</w:t>
            </w:r>
          </w:p>
          <w:p w:rsidR="00826C5B" w:rsidRPr="0070680D" w:rsidP="0070680D">
            <w:pPr>
              <w:numPr>
                <w:numId w:val="4"/>
              </w:numPr>
              <w:bidi w:val="0"/>
              <w:spacing w:after="0" w:line="276" w:lineRule="auto"/>
              <w:jc w:val="left"/>
              <w:rPr>
                <w:rFonts w:ascii="Times New Roman" w:eastAsia="Calibri" w:hAnsi="Times New Roman"/>
                <w:b/>
                <w:i/>
                <w:sz w:val="20"/>
                <w:szCs w:val="36"/>
              </w:rPr>
            </w:pPr>
            <w:r w:rsidRPr="0070680D">
              <w:rPr>
                <w:rFonts w:ascii="Times New Roman" w:eastAsia="Calibri" w:hAnsi="Times New Roman"/>
                <w:sz w:val="20"/>
                <w:szCs w:val="36"/>
              </w:rPr>
              <w:t>ka</w:t>
            </w:r>
            <w:r w:rsidRPr="0070680D">
              <w:rPr>
                <w:rFonts w:ascii="Times New Roman" w:eastAsia="Calibri" w:hAnsi="Times New Roman" w:hint="default"/>
                <w:sz w:val="20"/>
                <w:szCs w:val="36"/>
              </w:rPr>
              <w:t>pitá</w:t>
            </w:r>
            <w:r w:rsidRPr="0070680D">
              <w:rPr>
                <w:rFonts w:ascii="Times New Roman" w:eastAsia="Calibri" w:hAnsi="Times New Roman" w:hint="default"/>
                <w:sz w:val="20"/>
                <w:szCs w:val="36"/>
              </w:rPr>
              <w:t>lové</w:t>
            </w:r>
            <w:r w:rsidRPr="0070680D">
              <w:rPr>
                <w:rFonts w:ascii="Times New Roman" w:eastAsia="Calibri" w:hAnsi="Times New Roman" w:hint="default"/>
                <w:sz w:val="20"/>
                <w:szCs w:val="36"/>
              </w:rPr>
              <w:t xml:space="preserve"> vý</w:t>
            </w:r>
            <w:r w:rsidRPr="0070680D">
              <w:rPr>
                <w:rFonts w:ascii="Times New Roman" w:eastAsia="Calibri" w:hAnsi="Times New Roman" w:hint="default"/>
                <w:sz w:val="20"/>
                <w:szCs w:val="36"/>
              </w:rPr>
              <w:t>davky (na predmety s dobou ž</w:t>
            </w:r>
            <w:r w:rsidRPr="0070680D">
              <w:rPr>
                <w:rFonts w:ascii="Times New Roman" w:eastAsia="Calibri" w:hAnsi="Times New Roman" w:hint="default"/>
                <w:sz w:val="20"/>
                <w:szCs w:val="36"/>
              </w:rPr>
              <w:t>ivotnosti viac ako 1 rok)</w:t>
            </w:r>
          </w:p>
          <w:p w:rsidR="00826C5B" w:rsidRPr="0070680D" w:rsidP="0070680D">
            <w:pPr>
              <w:numPr>
                <w:numId w:val="5"/>
              </w:numPr>
              <w:bidi w:val="0"/>
              <w:spacing w:after="0" w:line="276" w:lineRule="auto"/>
              <w:jc w:val="left"/>
              <w:rPr>
                <w:rFonts w:ascii="Times New Roman" w:eastAsia="Calibri" w:hAnsi="Times New Roman" w:hint="default"/>
                <w:sz w:val="20"/>
                <w:szCs w:val="36"/>
              </w:rPr>
            </w:pPr>
            <w:r w:rsidRPr="0070680D">
              <w:rPr>
                <w:rFonts w:ascii="Times New Roman" w:eastAsia="Calibri" w:hAnsi="Times New Roman" w:hint="default"/>
                <w:sz w:val="20"/>
                <w:szCs w:val="36"/>
              </w:rPr>
              <w:t>vý</w:t>
            </w:r>
            <w:r w:rsidRPr="0070680D">
              <w:rPr>
                <w:rFonts w:ascii="Times New Roman" w:eastAsia="Calibri" w:hAnsi="Times New Roman" w:hint="default"/>
                <w:sz w:val="20"/>
                <w:szCs w:val="36"/>
              </w:rPr>
              <w:t>davky na vý</w:t>
            </w:r>
            <w:r w:rsidRPr="0070680D">
              <w:rPr>
                <w:rFonts w:ascii="Times New Roman" w:eastAsia="Calibri" w:hAnsi="Times New Roman" w:hint="default"/>
                <w:sz w:val="20"/>
                <w:szCs w:val="36"/>
              </w:rPr>
              <w:t>stavbu, obnovu a veľ</w:t>
            </w:r>
            <w:r w:rsidRPr="0070680D">
              <w:rPr>
                <w:rFonts w:ascii="Times New Roman" w:eastAsia="Calibri" w:hAnsi="Times New Roman" w:hint="default"/>
                <w:sz w:val="20"/>
                <w:szCs w:val="36"/>
              </w:rPr>
              <w:t>ké</w:t>
            </w:r>
            <w:r w:rsidRPr="0070680D">
              <w:rPr>
                <w:rFonts w:ascii="Times New Roman" w:eastAsia="Calibri" w:hAnsi="Times New Roman" w:hint="default"/>
                <w:sz w:val="20"/>
                <w:szCs w:val="36"/>
              </w:rPr>
              <w:t xml:space="preserve"> opravy budov</w:t>
            </w:r>
          </w:p>
          <w:p w:rsidR="00826C5B" w:rsidRPr="0070680D" w:rsidP="0070680D">
            <w:pPr>
              <w:numPr>
                <w:numId w:val="5"/>
              </w:numPr>
              <w:bidi w:val="0"/>
              <w:spacing w:after="0" w:line="276" w:lineRule="auto"/>
              <w:ind w:left="1066" w:hanging="357"/>
              <w:jc w:val="left"/>
              <w:rPr>
                <w:rFonts w:ascii="Times New Roman" w:eastAsia="Calibri" w:hAnsi="Times New Roman"/>
                <w:sz w:val="22"/>
                <w:szCs w:val="24"/>
              </w:rPr>
            </w:pPr>
            <w:r w:rsidRPr="0070680D">
              <w:rPr>
                <w:rFonts w:ascii="Times New Roman" w:eastAsia="Calibri" w:hAnsi="Times New Roman" w:hint="default"/>
                <w:sz w:val="20"/>
                <w:szCs w:val="36"/>
              </w:rPr>
              <w:t>vý</w:t>
            </w:r>
            <w:r w:rsidRPr="0070680D">
              <w:rPr>
                <w:rFonts w:ascii="Times New Roman" w:eastAsia="Calibri" w:hAnsi="Times New Roman" w:hint="default"/>
                <w:sz w:val="20"/>
                <w:szCs w:val="36"/>
              </w:rPr>
              <w:t>davky na ich nové</w:t>
            </w:r>
            <w:r w:rsidRPr="0070680D">
              <w:rPr>
                <w:rFonts w:ascii="Times New Roman" w:eastAsia="Calibri" w:hAnsi="Times New Roman" w:hint="default"/>
                <w:sz w:val="20"/>
                <w:szCs w:val="36"/>
              </w:rPr>
              <w:t xml:space="preserve"> alebo ná</w:t>
            </w:r>
            <w:r w:rsidRPr="0070680D">
              <w:rPr>
                <w:rFonts w:ascii="Times New Roman" w:eastAsia="Calibri" w:hAnsi="Times New Roman" w:hint="default"/>
                <w:sz w:val="20"/>
                <w:szCs w:val="36"/>
              </w:rPr>
              <w:t>hradné</w:t>
            </w:r>
            <w:r w:rsidRPr="0070680D">
              <w:rPr>
                <w:rFonts w:ascii="Times New Roman" w:eastAsia="Calibri" w:hAnsi="Times New Roman" w:hint="default"/>
                <w:sz w:val="20"/>
                <w:szCs w:val="36"/>
              </w:rPr>
              <w:t xml:space="preserve"> zariadenie</w:t>
            </w:r>
          </w:p>
        </w:tc>
      </w:tr>
    </w:tbl>
    <w:p w:rsidR="00826C5B" w:rsidRPr="00451C87" w:rsidP="00826C5B">
      <w:pPr>
        <w:bidi w:val="0"/>
        <w:spacing w:line="276" w:lineRule="auto"/>
        <w:rPr>
          <w:rFonts w:ascii="Times New Roman" w:eastAsia="Calibri" w:hAnsi="Times New Roman"/>
          <w:szCs w:val="24"/>
        </w:rPr>
      </w:pPr>
    </w:p>
    <w:p w:rsidR="00451C87" w:rsidRPr="00451C87" w:rsidP="00DF0A1C">
      <w:pPr>
        <w:pStyle w:val="Heading3"/>
        <w:bidi w:val="0"/>
        <w:ind w:left="567" w:hanging="567"/>
        <w:rPr>
          <w:rFonts w:ascii="Times New Roman" w:hAnsi="Times New Roman"/>
        </w:rPr>
      </w:pPr>
      <w:bookmarkStart w:id="38" w:name="_Toc351637412"/>
      <w:r w:rsidR="00456F3B">
        <w:rPr>
          <w:rFonts w:ascii="Times New Roman" w:hAnsi="Times New Roman"/>
        </w:rPr>
        <w:t xml:space="preserve">Údaje </w:t>
      </w:r>
      <w:r w:rsidRPr="00451C87">
        <w:rPr>
          <w:rFonts w:ascii="Times New Roman" w:hAnsi="Times New Roman"/>
        </w:rPr>
        <w:t>za SR</w:t>
      </w:r>
      <w:bookmarkEnd w:id="38"/>
    </w:p>
    <w:p w:rsidR="00A02C69" w:rsidP="00A02C69">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00B47B6F">
        <w:rPr>
          <w:rFonts w:ascii="Times New Roman" w:hAnsi="Times New Roman"/>
          <w:szCs w:val="24"/>
        </w:rPr>
        <w:t>Nasledujúca tabuľka uvádza základné členenie výdavkov na vzdelávanie pre SR. Potrebné je zdôra</w:t>
      </w:r>
      <w:r>
        <w:rPr>
          <w:rFonts w:ascii="Times New Roman" w:hAnsi="Times New Roman"/>
          <w:szCs w:val="24"/>
        </w:rPr>
        <w:t>z</w:t>
      </w:r>
      <w:r w:rsidR="00B47B6F">
        <w:rPr>
          <w:rFonts w:ascii="Times New Roman" w:hAnsi="Times New Roman"/>
          <w:szCs w:val="24"/>
        </w:rPr>
        <w:t>niť, že od roku 2010 došlo k metodickej zmene vykazovania údajov zo štrukt</w:t>
      </w:r>
      <w:r>
        <w:rPr>
          <w:rFonts w:ascii="Times New Roman" w:hAnsi="Times New Roman"/>
          <w:szCs w:val="24"/>
        </w:rPr>
        <w:t xml:space="preserve">urálnych </w:t>
      </w:r>
      <w:r w:rsidR="00B47B6F">
        <w:rPr>
          <w:rFonts w:ascii="Times New Roman" w:hAnsi="Times New Roman"/>
          <w:szCs w:val="24"/>
        </w:rPr>
        <w:t>fondov EÚ</w:t>
      </w:r>
      <w:r>
        <w:rPr>
          <w:rFonts w:ascii="Times New Roman" w:hAnsi="Times New Roman"/>
          <w:szCs w:val="24"/>
        </w:rPr>
        <w:t>. Do roku 2010</w:t>
      </w:r>
      <w:r w:rsidRPr="00A02C69">
        <w:rPr>
          <w:rFonts w:ascii="Times New Roman" w:hAnsi="Times New Roman"/>
          <w:szCs w:val="24"/>
        </w:rPr>
        <w:t xml:space="preserve"> </w:t>
      </w:r>
      <w:r>
        <w:rPr>
          <w:rFonts w:ascii="Times New Roman" w:hAnsi="Times New Roman"/>
          <w:szCs w:val="24"/>
        </w:rPr>
        <w:t>boli vykazované v rámci zdrojov zo zahraničia</w:t>
      </w:r>
      <w:r w:rsidR="00B47B6F">
        <w:rPr>
          <w:rFonts w:ascii="Times New Roman" w:hAnsi="Times New Roman"/>
          <w:szCs w:val="24"/>
        </w:rPr>
        <w:t xml:space="preserve">, od roku </w:t>
      </w:r>
      <w:r>
        <w:rPr>
          <w:rFonts w:ascii="Times New Roman" w:hAnsi="Times New Roman"/>
          <w:szCs w:val="24"/>
        </w:rPr>
        <w:t xml:space="preserve">2010 </w:t>
      </w:r>
      <w:r w:rsidR="00B47B6F">
        <w:rPr>
          <w:rFonts w:ascii="Times New Roman" w:hAnsi="Times New Roman"/>
          <w:szCs w:val="24"/>
        </w:rPr>
        <w:t>sú vykazované ako priame verejné výdavky.</w:t>
      </w:r>
      <w:r w:rsidRPr="00A02C69">
        <w:rPr>
          <w:rFonts w:ascii="Times New Roman" w:hAnsi="Times New Roman"/>
          <w:szCs w:val="24"/>
        </w:rPr>
        <w:t xml:space="preserve"> </w:t>
      </w:r>
    </w:p>
    <w:p w:rsidR="005746C5" w:rsidP="005746C5">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00A02C69">
        <w:rPr>
          <w:rFonts w:ascii="Times New Roman" w:hAnsi="Times New Roman"/>
          <w:szCs w:val="24"/>
        </w:rPr>
        <w:t xml:space="preserve">Výdavky na vzdelávacie </w:t>
      </w:r>
      <w:r w:rsidR="00831660">
        <w:rPr>
          <w:rFonts w:ascii="Times New Roman" w:hAnsi="Times New Roman"/>
          <w:szCs w:val="24"/>
        </w:rPr>
        <w:t>inštitúcie</w:t>
      </w:r>
      <w:r w:rsidR="00A02C69">
        <w:rPr>
          <w:rFonts w:ascii="Times New Roman" w:hAnsi="Times New Roman"/>
          <w:szCs w:val="24"/>
        </w:rPr>
        <w:t xml:space="preserve"> zo zahraničia a </w:t>
      </w:r>
      <w:r w:rsidR="00831660">
        <w:rPr>
          <w:rFonts w:ascii="Times New Roman" w:hAnsi="Times New Roman"/>
          <w:szCs w:val="24"/>
        </w:rPr>
        <w:t>súkromné</w:t>
      </w:r>
      <w:r w:rsidR="00A02C69">
        <w:rPr>
          <w:rFonts w:ascii="Times New Roman" w:hAnsi="Times New Roman"/>
          <w:szCs w:val="24"/>
        </w:rPr>
        <w:t xml:space="preserve"> výdavky na vzdelávacie inštitúcie zahŕňajú v prípade Slovenska len výdavky na verejné inštitúcie. V prípade </w:t>
      </w:r>
      <w:r w:rsidRPr="00451C87" w:rsidR="00A02C69">
        <w:rPr>
          <w:rFonts w:ascii="Times New Roman" w:hAnsi="Times New Roman"/>
          <w:szCs w:val="24"/>
        </w:rPr>
        <w:t>súkromné</w:t>
      </w:r>
      <w:r w:rsidR="00A02C69">
        <w:rPr>
          <w:rFonts w:ascii="Times New Roman" w:hAnsi="Times New Roman"/>
          <w:szCs w:val="24"/>
        </w:rPr>
        <w:t>ho</w:t>
      </w:r>
      <w:r w:rsidRPr="00451C87" w:rsidR="00A02C69">
        <w:rPr>
          <w:rFonts w:ascii="Times New Roman" w:hAnsi="Times New Roman"/>
          <w:szCs w:val="24"/>
        </w:rPr>
        <w:t xml:space="preserve"> školstv</w:t>
      </w:r>
      <w:r w:rsidR="00A02C69">
        <w:rPr>
          <w:rFonts w:ascii="Times New Roman" w:hAnsi="Times New Roman"/>
          <w:szCs w:val="24"/>
        </w:rPr>
        <w:t>a</w:t>
      </w:r>
      <w:r w:rsidRPr="00451C87" w:rsidR="00A02C69">
        <w:rPr>
          <w:rFonts w:ascii="Times New Roman" w:hAnsi="Times New Roman"/>
          <w:szCs w:val="24"/>
        </w:rPr>
        <w:t xml:space="preserve"> od predškolskej výchovy až po vyššie stredné vzdelávanie </w:t>
      </w:r>
      <w:r w:rsidR="00A02C69">
        <w:rPr>
          <w:rFonts w:ascii="Times New Roman" w:hAnsi="Times New Roman"/>
          <w:szCs w:val="24"/>
        </w:rPr>
        <w:t xml:space="preserve">sú </w:t>
      </w:r>
      <w:r w:rsidRPr="00451C87" w:rsidR="00A02C69">
        <w:rPr>
          <w:rFonts w:ascii="Times New Roman" w:hAnsi="Times New Roman"/>
          <w:szCs w:val="24"/>
        </w:rPr>
        <w:t xml:space="preserve">zahrnuté len financie poskytované z verejných zdrojov. </w:t>
      </w:r>
      <w:r w:rsidR="00A02C69">
        <w:rPr>
          <w:rFonts w:ascii="Times New Roman" w:hAnsi="Times New Roman"/>
          <w:szCs w:val="24"/>
        </w:rPr>
        <w:t>V prípade</w:t>
      </w:r>
      <w:r w:rsidRPr="00451C87" w:rsidR="00A02C69">
        <w:rPr>
          <w:rFonts w:ascii="Times New Roman" w:hAnsi="Times New Roman"/>
          <w:szCs w:val="24"/>
        </w:rPr>
        <w:t xml:space="preserve"> súkromných vysokých školách nie sú vyčíslené žiadne </w:t>
      </w:r>
      <w:r w:rsidR="00A02C69">
        <w:rPr>
          <w:rFonts w:ascii="Times New Roman" w:hAnsi="Times New Roman"/>
          <w:szCs w:val="24"/>
        </w:rPr>
        <w:t>výdavky</w:t>
      </w:r>
      <w:r w:rsidRPr="00451C87" w:rsidR="00A02C69">
        <w:rPr>
          <w:rFonts w:ascii="Times New Roman" w:hAnsi="Times New Roman"/>
          <w:szCs w:val="24"/>
        </w:rPr>
        <w:t>. Absencia týchto údajov je dôsledkom nedostupnosti takýchto údajov nakoľko súkromné inštitúcie nie sú v tejto oblasti viazané povinnosťou ich vykazovať.</w:t>
      </w:r>
    </w:p>
    <w:p w:rsidR="00DF0A1C" w:rsidP="00DF0A1C">
      <w:pPr>
        <w:pStyle w:val="ListParagraph"/>
        <w:autoSpaceDE w:val="0"/>
        <w:autoSpaceDN w:val="0"/>
        <w:bidi w:val="0"/>
        <w:adjustRightInd w:val="0"/>
        <w:spacing w:line="240" w:lineRule="atLeast"/>
        <w:contextualSpacing w:val="0"/>
        <w:rPr>
          <w:rFonts w:ascii="Times New Roman" w:hAnsi="Times New Roman"/>
          <w:szCs w:val="24"/>
        </w:rPr>
      </w:pPr>
    </w:p>
    <w:p w:rsidR="00DF0A1C" w:rsidRPr="00DF0A1C" w:rsidP="00DF0A1C">
      <w:pPr>
        <w:pStyle w:val="ListParagraph"/>
        <w:autoSpaceDE w:val="0"/>
        <w:autoSpaceDN w:val="0"/>
        <w:bidi w:val="0"/>
        <w:adjustRightInd w:val="0"/>
        <w:spacing w:line="240" w:lineRule="atLeast"/>
        <w:contextualSpacing w:val="0"/>
        <w:rPr>
          <w:rFonts w:ascii="Times New Roman" w:hAnsi="Times New Roman"/>
          <w:szCs w:val="24"/>
        </w:rPr>
      </w:pPr>
    </w:p>
    <w:p w:rsidR="005746C5" w:rsidRPr="00451C87" w:rsidP="005746C5">
      <w:pPr>
        <w:pStyle w:val="ListParagraph"/>
        <w:autoSpaceDE w:val="0"/>
        <w:autoSpaceDN w:val="0"/>
        <w:bidi w:val="0"/>
        <w:adjustRightInd w:val="0"/>
        <w:spacing w:line="240" w:lineRule="atLeast"/>
        <w:ind w:left="0"/>
        <w:contextualSpacing w:val="0"/>
        <w:rPr>
          <w:rFonts w:ascii="Times New Roman" w:hAnsi="Times New Roman"/>
          <w:szCs w:val="24"/>
        </w:rPr>
      </w:pPr>
    </w:p>
    <w:p w:rsidR="00FD4674" w:rsidP="00FD4674">
      <w:pPr>
        <w:pStyle w:val="Caption"/>
        <w:bidi w:val="0"/>
        <w:spacing w:before="120" w:after="120"/>
        <w:rPr>
          <w:rFonts w:ascii="Times New Roman" w:hAnsi="Times New Roman"/>
        </w:rPr>
      </w:pPr>
      <w:bookmarkStart w:id="39" w:name="_Toc351635237"/>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2</w:t>
      </w:r>
      <w:r>
        <w:rPr>
          <w:rFonts w:ascii="Times New Roman" w:hAnsi="Times New Roman"/>
        </w:rPr>
        <w:fldChar w:fldCharType="end"/>
      </w:r>
      <w:r>
        <w:rPr>
          <w:rFonts w:ascii="Times New Roman" w:hAnsi="Times New Roman"/>
        </w:rPr>
        <w:t xml:space="preserve"> Vývoj výdavkov</w:t>
      </w:r>
      <w:r w:rsidRPr="005641B8">
        <w:rPr>
          <w:rFonts w:ascii="Times New Roman" w:hAnsi="Times New Roman"/>
        </w:rPr>
        <w:t xml:space="preserve"> na vzdelávanie</w:t>
      </w:r>
      <w:r>
        <w:rPr>
          <w:rFonts w:ascii="Times New Roman" w:hAnsi="Times New Roman"/>
        </w:rPr>
        <w:t xml:space="preserve"> v SR (% HDP)</w:t>
      </w:r>
      <w:bookmarkEnd w:id="39"/>
    </w:p>
    <w:tbl>
      <w:tblPr>
        <w:tblStyle w:val="TableNormal"/>
        <w:tblW w:w="5000" w:type="pct"/>
        <w:tblCellMar>
          <w:left w:w="70" w:type="dxa"/>
          <w:right w:w="70" w:type="dxa"/>
        </w:tblCellMar>
        <w:tblLook w:val="04A0"/>
      </w:tblPr>
      <w:tblGrid>
        <w:gridCol w:w="4646"/>
        <w:gridCol w:w="652"/>
        <w:gridCol w:w="652"/>
        <w:gridCol w:w="652"/>
        <w:gridCol w:w="652"/>
        <w:gridCol w:w="652"/>
        <w:gridCol w:w="652"/>
        <w:gridCol w:w="654"/>
      </w:tblGrid>
      <w:tr>
        <w:tblPrEx>
          <w:tblW w:w="5000" w:type="pct"/>
          <w:tblCellMar>
            <w:left w:w="70" w:type="dxa"/>
            <w:right w:w="70" w:type="dxa"/>
          </w:tblCellMar>
          <w:tblLook w:val="04A0"/>
        </w:tblPrEx>
        <w:trPr>
          <w:trHeight w:val="300"/>
        </w:trPr>
        <w:tc>
          <w:tcPr>
            <w:tcW w:w="2521" w:type="pct"/>
            <w:tcBorders>
              <w:top w:val="single" w:sz="4" w:space="0" w:color="auto"/>
              <w:left w:val="single" w:sz="4" w:space="0" w:color="auto"/>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 </w:t>
            </w:r>
          </w:p>
        </w:tc>
        <w:tc>
          <w:tcPr>
            <w:tcW w:w="354" w:type="pct"/>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2004</w:t>
            </w:r>
          </w:p>
        </w:tc>
        <w:tc>
          <w:tcPr>
            <w:tcW w:w="354" w:type="pct"/>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2005</w:t>
            </w:r>
          </w:p>
        </w:tc>
        <w:tc>
          <w:tcPr>
            <w:tcW w:w="354" w:type="pct"/>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2006</w:t>
            </w:r>
          </w:p>
        </w:tc>
        <w:tc>
          <w:tcPr>
            <w:tcW w:w="354" w:type="pct"/>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2007</w:t>
            </w:r>
          </w:p>
        </w:tc>
        <w:tc>
          <w:tcPr>
            <w:tcW w:w="354" w:type="pct"/>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2008</w:t>
            </w:r>
          </w:p>
        </w:tc>
        <w:tc>
          <w:tcPr>
            <w:tcW w:w="354" w:type="pct"/>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2009</w:t>
            </w:r>
          </w:p>
        </w:tc>
        <w:tc>
          <w:tcPr>
            <w:tcW w:w="356" w:type="pct"/>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FD4674" w:rsidRPr="00FD4674" w:rsidP="00FD4674">
            <w:pPr>
              <w:bidi w:val="0"/>
              <w:spacing w:after="0"/>
              <w:jc w:val="center"/>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2010</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 xml:space="preserve">Celkové výdavky na </w:t>
            </w:r>
            <w:r w:rsidRPr="00FD4674" w:rsidR="00831660">
              <w:rPr>
                <w:rFonts w:ascii="Times New Roman" w:hAnsi="Times New Roman"/>
                <w:b/>
                <w:bCs/>
                <w:color w:val="000000"/>
                <w:sz w:val="18"/>
                <w:szCs w:val="18"/>
                <w:lang w:eastAsia="sk-SK"/>
              </w:rPr>
              <w:t>vzdelávacie</w:t>
            </w:r>
            <w:r w:rsidRPr="00FD4674">
              <w:rPr>
                <w:rFonts w:ascii="Times New Roman" w:hAnsi="Times New Roman"/>
                <w:b/>
                <w:bCs/>
                <w:color w:val="000000"/>
                <w:sz w:val="18"/>
                <w:szCs w:val="18"/>
                <w:lang w:eastAsia="sk-SK"/>
              </w:rPr>
              <w:t xml:space="preserve"> inštitúcie</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4,74</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4,39</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4,34</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3,96</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4,07</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4,75</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4,80</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ind w:firstLine="180" w:firstLineChars="100"/>
              <w:jc w:val="left"/>
              <w:rPr>
                <w:rFonts w:ascii="Times New Roman" w:hAnsi="Times New Roman"/>
                <w:color w:val="000000"/>
                <w:sz w:val="18"/>
                <w:szCs w:val="18"/>
                <w:lang w:eastAsia="sk-SK"/>
              </w:rPr>
            </w:pPr>
            <w:r w:rsidRPr="00FD4674">
              <w:rPr>
                <w:rFonts w:ascii="Times New Roman" w:hAnsi="Times New Roman"/>
                <w:color w:val="000000"/>
                <w:sz w:val="18"/>
                <w:szCs w:val="18"/>
                <w:lang w:eastAsia="sk-SK"/>
              </w:rPr>
              <w:t>Priame verejné výdavky na vzdelávacie inštitúcie</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3,97</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3,66</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3,67</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3,34</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3,30</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3,74</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4,24</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ind w:firstLine="180" w:firstLineChars="100"/>
              <w:jc w:val="left"/>
              <w:rPr>
                <w:rFonts w:ascii="Times New Roman" w:hAnsi="Times New Roman"/>
                <w:color w:val="000000"/>
                <w:sz w:val="18"/>
                <w:szCs w:val="18"/>
                <w:lang w:eastAsia="sk-SK"/>
              </w:rPr>
            </w:pPr>
            <w:r w:rsidRPr="00FD4674">
              <w:rPr>
                <w:rFonts w:ascii="Times New Roman" w:hAnsi="Times New Roman"/>
                <w:color w:val="000000"/>
                <w:sz w:val="18"/>
                <w:szCs w:val="18"/>
                <w:lang w:eastAsia="sk-SK"/>
              </w:rPr>
              <w:t>Výdavky na vzdelávacie inštitúcie zo zahraničia</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0,02</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0,03</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0,05</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0,08</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0,07</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0,30</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0,02</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ind w:firstLine="180" w:firstLineChars="100"/>
              <w:jc w:val="left"/>
              <w:rPr>
                <w:rFonts w:ascii="Times New Roman" w:hAnsi="Times New Roman"/>
                <w:color w:val="000000"/>
                <w:sz w:val="18"/>
                <w:szCs w:val="18"/>
                <w:lang w:eastAsia="sk-SK"/>
              </w:rPr>
            </w:pPr>
            <w:r w:rsidRPr="00FD4674">
              <w:rPr>
                <w:rFonts w:ascii="Times New Roman" w:hAnsi="Times New Roman"/>
                <w:color w:val="000000"/>
                <w:sz w:val="18"/>
                <w:szCs w:val="18"/>
                <w:lang w:eastAsia="sk-SK"/>
              </w:rPr>
              <w:t>Celkové súkromné výdavky na vzdelávacie inštitúcie</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0,75</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0,70</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0,62</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0,53</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0,70</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0,72</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0,54</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22"/>
                <w:szCs w:val="22"/>
                <w:lang w:eastAsia="sk-SK"/>
              </w:rPr>
            </w:pPr>
            <w:r w:rsidRPr="00FD4674">
              <w:rPr>
                <w:rFonts w:ascii="Times New Roman" w:hAnsi="Times New Roman"/>
                <w:color w:val="000000"/>
                <w:sz w:val="22"/>
                <w:szCs w:val="22"/>
                <w:lang w:eastAsia="sk-SK"/>
              </w:rPr>
              <w:t> </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lef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Celkové verejné výdavky na vzdelávanie</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4,19</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3,85</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3,88</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3,62</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3,61</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4,09</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b/>
                <w:bCs/>
                <w:color w:val="000000"/>
                <w:sz w:val="18"/>
                <w:szCs w:val="18"/>
                <w:lang w:eastAsia="sk-SK"/>
              </w:rPr>
            </w:pPr>
            <w:r w:rsidRPr="00FD4674">
              <w:rPr>
                <w:rFonts w:ascii="Times New Roman" w:hAnsi="Times New Roman"/>
                <w:b/>
                <w:bCs/>
                <w:color w:val="000000"/>
                <w:sz w:val="18"/>
                <w:szCs w:val="18"/>
                <w:lang w:eastAsia="sk-SK"/>
              </w:rPr>
              <w:t>4,59</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ind w:firstLine="180" w:firstLineChars="100"/>
              <w:jc w:val="left"/>
              <w:rPr>
                <w:rFonts w:ascii="Times New Roman" w:hAnsi="Times New Roman"/>
                <w:color w:val="000000"/>
                <w:sz w:val="18"/>
                <w:szCs w:val="18"/>
                <w:lang w:eastAsia="sk-SK"/>
              </w:rPr>
            </w:pPr>
            <w:r w:rsidRPr="00FD4674">
              <w:rPr>
                <w:rFonts w:ascii="Times New Roman" w:hAnsi="Times New Roman"/>
                <w:color w:val="000000"/>
                <w:sz w:val="18"/>
                <w:szCs w:val="18"/>
                <w:lang w:eastAsia="sk-SK"/>
              </w:rPr>
              <w:t>Priame verejné výdavky na vzdelávacie inštitúcie</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3,97</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3,66</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3,67</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3,34</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3,30</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3,74</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4,24</w:t>
            </w:r>
          </w:p>
        </w:tc>
      </w:tr>
      <w:tr>
        <w:tblPrEx>
          <w:tblW w:w="5000" w:type="pct"/>
          <w:tblCellMar>
            <w:left w:w="70" w:type="dxa"/>
            <w:right w:w="70" w:type="dxa"/>
          </w:tblCellMar>
          <w:tblLook w:val="04A0"/>
        </w:tblPrEx>
        <w:trPr>
          <w:trHeight w:val="300"/>
        </w:trPr>
        <w:tc>
          <w:tcPr>
            <w:tcW w:w="252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ind w:firstLine="180" w:firstLineChars="100"/>
              <w:jc w:val="left"/>
              <w:rPr>
                <w:rFonts w:ascii="Times New Roman" w:hAnsi="Times New Roman"/>
                <w:color w:val="000000"/>
                <w:sz w:val="18"/>
                <w:szCs w:val="18"/>
                <w:lang w:eastAsia="sk-SK"/>
              </w:rPr>
            </w:pPr>
            <w:r w:rsidRPr="00FD4674">
              <w:rPr>
                <w:rFonts w:ascii="Times New Roman" w:hAnsi="Times New Roman"/>
                <w:color w:val="000000"/>
                <w:sz w:val="18"/>
                <w:szCs w:val="18"/>
                <w:lang w:eastAsia="sk-SK"/>
              </w:rPr>
              <w:t>Celkové verejné transfery súkromnému sektoru</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0,22</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0,19</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0,21</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0,28</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0,31</w:t>
            </w:r>
          </w:p>
        </w:tc>
        <w:tc>
          <w:tcPr>
            <w:tcW w:w="354"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0,35</w:t>
            </w:r>
          </w:p>
        </w:tc>
        <w:tc>
          <w:tcPr>
            <w:tcW w:w="356" w:type="pct"/>
            <w:tcBorders>
              <w:top w:val="nil"/>
              <w:left w:val="nil"/>
              <w:bottom w:val="single" w:sz="4" w:space="0" w:color="auto"/>
              <w:right w:val="single" w:sz="4" w:space="0" w:color="auto"/>
            </w:tcBorders>
            <w:shd w:val="clear" w:color="000000" w:fill="FFFFFF"/>
            <w:noWrap/>
            <w:textDirection w:val="lrTb"/>
            <w:vAlign w:val="center"/>
            <w:hideMark/>
          </w:tcPr>
          <w:p w:rsidR="00FD4674" w:rsidRPr="00FD4674" w:rsidP="00FD4674">
            <w:pPr>
              <w:bidi w:val="0"/>
              <w:spacing w:after="0"/>
              <w:jc w:val="right"/>
              <w:rPr>
                <w:rFonts w:ascii="Times New Roman" w:hAnsi="Times New Roman"/>
                <w:color w:val="000000"/>
                <w:sz w:val="18"/>
                <w:szCs w:val="18"/>
                <w:lang w:eastAsia="sk-SK"/>
              </w:rPr>
            </w:pPr>
            <w:r w:rsidRPr="00FD4674">
              <w:rPr>
                <w:rFonts w:ascii="Times New Roman" w:hAnsi="Times New Roman"/>
                <w:color w:val="000000"/>
                <w:sz w:val="18"/>
                <w:szCs w:val="18"/>
                <w:lang w:eastAsia="sk-SK"/>
              </w:rPr>
              <w:t>0,35</w:t>
            </w:r>
          </w:p>
        </w:tc>
      </w:tr>
      <w:tr>
        <w:tblPrEx>
          <w:tblW w:w="5000" w:type="pct"/>
          <w:tblCellMar>
            <w:left w:w="70" w:type="dxa"/>
            <w:right w:w="70" w:type="dxa"/>
          </w:tblCellMar>
          <w:tblLook w:val="04A0"/>
        </w:tblPrEx>
        <w:trPr>
          <w:trHeight w:val="300"/>
        </w:trPr>
        <w:tc>
          <w:tcPr>
            <w:tcW w:w="5000" w:type="pct"/>
            <w:gridSpan w:val="8"/>
            <w:tcBorders>
              <w:top w:val="single" w:sz="4" w:space="0" w:color="auto"/>
              <w:left w:val="nil"/>
              <w:bottom w:val="nil"/>
              <w:right w:val="nil"/>
            </w:tcBorders>
            <w:shd w:val="clear" w:color="000000" w:fill="FFFFFF"/>
            <w:noWrap/>
            <w:textDirection w:val="lrTb"/>
            <w:vAlign w:val="center"/>
            <w:hideMark/>
          </w:tcPr>
          <w:p w:rsidR="00FD4674" w:rsidRPr="00FD4674" w:rsidP="00FD4674">
            <w:pPr>
              <w:bidi w:val="0"/>
              <w:spacing w:after="0"/>
              <w:jc w:val="left"/>
              <w:rPr>
                <w:rFonts w:ascii="Times New Roman" w:hAnsi="Times New Roman"/>
                <w:color w:val="000000"/>
                <w:sz w:val="16"/>
                <w:szCs w:val="16"/>
                <w:lang w:eastAsia="sk-SK"/>
              </w:rPr>
            </w:pPr>
            <w:r w:rsidRPr="00FD4674">
              <w:rPr>
                <w:rFonts w:ascii="Times New Roman" w:hAnsi="Times New Roman"/>
                <w:color w:val="000000"/>
                <w:sz w:val="16"/>
                <w:szCs w:val="16"/>
                <w:lang w:eastAsia="sk-SK"/>
              </w:rPr>
              <w:t>Zdroj: ÚIPŠ</w:t>
            </w:r>
          </w:p>
        </w:tc>
      </w:tr>
    </w:tbl>
    <w:p w:rsidR="00FD4674" w:rsidP="00FD4674">
      <w:pPr>
        <w:pStyle w:val="ListParagraph"/>
        <w:autoSpaceDE w:val="0"/>
        <w:autoSpaceDN w:val="0"/>
        <w:bidi w:val="0"/>
        <w:adjustRightInd w:val="0"/>
        <w:spacing w:line="240" w:lineRule="atLeast"/>
        <w:ind w:left="0"/>
        <w:contextualSpacing w:val="0"/>
        <w:rPr>
          <w:rFonts w:ascii="Times New Roman" w:hAnsi="Times New Roman"/>
          <w:szCs w:val="24"/>
        </w:rPr>
      </w:pPr>
    </w:p>
    <w:p w:rsidR="00451C87" w:rsidRPr="00456F3B" w:rsidP="00DF0A1C">
      <w:pPr>
        <w:pStyle w:val="Heading3"/>
        <w:bidi w:val="0"/>
        <w:ind w:left="567" w:hanging="567"/>
        <w:rPr>
          <w:rFonts w:ascii="Times New Roman" w:hAnsi="Times New Roman"/>
        </w:rPr>
      </w:pPr>
      <w:bookmarkStart w:id="40" w:name="_Toc351637413"/>
      <w:r w:rsidRPr="00456F3B">
        <w:rPr>
          <w:rFonts w:ascii="Times New Roman" w:hAnsi="Times New Roman"/>
        </w:rPr>
        <w:t>Medzinárodné porovnanie výdavkov</w:t>
      </w:r>
      <w:bookmarkEnd w:id="40"/>
    </w:p>
    <w:p w:rsidR="00451C87" w:rsidRPr="00451C87" w:rsidP="00DF0A1C">
      <w:pPr>
        <w:pStyle w:val="Heading4"/>
        <w:bidi w:val="0"/>
        <w:ind w:left="851" w:hanging="851"/>
        <w:rPr>
          <w:rFonts w:ascii="Times New Roman" w:hAnsi="Times New Roman"/>
        </w:rPr>
      </w:pPr>
      <w:bookmarkStart w:id="41" w:name="_Toc351637414"/>
      <w:r w:rsidRPr="00451C87">
        <w:rPr>
          <w:rFonts w:ascii="Times New Roman" w:hAnsi="Times New Roman"/>
        </w:rPr>
        <w:t>Celkové výdavky na vzdelávacie inštitúcie</w:t>
      </w:r>
      <w:bookmarkEnd w:id="41"/>
    </w:p>
    <w:p w:rsidR="00451C87" w:rsidP="00A02C69">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00A02C69">
        <w:rPr>
          <w:rFonts w:ascii="Times New Roman" w:hAnsi="Times New Roman"/>
          <w:szCs w:val="24"/>
        </w:rPr>
        <w:t>Celkové v</w:t>
      </w:r>
      <w:r w:rsidRPr="00451C87">
        <w:rPr>
          <w:rFonts w:ascii="Times New Roman" w:hAnsi="Times New Roman"/>
          <w:szCs w:val="24"/>
        </w:rPr>
        <w:t xml:space="preserve">ýdavky na </w:t>
      </w:r>
      <w:r w:rsidR="00A02C69">
        <w:rPr>
          <w:rFonts w:ascii="Times New Roman" w:hAnsi="Times New Roman"/>
          <w:szCs w:val="24"/>
        </w:rPr>
        <w:t>vzdelávacie inštitúcie</w:t>
      </w:r>
      <w:r w:rsidRPr="00451C87">
        <w:rPr>
          <w:rFonts w:ascii="Times New Roman" w:hAnsi="Times New Roman"/>
          <w:szCs w:val="24"/>
        </w:rPr>
        <w:t xml:space="preserve"> v roku 2009 v Slovenskej republike predstavovali objem rovnajúci sa 4,7</w:t>
      </w:r>
      <w:r w:rsidR="00A02C69">
        <w:rPr>
          <w:rFonts w:ascii="Times New Roman" w:hAnsi="Times New Roman"/>
          <w:szCs w:val="24"/>
        </w:rPr>
        <w:t>5</w:t>
      </w:r>
      <w:r w:rsidRPr="00451C87">
        <w:rPr>
          <w:rFonts w:ascii="Times New Roman" w:hAnsi="Times New Roman"/>
          <w:szCs w:val="24"/>
        </w:rPr>
        <w:t xml:space="preserve"> % HDP. Priemer krajín OECD bol 6,2 % HDP a EÚ21 5,9 % HDP. </w:t>
      </w:r>
    </w:p>
    <w:p w:rsidR="00553B94" w:rsidP="00553B94">
      <w:pPr>
        <w:pStyle w:val="Caption"/>
        <w:bidi w:val="0"/>
        <w:spacing w:before="120" w:after="120"/>
        <w:ind w:left="1560"/>
        <w:rPr>
          <w:rFonts w:ascii="Times New Roman" w:hAnsi="Times New Roman"/>
        </w:rPr>
      </w:pPr>
      <w:bookmarkStart w:id="42" w:name="_Toc351635238"/>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3</w:t>
      </w:r>
      <w:r>
        <w:rPr>
          <w:rFonts w:ascii="Times New Roman" w:hAnsi="Times New Roman"/>
        </w:rPr>
        <w:fldChar w:fldCharType="end"/>
      </w:r>
      <w:r>
        <w:rPr>
          <w:rFonts w:ascii="Times New Roman" w:hAnsi="Times New Roman"/>
        </w:rPr>
        <w:t xml:space="preserve"> </w:t>
      </w:r>
      <w:r w:rsidRPr="000B04FD" w:rsidR="000B04FD">
        <w:rPr>
          <w:rFonts w:ascii="Times New Roman" w:hAnsi="Times New Roman"/>
        </w:rPr>
        <w:t>Výdavky na vzdelávacie inštitúcie podľa stupňa vzdelávania (2009, % HDP)</w:t>
      </w:r>
      <w:bookmarkEnd w:id="42"/>
    </w:p>
    <w:tbl>
      <w:tblPr>
        <w:tblStyle w:val="TableNormal"/>
        <w:tblW w:w="5971" w:type="dxa"/>
        <w:jc w:val="center"/>
        <w:tblInd w:w="-445" w:type="dxa"/>
        <w:tblCellMar>
          <w:left w:w="70" w:type="dxa"/>
          <w:right w:w="70" w:type="dxa"/>
        </w:tblCellMar>
        <w:tblLook w:val="04A0"/>
      </w:tblPr>
      <w:tblGrid>
        <w:gridCol w:w="1506"/>
        <w:gridCol w:w="1174"/>
        <w:gridCol w:w="1055"/>
        <w:gridCol w:w="1396"/>
        <w:gridCol w:w="840"/>
      </w:tblGrid>
      <w:tr>
        <w:tblPrEx>
          <w:tblW w:w="5971" w:type="dxa"/>
          <w:jc w:val="center"/>
          <w:tblInd w:w="-445" w:type="dxa"/>
          <w:tblCellMar>
            <w:left w:w="70" w:type="dxa"/>
            <w:right w:w="70" w:type="dxa"/>
          </w:tblCellMar>
          <w:tblLook w:val="04A0"/>
        </w:tblPrEx>
        <w:trPr>
          <w:jc w:val="center"/>
        </w:trPr>
        <w:tc>
          <w:tcPr>
            <w:tcW w:w="1506"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center"/>
            <w:hideMark/>
          </w:tcPr>
          <w:p w:rsidR="00553B94" w:rsidRPr="00553B94" w:rsidP="000B04FD">
            <w:pPr>
              <w:bidi w:val="0"/>
              <w:spacing w:after="0"/>
              <w:jc w:val="left"/>
              <w:rPr>
                <w:rFonts w:ascii="Times New Roman" w:hAnsi="Times New Roman"/>
                <w:b/>
                <w:bCs/>
                <w:color w:val="000000"/>
                <w:sz w:val="20"/>
                <w:lang w:eastAsia="sk-SK"/>
              </w:rPr>
            </w:pPr>
            <w:r w:rsidRPr="00553B94">
              <w:rPr>
                <w:rFonts w:ascii="Times New Roman" w:hAnsi="Times New Roman"/>
                <w:b/>
                <w:bCs/>
                <w:color w:val="000000"/>
                <w:sz w:val="20"/>
                <w:lang w:eastAsia="sk-SK"/>
              </w:rPr>
              <w:t> </w:t>
            </w:r>
          </w:p>
        </w:tc>
        <w:tc>
          <w:tcPr>
            <w:tcW w:w="1174" w:type="dxa"/>
            <w:tcBorders>
              <w:top w:val="single" w:sz="4" w:space="0" w:color="auto"/>
              <w:left w:val="nil"/>
              <w:bottom w:val="single" w:sz="4" w:space="0" w:color="auto"/>
              <w:right w:val="single" w:sz="4" w:space="0" w:color="auto"/>
            </w:tcBorders>
            <w:shd w:val="clear" w:color="auto" w:fill="C6D9F1"/>
            <w:textDirection w:val="lrTb"/>
            <w:vAlign w:val="center"/>
            <w:hideMark/>
          </w:tcPr>
          <w:p w:rsidR="00553B94" w:rsidRPr="00553B94" w:rsidP="000B04FD">
            <w:pPr>
              <w:bidi w:val="0"/>
              <w:spacing w:after="0"/>
              <w:jc w:val="center"/>
              <w:rPr>
                <w:rFonts w:ascii="Times New Roman" w:hAnsi="Times New Roman"/>
                <w:b/>
                <w:bCs/>
                <w:color w:val="000000"/>
                <w:sz w:val="20"/>
                <w:lang w:eastAsia="sk-SK"/>
              </w:rPr>
            </w:pPr>
            <w:r>
              <w:rPr>
                <w:rFonts w:ascii="Times New Roman" w:hAnsi="Times New Roman"/>
                <w:b/>
                <w:bCs/>
                <w:color w:val="000000"/>
                <w:sz w:val="20"/>
                <w:lang w:eastAsia="sk-SK"/>
              </w:rPr>
              <w:t>Predškolské</w:t>
            </w:r>
          </w:p>
        </w:tc>
        <w:tc>
          <w:tcPr>
            <w:tcW w:w="1055" w:type="dxa"/>
            <w:tcBorders>
              <w:top w:val="single" w:sz="4" w:space="0" w:color="auto"/>
              <w:left w:val="nil"/>
              <w:bottom w:val="single" w:sz="4" w:space="0" w:color="auto"/>
              <w:right w:val="single" w:sz="4" w:space="0" w:color="auto"/>
            </w:tcBorders>
            <w:shd w:val="clear" w:color="auto" w:fill="C6D9F1"/>
            <w:textDirection w:val="lrTb"/>
            <w:vAlign w:val="center"/>
            <w:hideMark/>
          </w:tcPr>
          <w:p w:rsidR="00553B94" w:rsidRPr="00553B94" w:rsidP="000B04FD">
            <w:pPr>
              <w:bidi w:val="0"/>
              <w:spacing w:after="0"/>
              <w:jc w:val="center"/>
              <w:rPr>
                <w:rFonts w:ascii="Times New Roman" w:hAnsi="Times New Roman"/>
                <w:b/>
                <w:bCs/>
                <w:color w:val="000000"/>
                <w:sz w:val="20"/>
                <w:lang w:eastAsia="sk-SK"/>
              </w:rPr>
            </w:pPr>
            <w:r>
              <w:rPr>
                <w:rFonts w:ascii="Times New Roman" w:hAnsi="Times New Roman"/>
                <w:b/>
                <w:bCs/>
                <w:color w:val="000000"/>
                <w:sz w:val="20"/>
                <w:lang w:eastAsia="sk-SK"/>
              </w:rPr>
              <w:t>Základné a stredné</w:t>
            </w:r>
          </w:p>
        </w:tc>
        <w:tc>
          <w:tcPr>
            <w:tcW w:w="1396" w:type="dxa"/>
            <w:tcBorders>
              <w:top w:val="single" w:sz="4" w:space="0" w:color="auto"/>
              <w:left w:val="nil"/>
              <w:bottom w:val="single" w:sz="4" w:space="0" w:color="auto"/>
              <w:right w:val="single" w:sz="4" w:space="0" w:color="auto"/>
            </w:tcBorders>
            <w:shd w:val="clear" w:color="auto" w:fill="C6D9F1"/>
            <w:textDirection w:val="lrTb"/>
            <w:vAlign w:val="center"/>
            <w:hideMark/>
          </w:tcPr>
          <w:p w:rsidR="00553B94" w:rsidRPr="00553B94" w:rsidP="000B04FD">
            <w:pPr>
              <w:bidi w:val="0"/>
              <w:spacing w:after="0"/>
              <w:jc w:val="center"/>
              <w:rPr>
                <w:rFonts w:ascii="Times New Roman" w:hAnsi="Times New Roman"/>
                <w:b/>
                <w:bCs/>
                <w:color w:val="000000"/>
                <w:sz w:val="20"/>
                <w:lang w:eastAsia="sk-SK"/>
              </w:rPr>
            </w:pPr>
            <w:r>
              <w:rPr>
                <w:rFonts w:ascii="Times New Roman" w:hAnsi="Times New Roman"/>
                <w:b/>
                <w:bCs/>
                <w:color w:val="000000"/>
                <w:sz w:val="20"/>
                <w:lang w:eastAsia="sk-SK"/>
              </w:rPr>
              <w:t>Vysokoškolské</w:t>
            </w:r>
          </w:p>
        </w:tc>
        <w:tc>
          <w:tcPr>
            <w:tcW w:w="840" w:type="dxa"/>
            <w:tcBorders>
              <w:top w:val="single" w:sz="4" w:space="0" w:color="auto"/>
              <w:left w:val="nil"/>
              <w:bottom w:val="single" w:sz="4" w:space="0" w:color="auto"/>
              <w:right w:val="single" w:sz="4" w:space="0" w:color="auto"/>
            </w:tcBorders>
            <w:shd w:val="clear" w:color="auto" w:fill="C6D9F1"/>
            <w:textDirection w:val="lrTb"/>
            <w:vAlign w:val="center"/>
            <w:hideMark/>
          </w:tcPr>
          <w:p w:rsidR="00553B94" w:rsidRPr="00553B94" w:rsidP="000B04FD">
            <w:pPr>
              <w:bidi w:val="0"/>
              <w:spacing w:after="0"/>
              <w:jc w:val="center"/>
              <w:rPr>
                <w:rFonts w:ascii="Times New Roman" w:hAnsi="Times New Roman"/>
                <w:b/>
                <w:bCs/>
                <w:color w:val="000000"/>
                <w:sz w:val="20"/>
                <w:lang w:eastAsia="sk-SK"/>
              </w:rPr>
            </w:pPr>
            <w:r w:rsidRPr="00553B94">
              <w:rPr>
                <w:rFonts w:ascii="Times New Roman" w:hAnsi="Times New Roman"/>
                <w:b/>
                <w:bCs/>
                <w:color w:val="000000"/>
                <w:sz w:val="20"/>
                <w:lang w:eastAsia="sk-SK"/>
              </w:rPr>
              <w:t>Spolu</w:t>
            </w:r>
          </w:p>
        </w:tc>
      </w:tr>
      <w:tr>
        <w:tblPrEx>
          <w:tblW w:w="5971" w:type="dxa"/>
          <w:jc w:val="center"/>
          <w:tblInd w:w="-445" w:type="dxa"/>
          <w:tblCellMar>
            <w:left w:w="70" w:type="dxa"/>
            <w:right w:w="70" w:type="dxa"/>
          </w:tblCellMar>
          <w:tblLook w:val="04A0"/>
        </w:tblPrEx>
        <w:trPr>
          <w:trHeight w:val="285"/>
          <w:jc w:val="center"/>
        </w:trPr>
        <w:tc>
          <w:tcPr>
            <w:tcW w:w="1506"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left"/>
              <w:rPr>
                <w:rFonts w:ascii="Times New Roman" w:hAnsi="Times New Roman"/>
                <w:b/>
                <w:bCs/>
                <w:color w:val="000000"/>
                <w:sz w:val="20"/>
                <w:lang w:eastAsia="sk-SK"/>
              </w:rPr>
            </w:pPr>
            <w:r w:rsidRPr="00553B94">
              <w:rPr>
                <w:rFonts w:ascii="Times New Roman" w:hAnsi="Times New Roman"/>
                <w:b/>
                <w:bCs/>
                <w:color w:val="000000"/>
                <w:sz w:val="20"/>
                <w:lang w:eastAsia="sk-SK"/>
              </w:rPr>
              <w:t xml:space="preserve">OECD </w:t>
            </w:r>
          </w:p>
        </w:tc>
        <w:tc>
          <w:tcPr>
            <w:tcW w:w="1174"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0,5</w:t>
            </w:r>
          </w:p>
        </w:tc>
        <w:tc>
          <w:tcPr>
            <w:tcW w:w="1055"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4</w:t>
            </w:r>
          </w:p>
        </w:tc>
        <w:tc>
          <w:tcPr>
            <w:tcW w:w="1396"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1,6</w:t>
            </w:r>
          </w:p>
        </w:tc>
        <w:tc>
          <w:tcPr>
            <w:tcW w:w="840"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6,2</w:t>
            </w:r>
          </w:p>
        </w:tc>
      </w:tr>
      <w:tr>
        <w:tblPrEx>
          <w:tblW w:w="5971" w:type="dxa"/>
          <w:jc w:val="center"/>
          <w:tblInd w:w="-445" w:type="dxa"/>
          <w:tblCellMar>
            <w:left w:w="70" w:type="dxa"/>
            <w:right w:w="70" w:type="dxa"/>
          </w:tblCellMar>
          <w:tblLook w:val="04A0"/>
        </w:tblPrEx>
        <w:trPr>
          <w:trHeight w:val="285"/>
          <w:jc w:val="center"/>
        </w:trPr>
        <w:tc>
          <w:tcPr>
            <w:tcW w:w="1506"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left"/>
              <w:rPr>
                <w:rFonts w:ascii="Times New Roman" w:hAnsi="Times New Roman"/>
                <w:b/>
                <w:bCs/>
                <w:color w:val="000000"/>
                <w:sz w:val="20"/>
                <w:lang w:eastAsia="sk-SK"/>
              </w:rPr>
            </w:pPr>
            <w:r w:rsidRPr="00553B94">
              <w:rPr>
                <w:rFonts w:ascii="Times New Roman" w:hAnsi="Times New Roman"/>
                <w:b/>
                <w:bCs/>
                <w:color w:val="000000"/>
                <w:sz w:val="20"/>
                <w:lang w:eastAsia="sk-SK"/>
              </w:rPr>
              <w:t xml:space="preserve">EU21 </w:t>
            </w:r>
          </w:p>
        </w:tc>
        <w:tc>
          <w:tcPr>
            <w:tcW w:w="1174"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0,6</w:t>
            </w:r>
          </w:p>
        </w:tc>
        <w:tc>
          <w:tcPr>
            <w:tcW w:w="1055"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3,8</w:t>
            </w:r>
          </w:p>
        </w:tc>
        <w:tc>
          <w:tcPr>
            <w:tcW w:w="1396"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1,4</w:t>
            </w:r>
          </w:p>
        </w:tc>
        <w:tc>
          <w:tcPr>
            <w:tcW w:w="840"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5,9</w:t>
            </w:r>
          </w:p>
        </w:tc>
      </w:tr>
      <w:tr>
        <w:tblPrEx>
          <w:tblW w:w="5971" w:type="dxa"/>
          <w:jc w:val="center"/>
          <w:tblInd w:w="-445" w:type="dxa"/>
          <w:tblCellMar>
            <w:left w:w="70" w:type="dxa"/>
            <w:right w:w="70" w:type="dxa"/>
          </w:tblCellMar>
          <w:tblLook w:val="04A0"/>
        </w:tblPrEx>
        <w:trPr>
          <w:trHeight w:val="285"/>
          <w:jc w:val="center"/>
        </w:trPr>
        <w:tc>
          <w:tcPr>
            <w:tcW w:w="1506"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left"/>
              <w:rPr>
                <w:rFonts w:ascii="Times New Roman" w:hAnsi="Times New Roman"/>
                <w:b/>
                <w:bCs/>
                <w:color w:val="000000"/>
                <w:sz w:val="20"/>
                <w:lang w:eastAsia="sk-SK"/>
              </w:rPr>
            </w:pPr>
            <w:r w:rsidRPr="00553B94">
              <w:rPr>
                <w:rFonts w:ascii="Times New Roman" w:hAnsi="Times New Roman"/>
                <w:b/>
                <w:bCs/>
                <w:color w:val="000000"/>
                <w:sz w:val="20"/>
                <w:lang w:eastAsia="sk-SK"/>
              </w:rPr>
              <w:t>SK</w:t>
            </w:r>
          </w:p>
        </w:tc>
        <w:tc>
          <w:tcPr>
            <w:tcW w:w="1174"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0,5</w:t>
            </w:r>
          </w:p>
        </w:tc>
        <w:tc>
          <w:tcPr>
            <w:tcW w:w="1055"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3,1</w:t>
            </w:r>
          </w:p>
        </w:tc>
        <w:tc>
          <w:tcPr>
            <w:tcW w:w="1396"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0,9</w:t>
            </w:r>
          </w:p>
        </w:tc>
        <w:tc>
          <w:tcPr>
            <w:tcW w:w="840"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4,7</w:t>
            </w:r>
          </w:p>
        </w:tc>
      </w:tr>
      <w:tr>
        <w:tblPrEx>
          <w:tblW w:w="5971" w:type="dxa"/>
          <w:jc w:val="center"/>
          <w:tblInd w:w="-445" w:type="dxa"/>
          <w:tblCellMar>
            <w:left w:w="70" w:type="dxa"/>
            <w:right w:w="70" w:type="dxa"/>
          </w:tblCellMar>
          <w:tblLook w:val="04A0"/>
        </w:tblPrEx>
        <w:trPr>
          <w:trHeight w:val="285"/>
          <w:jc w:val="center"/>
        </w:trPr>
        <w:tc>
          <w:tcPr>
            <w:tcW w:w="1506"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left"/>
              <w:rPr>
                <w:rFonts w:ascii="Times New Roman" w:hAnsi="Times New Roman"/>
                <w:b/>
                <w:bCs/>
                <w:color w:val="000000"/>
                <w:sz w:val="20"/>
                <w:lang w:eastAsia="sk-SK"/>
              </w:rPr>
            </w:pPr>
            <w:r w:rsidRPr="00553B94">
              <w:rPr>
                <w:rFonts w:ascii="Times New Roman" w:hAnsi="Times New Roman"/>
                <w:b/>
                <w:bCs/>
                <w:color w:val="000000"/>
                <w:sz w:val="20"/>
                <w:lang w:eastAsia="sk-SK"/>
              </w:rPr>
              <w:t>V3</w:t>
            </w:r>
          </w:p>
        </w:tc>
        <w:tc>
          <w:tcPr>
            <w:tcW w:w="1174"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0,6</w:t>
            </w:r>
          </w:p>
        </w:tc>
        <w:tc>
          <w:tcPr>
            <w:tcW w:w="1055"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3,2</w:t>
            </w:r>
          </w:p>
        </w:tc>
        <w:tc>
          <w:tcPr>
            <w:tcW w:w="1396"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1,2</w:t>
            </w:r>
          </w:p>
        </w:tc>
        <w:tc>
          <w:tcPr>
            <w:tcW w:w="840"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color w:val="000000"/>
                <w:sz w:val="20"/>
                <w:lang w:eastAsia="sk-SK"/>
              </w:rPr>
            </w:pPr>
            <w:r w:rsidRPr="00553B94">
              <w:rPr>
                <w:rFonts w:ascii="Times New Roman" w:hAnsi="Times New Roman"/>
                <w:color w:val="000000"/>
                <w:sz w:val="20"/>
                <w:lang w:eastAsia="sk-SK"/>
              </w:rPr>
              <w:t>5,1</w:t>
            </w:r>
          </w:p>
        </w:tc>
      </w:tr>
      <w:tr>
        <w:tblPrEx>
          <w:tblW w:w="5971" w:type="dxa"/>
          <w:jc w:val="center"/>
          <w:tblInd w:w="-445" w:type="dxa"/>
          <w:tblCellMar>
            <w:left w:w="70" w:type="dxa"/>
            <w:right w:w="70" w:type="dxa"/>
          </w:tblCellMar>
          <w:tblLook w:val="04A0"/>
        </w:tblPrEx>
        <w:trPr>
          <w:trHeight w:val="285"/>
          <w:jc w:val="center"/>
        </w:trPr>
        <w:tc>
          <w:tcPr>
            <w:tcW w:w="1506"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left"/>
              <w:rPr>
                <w:rFonts w:ascii="Times New Roman" w:hAnsi="Times New Roman"/>
                <w:b/>
                <w:bCs/>
                <w:i/>
                <w:iCs/>
                <w:color w:val="000000"/>
                <w:sz w:val="20"/>
                <w:lang w:eastAsia="sk-SK"/>
              </w:rPr>
            </w:pPr>
            <w:r w:rsidRPr="00553B94">
              <w:rPr>
                <w:rFonts w:ascii="Times New Roman" w:hAnsi="Times New Roman"/>
                <w:b/>
                <w:bCs/>
                <w:i/>
                <w:iCs/>
                <w:color w:val="000000"/>
                <w:sz w:val="20"/>
                <w:lang w:eastAsia="sk-SK"/>
              </w:rPr>
              <w:t>SK/OECD</w:t>
            </w:r>
            <w:r>
              <w:rPr>
                <w:rFonts w:ascii="Times New Roman" w:hAnsi="Times New Roman"/>
                <w:b/>
                <w:bCs/>
                <w:i/>
                <w:iCs/>
                <w:color w:val="000000"/>
                <w:sz w:val="20"/>
                <w:lang w:eastAsia="sk-SK"/>
              </w:rPr>
              <w:t xml:space="preserve"> (%)</w:t>
            </w:r>
          </w:p>
        </w:tc>
        <w:tc>
          <w:tcPr>
            <w:tcW w:w="1174"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i/>
                <w:iCs/>
                <w:color w:val="000000"/>
                <w:sz w:val="20"/>
                <w:lang w:eastAsia="sk-SK"/>
              </w:rPr>
            </w:pPr>
            <w:r w:rsidRPr="00553B94">
              <w:rPr>
                <w:rFonts w:ascii="Times New Roman" w:hAnsi="Times New Roman"/>
                <w:i/>
                <w:iCs/>
                <w:color w:val="000000"/>
                <w:sz w:val="20"/>
                <w:lang w:eastAsia="sk-SK"/>
              </w:rPr>
              <w:t>91,9</w:t>
            </w:r>
          </w:p>
        </w:tc>
        <w:tc>
          <w:tcPr>
            <w:tcW w:w="1055"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i/>
                <w:iCs/>
                <w:color w:val="000000"/>
                <w:sz w:val="20"/>
                <w:lang w:eastAsia="sk-SK"/>
              </w:rPr>
            </w:pPr>
            <w:r w:rsidRPr="00553B94">
              <w:rPr>
                <w:rFonts w:ascii="Times New Roman" w:hAnsi="Times New Roman"/>
                <w:i/>
                <w:iCs/>
                <w:color w:val="000000"/>
                <w:sz w:val="20"/>
                <w:lang w:eastAsia="sk-SK"/>
              </w:rPr>
              <w:t>77,3</w:t>
            </w:r>
          </w:p>
        </w:tc>
        <w:tc>
          <w:tcPr>
            <w:tcW w:w="1396"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i/>
                <w:iCs/>
                <w:color w:val="000000"/>
                <w:sz w:val="20"/>
                <w:lang w:eastAsia="sk-SK"/>
              </w:rPr>
            </w:pPr>
            <w:r w:rsidRPr="00553B94">
              <w:rPr>
                <w:rFonts w:ascii="Times New Roman" w:hAnsi="Times New Roman"/>
                <w:i/>
                <w:iCs/>
                <w:color w:val="000000"/>
                <w:sz w:val="20"/>
                <w:lang w:eastAsia="sk-SK"/>
              </w:rPr>
              <w:t>59,8</w:t>
            </w:r>
          </w:p>
        </w:tc>
        <w:tc>
          <w:tcPr>
            <w:tcW w:w="840" w:type="dxa"/>
            <w:tcBorders>
              <w:top w:val="nil"/>
              <w:left w:val="nil"/>
              <w:bottom w:val="single" w:sz="4" w:space="0" w:color="auto"/>
              <w:right w:val="single" w:sz="4" w:space="0" w:color="auto"/>
            </w:tcBorders>
            <w:shd w:val="clear" w:color="000000" w:fill="FFFFFF"/>
            <w:noWrap/>
            <w:textDirection w:val="lrTb"/>
            <w:vAlign w:val="center"/>
            <w:hideMark/>
          </w:tcPr>
          <w:p w:rsidR="00553B94" w:rsidRPr="00553B94" w:rsidP="000B04FD">
            <w:pPr>
              <w:bidi w:val="0"/>
              <w:spacing w:after="0"/>
              <w:jc w:val="center"/>
              <w:rPr>
                <w:rFonts w:ascii="Times New Roman" w:hAnsi="Times New Roman"/>
                <w:i/>
                <w:iCs/>
                <w:color w:val="000000"/>
                <w:sz w:val="20"/>
                <w:lang w:eastAsia="sk-SK"/>
              </w:rPr>
            </w:pPr>
            <w:r w:rsidRPr="00553B94">
              <w:rPr>
                <w:rFonts w:ascii="Times New Roman" w:hAnsi="Times New Roman"/>
                <w:i/>
                <w:iCs/>
                <w:color w:val="000000"/>
                <w:sz w:val="20"/>
                <w:lang w:eastAsia="sk-SK"/>
              </w:rPr>
              <w:t>76,2</w:t>
            </w:r>
          </w:p>
        </w:tc>
      </w:tr>
    </w:tbl>
    <w:p w:rsidR="00553B94" w:rsidRPr="00553B94" w:rsidP="00553B94">
      <w:pPr>
        <w:pStyle w:val="ListParagraph"/>
        <w:autoSpaceDE w:val="0"/>
        <w:autoSpaceDN w:val="0"/>
        <w:bidi w:val="0"/>
        <w:adjustRightInd w:val="0"/>
        <w:spacing w:line="240" w:lineRule="atLeast"/>
        <w:ind w:left="1560"/>
        <w:contextualSpacing w:val="0"/>
        <w:rPr>
          <w:rFonts w:ascii="Times New Roman" w:hAnsi="Times New Roman"/>
          <w:sz w:val="16"/>
          <w:szCs w:val="16"/>
        </w:rPr>
      </w:pPr>
      <w:r w:rsidRPr="00553B94">
        <w:rPr>
          <w:rFonts w:ascii="Times New Roman" w:hAnsi="Times New Roman"/>
          <w:sz w:val="16"/>
          <w:szCs w:val="16"/>
        </w:rPr>
        <w:t>Zdroj: OECD</w:t>
      </w:r>
    </w:p>
    <w:p w:rsidR="000D7E3B" w:rsidP="000D7E3B">
      <w:pPr>
        <w:pStyle w:val="ListParagraph"/>
        <w:autoSpaceDE w:val="0"/>
        <w:autoSpaceDN w:val="0"/>
        <w:bidi w:val="0"/>
        <w:adjustRightInd w:val="0"/>
        <w:spacing w:line="240" w:lineRule="atLeast"/>
        <w:ind w:left="0"/>
        <w:contextualSpacing w:val="0"/>
        <w:rPr>
          <w:rFonts w:ascii="Times New Roman" w:hAnsi="Times New Roman"/>
          <w:szCs w:val="24"/>
        </w:rPr>
      </w:pPr>
    </w:p>
    <w:p w:rsidR="00451C87" w:rsidRPr="00451C87" w:rsidP="00A02C69">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 xml:space="preserve">Pri pohľade na jednotlivé úrovne vzdelávania je zrejmé, že Slovensko </w:t>
      </w:r>
      <w:r w:rsidR="000B04FD">
        <w:rPr>
          <w:rFonts w:ascii="Times New Roman" w:hAnsi="Times New Roman"/>
          <w:szCs w:val="24"/>
        </w:rPr>
        <w:t>vynakladá</w:t>
      </w:r>
      <w:r w:rsidRPr="00451C87">
        <w:rPr>
          <w:rFonts w:ascii="Times New Roman" w:hAnsi="Times New Roman"/>
          <w:szCs w:val="24"/>
        </w:rPr>
        <w:t xml:space="preserve"> v pomere k HDP relatívne najmenej peňazí na vysoké školy. Vzhľadom k HDP boli výdavky na vzdelávanie na Slovensku v roku 2009 len o 0,1 p.b. vyššie než v roku 1995. Priemer krajín OECD v tomto období stúpol až o 0,8 p.b.</w:t>
      </w:r>
    </w:p>
    <w:p w:rsidR="0074158D" w:rsidP="0074158D">
      <w:pPr>
        <w:pStyle w:val="Caption"/>
        <w:bidi w:val="0"/>
        <w:spacing w:before="120" w:after="120"/>
        <w:rPr>
          <w:rFonts w:ascii="Times New Roman" w:hAnsi="Times New Roman"/>
        </w:rPr>
      </w:pPr>
      <w:bookmarkStart w:id="43" w:name="_Toc351635239"/>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4</w:t>
      </w:r>
      <w:r>
        <w:rPr>
          <w:rFonts w:ascii="Times New Roman" w:hAnsi="Times New Roman"/>
        </w:rPr>
        <w:fldChar w:fldCharType="end"/>
      </w:r>
      <w:r>
        <w:rPr>
          <w:rFonts w:ascii="Times New Roman" w:hAnsi="Times New Roman"/>
        </w:rPr>
        <w:t xml:space="preserve"> </w:t>
      </w:r>
      <w:r w:rsidRPr="0074158D">
        <w:rPr>
          <w:rFonts w:ascii="Times New Roman" w:hAnsi="Times New Roman"/>
        </w:rPr>
        <w:t>Výdavky na vzdelávacie inštitúcie podľa stupňa vzdelávania (% HDP</w:t>
      </w:r>
      <w:r>
        <w:rPr>
          <w:rFonts w:ascii="Times New Roman" w:hAnsi="Times New Roman"/>
        </w:rPr>
        <w:t>, 1995, 2000, 2005</w:t>
      </w:r>
      <w:r w:rsidRPr="0074158D">
        <w:rPr>
          <w:rFonts w:ascii="Times New Roman" w:hAnsi="Times New Roman"/>
        </w:rPr>
        <w:t>)</w:t>
      </w:r>
      <w:bookmarkEnd w:id="43"/>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01"/>
        <w:gridCol w:w="686"/>
        <w:gridCol w:w="686"/>
        <w:gridCol w:w="686"/>
        <w:gridCol w:w="689"/>
        <w:gridCol w:w="685"/>
        <w:gridCol w:w="685"/>
        <w:gridCol w:w="685"/>
        <w:gridCol w:w="685"/>
        <w:gridCol w:w="685"/>
        <w:gridCol w:w="685"/>
        <w:gridCol w:w="685"/>
        <w:gridCol w:w="66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30"/>
        </w:trPr>
        <w:tc>
          <w:tcPr>
            <w:tcW w:w="543" w:type="pct"/>
            <w:vMerge w:val="restart"/>
            <w:tcBorders>
              <w:top w:val="single" w:sz="4" w:space="0" w:color="auto"/>
              <w:left w:val="single" w:sz="4" w:space="0" w:color="auto"/>
              <w:bottom w:val="single" w:sz="4" w:space="0" w:color="auto"/>
              <w:right w:val="single" w:sz="4" w:space="0" w:color="auto"/>
            </w:tcBorders>
            <w:shd w:val="clear" w:color="auto" w:fill="C6D9F1"/>
            <w:noWrap/>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90" w:type="pct"/>
            <w:gridSpan w:val="4"/>
            <w:vMerge w:val="restar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sidR="000B04FD">
              <w:rPr>
                <w:rFonts w:ascii="Times New Roman" w:hAnsi="Times New Roman"/>
                <w:b/>
                <w:bCs/>
                <w:color w:val="000000"/>
                <w:sz w:val="20"/>
                <w:lang w:eastAsia="sk-SK"/>
              </w:rPr>
              <w:t>Základné a stredné</w:t>
            </w:r>
          </w:p>
        </w:tc>
        <w:tc>
          <w:tcPr>
            <w:tcW w:w="1487" w:type="pct"/>
            <w:gridSpan w:val="4"/>
            <w:vMerge w:val="restart"/>
            <w:tcBorders>
              <w:top w:val="single" w:sz="4" w:space="0" w:color="auto"/>
              <w:left w:val="single" w:sz="4" w:space="0" w:color="auto"/>
              <w:bottom w:val="single" w:sz="4" w:space="0" w:color="auto"/>
              <w:right w:val="single" w:sz="4" w:space="0" w:color="auto"/>
            </w:tcBorders>
            <w:shd w:val="clear" w:color="auto" w:fill="C6D9F1"/>
            <w:noWrap/>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sidR="000B04FD">
              <w:rPr>
                <w:rFonts w:ascii="Times New Roman" w:hAnsi="Times New Roman"/>
                <w:b/>
                <w:bCs/>
                <w:color w:val="000000"/>
                <w:sz w:val="20"/>
                <w:lang w:eastAsia="sk-SK"/>
              </w:rPr>
              <w:t>Vysokoškolské</w:t>
            </w:r>
          </w:p>
        </w:tc>
        <w:tc>
          <w:tcPr>
            <w:tcW w:w="1480" w:type="pct"/>
            <w:gridSpan w:val="4"/>
            <w:vMerge w:val="restart"/>
            <w:tcBorders>
              <w:top w:val="single" w:sz="4" w:space="0" w:color="auto"/>
              <w:left w:val="single" w:sz="4" w:space="0" w:color="auto"/>
              <w:bottom w:val="single" w:sz="4" w:space="0" w:color="auto"/>
              <w:right w:val="single" w:sz="4" w:space="0" w:color="auto"/>
            </w:tcBorders>
            <w:shd w:val="clear" w:color="auto" w:fill="C6D9F1"/>
            <w:noWrap/>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sidR="000B04FD">
              <w:rPr>
                <w:rFonts w:ascii="Times New Roman" w:hAnsi="Times New Roman"/>
                <w:b/>
                <w:bCs/>
                <w:color w:val="000000"/>
                <w:sz w:val="20"/>
                <w:lang w:eastAsia="sk-SK"/>
              </w:rPr>
              <w:t>Spolu</w:t>
            </w:r>
          </w:p>
        </w:tc>
      </w:tr>
      <w:tr>
        <w:tblPrEx>
          <w:tblW w:w="5000" w:type="pct"/>
          <w:tblCellMar>
            <w:left w:w="70" w:type="dxa"/>
            <w:right w:w="70" w:type="dxa"/>
          </w:tblCellMar>
          <w:tblLook w:val="04A0"/>
        </w:tblPrEx>
        <w:trPr>
          <w:trHeight w:val="285"/>
        </w:trPr>
        <w:tc>
          <w:tcPr>
            <w:tcW w:w="543" w:type="pct"/>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90"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87"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80"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r>
      <w:tr>
        <w:tblPrEx>
          <w:tblW w:w="5000" w:type="pct"/>
          <w:tblCellMar>
            <w:left w:w="70" w:type="dxa"/>
            <w:right w:w="70" w:type="dxa"/>
          </w:tblCellMar>
          <w:tblLook w:val="04A0"/>
        </w:tblPrEx>
        <w:trPr>
          <w:trHeight w:val="285"/>
        </w:trPr>
        <w:tc>
          <w:tcPr>
            <w:tcW w:w="543" w:type="pct"/>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90"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87"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80"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r>
      <w:tr>
        <w:tblPrEx>
          <w:tblW w:w="5000" w:type="pct"/>
          <w:tblCellMar>
            <w:left w:w="70" w:type="dxa"/>
            <w:right w:w="70" w:type="dxa"/>
          </w:tblCellMar>
          <w:tblLook w:val="04A0"/>
        </w:tblPrEx>
        <w:trPr>
          <w:trHeight w:val="230"/>
        </w:trPr>
        <w:tc>
          <w:tcPr>
            <w:tcW w:w="543" w:type="pct"/>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90"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87"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c>
          <w:tcPr>
            <w:tcW w:w="1480" w:type="pct"/>
            <w:gridSpan w:val="4"/>
            <w:vMerge/>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p>
        </w:tc>
      </w:tr>
      <w:tr>
        <w:tblPrEx>
          <w:tblW w:w="5000" w:type="pct"/>
          <w:tblCellMar>
            <w:left w:w="70" w:type="dxa"/>
            <w:right w:w="70" w:type="dxa"/>
          </w:tblCellMar>
          <w:tblLook w:val="04A0"/>
        </w:tblPrEx>
        <w:trPr>
          <w:trHeight w:val="285"/>
        </w:trPr>
        <w:tc>
          <w:tcPr>
            <w:tcW w:w="543" w:type="pct"/>
            <w:tcBorders>
              <w:top w:val="single" w:sz="4" w:space="0" w:color="auto"/>
              <w:left w:val="single" w:sz="4" w:space="0" w:color="auto"/>
              <w:bottom w:val="single" w:sz="4" w:space="0" w:color="auto"/>
              <w:right w:val="single" w:sz="4" w:space="0" w:color="auto"/>
            </w:tcBorders>
            <w:shd w:val="clear" w:color="auto" w:fill="C6D9F1"/>
            <w:noWrap/>
            <w:textDirection w:val="tbRl"/>
            <w:vAlign w:val="center"/>
            <w:hideMark/>
          </w:tcPr>
          <w:p w:rsidR="00451C87" w:rsidRPr="000B04FD" w:rsidP="00451C87">
            <w:pPr>
              <w:bidi w:val="0"/>
              <w:spacing w:after="0"/>
              <w:jc w:val="left"/>
              <w:rPr>
                <w:rFonts w:ascii="Times New Roman" w:hAnsi="Times New Roman"/>
                <w:sz w:val="20"/>
                <w:lang w:eastAsia="sk-SK"/>
              </w:rPr>
            </w:pPr>
            <w:r w:rsidRPr="000B04FD">
              <w:rPr>
                <w:rFonts w:ascii="Times New Roman" w:hAnsi="Times New Roman"/>
                <w:sz w:val="20"/>
                <w:lang w:eastAsia="sk-SK"/>
              </w:rPr>
              <w:t> </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1995</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2000</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2005</w:t>
            </w:r>
          </w:p>
        </w:tc>
        <w:tc>
          <w:tcPr>
            <w:tcW w:w="373"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2009</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1995</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2000</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2005</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2009</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1995</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2000</w:t>
            </w:r>
          </w:p>
        </w:tc>
        <w:tc>
          <w:tcPr>
            <w:tcW w:w="372"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2005</w:t>
            </w:r>
          </w:p>
        </w:tc>
        <w:tc>
          <w:tcPr>
            <w:tcW w:w="365"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bCs/>
                <w:color w:val="000000"/>
                <w:sz w:val="20"/>
                <w:lang w:eastAsia="sk-SK"/>
              </w:rPr>
            </w:pPr>
            <w:r w:rsidRPr="000B04FD">
              <w:rPr>
                <w:rFonts w:ascii="Times New Roman" w:hAnsi="Times New Roman"/>
                <w:b/>
                <w:bCs/>
                <w:color w:val="000000"/>
                <w:sz w:val="20"/>
                <w:lang w:eastAsia="sk-SK"/>
              </w:rPr>
              <w:t>2009</w:t>
            </w:r>
          </w:p>
        </w:tc>
      </w:tr>
      <w:tr>
        <w:tblPrEx>
          <w:tblW w:w="5000" w:type="pct"/>
          <w:tblCellMar>
            <w:left w:w="70" w:type="dxa"/>
            <w:right w:w="70" w:type="dxa"/>
          </w:tblCellMar>
          <w:tblLook w:val="04A0"/>
        </w:tblPrEx>
        <w:trPr>
          <w:trHeight w:val="285"/>
        </w:trPr>
        <w:tc>
          <w:tcPr>
            <w:tcW w:w="543"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r w:rsidRPr="000B04FD">
              <w:rPr>
                <w:rFonts w:ascii="Times New Roman" w:hAnsi="Times New Roman"/>
                <w:b/>
                <w:bCs/>
                <w:color w:val="000000"/>
                <w:sz w:val="20"/>
                <w:lang w:eastAsia="sk-SK"/>
              </w:rPr>
              <w:t>SK</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3,1</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2,7</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2,9</w:t>
            </w:r>
          </w:p>
        </w:tc>
        <w:tc>
          <w:tcPr>
            <w:tcW w:w="373"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3,1</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0,7</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0,8</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0,9</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0,9</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4,6</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4,1</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4,4</w:t>
            </w:r>
          </w:p>
        </w:tc>
        <w:tc>
          <w:tcPr>
            <w:tcW w:w="365"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4,7</w:t>
            </w:r>
          </w:p>
        </w:tc>
      </w:tr>
      <w:tr>
        <w:tblPrEx>
          <w:tblW w:w="5000" w:type="pct"/>
          <w:tblCellMar>
            <w:left w:w="70" w:type="dxa"/>
            <w:right w:w="70" w:type="dxa"/>
          </w:tblCellMar>
          <w:tblLook w:val="04A0"/>
        </w:tblPrEx>
        <w:trPr>
          <w:trHeight w:val="285"/>
        </w:trPr>
        <w:tc>
          <w:tcPr>
            <w:tcW w:w="543"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r w:rsidRPr="000B04FD">
              <w:rPr>
                <w:rFonts w:ascii="Times New Roman" w:hAnsi="Times New Roman"/>
                <w:b/>
                <w:bCs/>
                <w:color w:val="000000"/>
                <w:sz w:val="20"/>
                <w:lang w:eastAsia="sk-SK"/>
              </w:rPr>
              <w:t xml:space="preserve">OECD </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3,6</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3,5</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3,8</w:t>
            </w:r>
          </w:p>
        </w:tc>
        <w:tc>
          <w:tcPr>
            <w:tcW w:w="373"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4</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1,2</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1,3</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1,5</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1,6</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5,4</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5,3</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5,8</w:t>
            </w:r>
          </w:p>
        </w:tc>
        <w:tc>
          <w:tcPr>
            <w:tcW w:w="365"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6,2</w:t>
            </w:r>
          </w:p>
        </w:tc>
      </w:tr>
      <w:tr>
        <w:tblPrEx>
          <w:tblW w:w="5000" w:type="pct"/>
          <w:tblCellMar>
            <w:left w:w="70" w:type="dxa"/>
            <w:right w:w="70" w:type="dxa"/>
          </w:tblCellMar>
          <w:tblLook w:val="04A0"/>
        </w:tblPrEx>
        <w:trPr>
          <w:trHeight w:val="285"/>
        </w:trPr>
        <w:tc>
          <w:tcPr>
            <w:tcW w:w="543"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left"/>
              <w:rPr>
                <w:rFonts w:ascii="Times New Roman" w:hAnsi="Times New Roman"/>
                <w:b/>
                <w:bCs/>
                <w:color w:val="000000"/>
                <w:sz w:val="20"/>
                <w:lang w:eastAsia="sk-SK"/>
              </w:rPr>
            </w:pPr>
            <w:r w:rsidRPr="000B04FD">
              <w:rPr>
                <w:rFonts w:ascii="Times New Roman" w:hAnsi="Times New Roman"/>
                <w:b/>
                <w:bCs/>
                <w:color w:val="000000"/>
                <w:sz w:val="20"/>
                <w:lang w:eastAsia="sk-SK"/>
              </w:rPr>
              <w:t>V3</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3,4</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3,1</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3,3</w:t>
            </w:r>
          </w:p>
        </w:tc>
        <w:tc>
          <w:tcPr>
            <w:tcW w:w="373"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3,2</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0,8</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0,9</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1,2</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1,2</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4,9</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4,7</w:t>
            </w:r>
          </w:p>
        </w:tc>
        <w:tc>
          <w:tcPr>
            <w:tcW w:w="372"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5,2</w:t>
            </w:r>
          </w:p>
        </w:tc>
        <w:tc>
          <w:tcPr>
            <w:tcW w:w="365" w:type="pct"/>
            <w:tcBorders>
              <w:top w:val="single" w:sz="4" w:space="0" w:color="auto"/>
              <w:left w:val="single" w:sz="4" w:space="0" w:color="auto"/>
              <w:bottom w:val="single" w:sz="4" w:space="0" w:color="auto"/>
              <w:right w:val="single" w:sz="4" w:space="0" w:color="auto"/>
            </w:tcBorders>
            <w:noWrap/>
            <w:textDirection w:val="lrTb"/>
            <w:vAlign w:val="center"/>
            <w:hideMark/>
          </w:tcPr>
          <w:p w:rsidR="00451C87" w:rsidRPr="000B04FD" w:rsidP="00451C87">
            <w:pPr>
              <w:bidi w:val="0"/>
              <w:spacing w:after="0"/>
              <w:jc w:val="center"/>
              <w:rPr>
                <w:rFonts w:ascii="Times New Roman" w:hAnsi="Times New Roman"/>
                <w:color w:val="000000"/>
                <w:sz w:val="20"/>
                <w:lang w:eastAsia="sk-SK"/>
              </w:rPr>
            </w:pPr>
            <w:r w:rsidRPr="000B04FD">
              <w:rPr>
                <w:rFonts w:ascii="Times New Roman" w:hAnsi="Times New Roman"/>
                <w:color w:val="000000"/>
                <w:sz w:val="20"/>
                <w:lang w:eastAsia="sk-SK"/>
              </w:rPr>
              <w:t>5,1</w:t>
            </w:r>
          </w:p>
        </w:tc>
      </w:tr>
      <w:tr>
        <w:tblPrEx>
          <w:tblW w:w="5000" w:type="pct"/>
          <w:tblCellMar>
            <w:left w:w="70" w:type="dxa"/>
            <w:right w:w="70" w:type="dxa"/>
          </w:tblCellMar>
          <w:tblLook w:val="04A0"/>
        </w:tblPrEx>
        <w:trPr>
          <w:trHeight w:val="285"/>
        </w:trPr>
        <w:tc>
          <w:tcPr>
            <w:tcW w:w="54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left"/>
              <w:rPr>
                <w:rFonts w:ascii="Times New Roman" w:hAnsi="Times New Roman"/>
                <w:b/>
                <w:bCs/>
                <w:i/>
                <w:iCs/>
                <w:color w:val="000000"/>
                <w:sz w:val="20"/>
                <w:lang w:eastAsia="sk-SK"/>
              </w:rPr>
            </w:pPr>
            <w:r w:rsidRPr="000B04FD">
              <w:rPr>
                <w:rFonts w:ascii="Times New Roman" w:hAnsi="Times New Roman"/>
                <w:b/>
                <w:bCs/>
                <w:i/>
                <w:iCs/>
                <w:color w:val="000000"/>
                <w:sz w:val="20"/>
                <w:lang w:eastAsia="sk-SK"/>
              </w:rPr>
              <w:t>SK/OECD</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84,3</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75,7</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76,5</w:t>
            </w:r>
          </w:p>
        </w:tc>
        <w:tc>
          <w:tcPr>
            <w:tcW w:w="37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77,3</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59,7</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59,6</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62,7</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59,8</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86,7</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75,9</w:t>
            </w:r>
          </w:p>
        </w:tc>
        <w:tc>
          <w:tcPr>
            <w:tcW w:w="37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76,1</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451C87" w:rsidRPr="000B04FD" w:rsidP="00451C87">
            <w:pPr>
              <w:bidi w:val="0"/>
              <w:spacing w:after="0"/>
              <w:jc w:val="center"/>
              <w:rPr>
                <w:rFonts w:ascii="Times New Roman" w:hAnsi="Times New Roman"/>
                <w:i/>
                <w:iCs/>
                <w:color w:val="000000"/>
                <w:sz w:val="20"/>
                <w:lang w:eastAsia="sk-SK"/>
              </w:rPr>
            </w:pPr>
            <w:r w:rsidRPr="000B04FD">
              <w:rPr>
                <w:rFonts w:ascii="Times New Roman" w:hAnsi="Times New Roman"/>
                <w:i/>
                <w:iCs/>
                <w:color w:val="000000"/>
                <w:sz w:val="20"/>
                <w:lang w:eastAsia="sk-SK"/>
              </w:rPr>
              <w:t>76,2</w:t>
            </w:r>
          </w:p>
        </w:tc>
      </w:tr>
    </w:tbl>
    <w:p w:rsidR="00987D97" w:rsidRPr="00553B94" w:rsidP="00987D97">
      <w:pPr>
        <w:pStyle w:val="ListParagraph"/>
        <w:autoSpaceDE w:val="0"/>
        <w:autoSpaceDN w:val="0"/>
        <w:bidi w:val="0"/>
        <w:adjustRightInd w:val="0"/>
        <w:spacing w:line="240" w:lineRule="atLeast"/>
        <w:ind w:left="0"/>
        <w:contextualSpacing w:val="0"/>
        <w:rPr>
          <w:rFonts w:ascii="Times New Roman" w:hAnsi="Times New Roman"/>
          <w:sz w:val="16"/>
          <w:szCs w:val="16"/>
        </w:rPr>
      </w:pPr>
      <w:r w:rsidRPr="00553B94">
        <w:rPr>
          <w:rFonts w:ascii="Times New Roman" w:hAnsi="Times New Roman"/>
          <w:sz w:val="16"/>
          <w:szCs w:val="16"/>
        </w:rPr>
        <w:t>Zdroj: OECD</w:t>
      </w:r>
    </w:p>
    <w:p w:rsidR="00451C87" w:rsidRPr="00451C87" w:rsidP="00DF0A1C">
      <w:pPr>
        <w:pStyle w:val="Heading4"/>
        <w:bidi w:val="0"/>
        <w:ind w:left="851" w:hanging="851"/>
        <w:rPr>
          <w:rFonts w:ascii="Times New Roman" w:hAnsi="Times New Roman"/>
        </w:rPr>
      </w:pPr>
      <w:bookmarkStart w:id="44" w:name="_Toc351637415"/>
      <w:r w:rsidRPr="00451C87">
        <w:rPr>
          <w:rFonts w:ascii="Times New Roman" w:hAnsi="Times New Roman"/>
        </w:rPr>
        <w:t>Verejné vs. súkromné</w:t>
      </w:r>
      <w:r w:rsidR="000B04FD">
        <w:rPr>
          <w:rFonts w:ascii="Times New Roman" w:hAnsi="Times New Roman"/>
        </w:rPr>
        <w:t xml:space="preserve"> výdavky na vzdelávacie inštitúcie</w:t>
      </w:r>
      <w:bookmarkEnd w:id="44"/>
    </w:p>
    <w:p w:rsidR="00451C87" w:rsidP="000B04FD">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 xml:space="preserve">Z hľadiska zdrojov financovania </w:t>
      </w:r>
      <w:r w:rsidR="000B04FD">
        <w:rPr>
          <w:rFonts w:ascii="Times New Roman" w:hAnsi="Times New Roman"/>
          <w:szCs w:val="24"/>
        </w:rPr>
        <w:t xml:space="preserve">vzdelávacích inštitúcií </w:t>
      </w:r>
      <w:r w:rsidRPr="00451C87">
        <w:rPr>
          <w:rFonts w:ascii="Times New Roman" w:hAnsi="Times New Roman"/>
          <w:szCs w:val="24"/>
        </w:rPr>
        <w:t>v pomere k HDP Slovensko zaostáva najmä vo financovaní z verejných zdrojov. Financovanie zo súkromných zdrojov</w:t>
      </w:r>
      <w:r w:rsidR="000B04FD">
        <w:rPr>
          <w:rFonts w:ascii="Times New Roman" w:hAnsi="Times New Roman"/>
          <w:szCs w:val="24"/>
        </w:rPr>
        <w:t xml:space="preserve"> (vrátane zahraničných zdrojov)</w:t>
      </w:r>
      <w:r w:rsidRPr="00451C87">
        <w:rPr>
          <w:rFonts w:ascii="Times New Roman" w:hAnsi="Times New Roman"/>
          <w:szCs w:val="24"/>
        </w:rPr>
        <w:t xml:space="preserve"> zohráva v rámci krajín OECD relatívne najdôležitejšiu úlohu v prípade vysokoškolského vzdelávania.  </w:t>
      </w:r>
    </w:p>
    <w:p w:rsidR="0074158D" w:rsidP="0074158D">
      <w:pPr>
        <w:pStyle w:val="Caption"/>
        <w:bidi w:val="0"/>
        <w:spacing w:before="120" w:after="120"/>
        <w:rPr>
          <w:rFonts w:ascii="Times New Roman" w:hAnsi="Times New Roman"/>
        </w:rPr>
      </w:pPr>
      <w:bookmarkStart w:id="45" w:name="_Toc351635240"/>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5</w:t>
      </w:r>
      <w:r>
        <w:rPr>
          <w:rFonts w:ascii="Times New Roman" w:hAnsi="Times New Roman"/>
        </w:rPr>
        <w:fldChar w:fldCharType="end"/>
      </w:r>
      <w:r>
        <w:rPr>
          <w:rFonts w:ascii="Times New Roman" w:hAnsi="Times New Roman"/>
        </w:rPr>
        <w:t xml:space="preserve"> </w:t>
      </w:r>
      <w:r w:rsidRPr="0074158D">
        <w:rPr>
          <w:rFonts w:ascii="Times New Roman" w:hAnsi="Times New Roman"/>
        </w:rPr>
        <w:t>Výdavky na vzdelávacie inštitúcie podľa stupňa a zdroja  (2009, % HDP)</w:t>
      </w:r>
      <w:bookmarkEnd w:id="45"/>
      <w:r w:rsidRPr="0074158D">
        <w:rPr>
          <w:rFonts w:ascii="Times New Roman" w:hAnsi="Times New Roman"/>
        </w:rPr>
        <w:t xml:space="preserve">   </w:t>
      </w:r>
    </w:p>
    <w:tbl>
      <w:tblPr>
        <w:tblStyle w:val="TableNormal"/>
        <w:tblW w:w="9209" w:type="dxa"/>
        <w:jc w:val="center"/>
        <w:tblCellMar>
          <w:left w:w="70" w:type="dxa"/>
          <w:right w:w="70" w:type="dxa"/>
        </w:tblCellMar>
        <w:tblLook w:val="04A0"/>
      </w:tblPr>
      <w:tblGrid>
        <w:gridCol w:w="718"/>
        <w:gridCol w:w="669"/>
        <w:gridCol w:w="835"/>
        <w:gridCol w:w="532"/>
        <w:gridCol w:w="906"/>
        <w:gridCol w:w="835"/>
        <w:gridCol w:w="577"/>
        <w:gridCol w:w="669"/>
        <w:gridCol w:w="835"/>
        <w:gridCol w:w="579"/>
        <w:gridCol w:w="672"/>
        <w:gridCol w:w="797"/>
        <w:gridCol w:w="585"/>
      </w:tblGrid>
      <w:tr>
        <w:tblPrEx>
          <w:tblW w:w="9209" w:type="dxa"/>
          <w:jc w:val="center"/>
          <w:tblCellMar>
            <w:left w:w="70" w:type="dxa"/>
            <w:right w:w="70" w:type="dxa"/>
          </w:tblCellMar>
          <w:tblLook w:val="04A0"/>
        </w:tblPrEx>
        <w:trPr>
          <w:trHeight w:val="900"/>
          <w:jc w:val="center"/>
        </w:trPr>
        <w:tc>
          <w:tcPr>
            <w:tcW w:w="718" w:type="dxa"/>
            <w:tcBorders>
              <w:top w:val="single" w:sz="4" w:space="0" w:color="auto"/>
              <w:left w:val="single" w:sz="4" w:space="0" w:color="auto"/>
              <w:bottom w:val="single" w:sz="4" w:space="0" w:color="auto"/>
              <w:right w:val="single" w:sz="4" w:space="0" w:color="auto"/>
            </w:tcBorders>
            <w:shd w:val="clear" w:color="auto" w:fill="C6D9F1"/>
            <w:noWrap/>
            <w:textDirection w:val="lrTb"/>
            <w:vAlign w:val="bottom"/>
            <w:hideMark/>
          </w:tcPr>
          <w:p w:rsidR="00451C87" w:rsidRPr="000B04FD" w:rsidP="00451C87">
            <w:pPr>
              <w:bidi w:val="0"/>
              <w:spacing w:after="0"/>
              <w:jc w:val="left"/>
              <w:rPr>
                <w:rFonts w:ascii="Times New Roman" w:hAnsi="Times New Roman"/>
                <w:b/>
                <w:color w:val="000000"/>
                <w:sz w:val="20"/>
                <w:lang w:eastAsia="sk-SK"/>
              </w:rPr>
            </w:pPr>
            <w:r w:rsidRPr="000B04FD">
              <w:rPr>
                <w:rFonts w:ascii="Times New Roman" w:hAnsi="Times New Roman"/>
                <w:b/>
                <w:color w:val="000000"/>
                <w:sz w:val="20"/>
                <w:lang w:eastAsia="sk-SK"/>
              </w:rPr>
              <w:t> </w:t>
            </w:r>
          </w:p>
        </w:tc>
        <w:tc>
          <w:tcPr>
            <w:tcW w:w="2036" w:type="dxa"/>
            <w:gridSpan w:val="3"/>
            <w:tcBorders>
              <w:top w:val="single" w:sz="4" w:space="0" w:color="auto"/>
              <w:left w:val="nil"/>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color w:val="000000"/>
                <w:sz w:val="20"/>
                <w:lang w:eastAsia="sk-SK"/>
              </w:rPr>
            </w:pPr>
            <w:r w:rsidR="000B04FD">
              <w:rPr>
                <w:rFonts w:ascii="Times New Roman" w:hAnsi="Times New Roman"/>
                <w:b/>
                <w:color w:val="000000"/>
                <w:sz w:val="20"/>
                <w:lang w:eastAsia="sk-SK"/>
              </w:rPr>
              <w:t>Predškolské</w:t>
            </w:r>
          </w:p>
        </w:tc>
        <w:tc>
          <w:tcPr>
            <w:tcW w:w="2318" w:type="dxa"/>
            <w:gridSpan w:val="3"/>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0B04FD" w:rsidP="00451C87">
            <w:pPr>
              <w:bidi w:val="0"/>
              <w:spacing w:after="0"/>
              <w:jc w:val="center"/>
              <w:rPr>
                <w:rFonts w:ascii="Times New Roman" w:hAnsi="Times New Roman"/>
                <w:b/>
                <w:color w:val="000000"/>
                <w:sz w:val="20"/>
                <w:lang w:eastAsia="sk-SK"/>
              </w:rPr>
            </w:pPr>
            <w:r w:rsidRPr="000B04FD" w:rsidR="000B04FD">
              <w:rPr>
                <w:rFonts w:ascii="Times New Roman" w:hAnsi="Times New Roman"/>
                <w:b/>
                <w:bCs/>
                <w:color w:val="000000"/>
                <w:sz w:val="20"/>
                <w:lang w:eastAsia="sk-SK"/>
              </w:rPr>
              <w:t>Základné a stredné</w:t>
            </w:r>
          </w:p>
        </w:tc>
        <w:tc>
          <w:tcPr>
            <w:tcW w:w="2083" w:type="dxa"/>
            <w:gridSpan w:val="3"/>
            <w:tcBorders>
              <w:top w:val="single" w:sz="4" w:space="0" w:color="auto"/>
              <w:left w:val="nil"/>
              <w:bottom w:val="single" w:sz="4" w:space="0" w:color="auto"/>
              <w:right w:val="single" w:sz="4" w:space="0" w:color="000000"/>
            </w:tcBorders>
            <w:shd w:val="clear" w:color="auto" w:fill="C6D9F1"/>
            <w:textDirection w:val="lrTb"/>
            <w:vAlign w:val="center"/>
            <w:hideMark/>
          </w:tcPr>
          <w:p w:rsidR="00451C87" w:rsidRPr="000B04FD" w:rsidP="00451C87">
            <w:pPr>
              <w:bidi w:val="0"/>
              <w:spacing w:after="0"/>
              <w:jc w:val="center"/>
              <w:rPr>
                <w:rFonts w:ascii="Times New Roman" w:hAnsi="Times New Roman"/>
                <w:b/>
                <w:color w:val="000000"/>
                <w:sz w:val="20"/>
                <w:lang w:eastAsia="sk-SK"/>
              </w:rPr>
            </w:pPr>
            <w:r w:rsidRPr="000B04FD" w:rsidR="000B04FD">
              <w:rPr>
                <w:rFonts w:ascii="Times New Roman" w:hAnsi="Times New Roman"/>
                <w:b/>
                <w:bCs/>
                <w:color w:val="000000"/>
                <w:sz w:val="20"/>
                <w:lang w:eastAsia="sk-SK"/>
              </w:rPr>
              <w:t>Vysokoškolské</w:t>
            </w:r>
          </w:p>
        </w:tc>
        <w:tc>
          <w:tcPr>
            <w:tcW w:w="2054" w:type="dxa"/>
            <w:gridSpan w:val="3"/>
            <w:tcBorders>
              <w:top w:val="single" w:sz="4" w:space="0" w:color="auto"/>
              <w:left w:val="nil"/>
              <w:bottom w:val="single" w:sz="4" w:space="0" w:color="auto"/>
              <w:right w:val="single" w:sz="4" w:space="0" w:color="000000"/>
            </w:tcBorders>
            <w:shd w:val="clear" w:color="auto" w:fill="C6D9F1"/>
            <w:textDirection w:val="lrTb"/>
            <w:vAlign w:val="center"/>
            <w:hideMark/>
          </w:tcPr>
          <w:p w:rsidR="00451C87" w:rsidRPr="000B04FD" w:rsidP="00451C87">
            <w:pPr>
              <w:bidi w:val="0"/>
              <w:spacing w:after="0"/>
              <w:jc w:val="center"/>
              <w:rPr>
                <w:rFonts w:ascii="Times New Roman" w:hAnsi="Times New Roman"/>
                <w:b/>
                <w:color w:val="000000"/>
                <w:sz w:val="20"/>
                <w:lang w:eastAsia="sk-SK"/>
              </w:rPr>
            </w:pPr>
            <w:r w:rsidR="000B04FD">
              <w:rPr>
                <w:rFonts w:ascii="Times New Roman" w:hAnsi="Times New Roman"/>
                <w:b/>
                <w:color w:val="000000"/>
                <w:sz w:val="20"/>
                <w:lang w:eastAsia="sk-SK"/>
              </w:rPr>
              <w:t>Spolu</w:t>
            </w:r>
          </w:p>
        </w:tc>
      </w:tr>
      <w:tr>
        <w:tblPrEx>
          <w:tblW w:w="9209" w:type="dxa"/>
          <w:jc w:val="center"/>
          <w:tblCellMar>
            <w:left w:w="70" w:type="dxa"/>
            <w:right w:w="70" w:type="dxa"/>
          </w:tblCellMar>
          <w:tblLook w:val="04A0"/>
        </w:tblPrEx>
        <w:trPr>
          <w:trHeight w:val="285"/>
          <w:jc w:val="center"/>
        </w:trPr>
        <w:tc>
          <w:tcPr>
            <w:tcW w:w="718" w:type="dxa"/>
            <w:tcBorders>
              <w:top w:val="nil"/>
              <w:left w:val="single" w:sz="4" w:space="0" w:color="auto"/>
              <w:bottom w:val="single" w:sz="4" w:space="0" w:color="auto"/>
              <w:right w:val="single" w:sz="4" w:space="0" w:color="auto"/>
            </w:tcBorders>
            <w:shd w:val="clear" w:color="auto" w:fill="C6D9F1"/>
            <w:noWrap/>
            <w:textDirection w:val="lrTb"/>
            <w:vAlign w:val="bottom"/>
            <w:hideMark/>
          </w:tcPr>
          <w:p w:rsidR="000B04FD" w:rsidRPr="000B04FD" w:rsidP="00451C87">
            <w:pPr>
              <w:bidi w:val="0"/>
              <w:spacing w:after="0"/>
              <w:jc w:val="left"/>
              <w:rPr>
                <w:rFonts w:ascii="Times New Roman" w:hAnsi="Times New Roman"/>
                <w:b/>
                <w:color w:val="000000"/>
                <w:sz w:val="20"/>
                <w:lang w:eastAsia="sk-SK"/>
              </w:rPr>
            </w:pPr>
            <w:r w:rsidRPr="000B04FD">
              <w:rPr>
                <w:rFonts w:ascii="Times New Roman" w:hAnsi="Times New Roman"/>
                <w:b/>
                <w:color w:val="000000"/>
                <w:sz w:val="20"/>
                <w:lang w:eastAsia="sk-SK"/>
              </w:rPr>
              <w:t> </w:t>
            </w:r>
          </w:p>
        </w:tc>
        <w:tc>
          <w:tcPr>
            <w:tcW w:w="669"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451C87">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Verejné</w:t>
            </w:r>
          </w:p>
        </w:tc>
        <w:tc>
          <w:tcPr>
            <w:tcW w:w="835"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451C87">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Súkromné</w:t>
            </w:r>
          </w:p>
        </w:tc>
        <w:tc>
          <w:tcPr>
            <w:tcW w:w="532"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451C87">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 xml:space="preserve">Spolu </w:t>
            </w:r>
          </w:p>
        </w:tc>
        <w:tc>
          <w:tcPr>
            <w:tcW w:w="906"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Verejné</w:t>
            </w:r>
          </w:p>
        </w:tc>
        <w:tc>
          <w:tcPr>
            <w:tcW w:w="835"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Súkromné</w:t>
            </w:r>
          </w:p>
        </w:tc>
        <w:tc>
          <w:tcPr>
            <w:tcW w:w="577"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 xml:space="preserve">Spolu </w:t>
            </w:r>
          </w:p>
        </w:tc>
        <w:tc>
          <w:tcPr>
            <w:tcW w:w="669"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Verejné</w:t>
            </w:r>
          </w:p>
        </w:tc>
        <w:tc>
          <w:tcPr>
            <w:tcW w:w="835"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Súkromné</w:t>
            </w:r>
          </w:p>
        </w:tc>
        <w:tc>
          <w:tcPr>
            <w:tcW w:w="579"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 xml:space="preserve">Spolu </w:t>
            </w:r>
          </w:p>
        </w:tc>
        <w:tc>
          <w:tcPr>
            <w:tcW w:w="672"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Verejné</w:t>
            </w:r>
          </w:p>
        </w:tc>
        <w:tc>
          <w:tcPr>
            <w:tcW w:w="797"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Súkromné</w:t>
            </w:r>
          </w:p>
        </w:tc>
        <w:tc>
          <w:tcPr>
            <w:tcW w:w="585" w:type="dxa"/>
            <w:tcBorders>
              <w:top w:val="nil"/>
              <w:left w:val="nil"/>
              <w:bottom w:val="single" w:sz="4" w:space="0" w:color="auto"/>
              <w:right w:val="single" w:sz="4" w:space="0" w:color="auto"/>
            </w:tcBorders>
            <w:shd w:val="clear" w:color="auto" w:fill="C6D9F1"/>
            <w:tcMar>
              <w:left w:w="57" w:type="dxa"/>
              <w:right w:w="28" w:type="dxa"/>
            </w:tcMar>
            <w:textDirection w:val="lrTb"/>
            <w:vAlign w:val="center"/>
            <w:hideMark/>
          </w:tcPr>
          <w:p w:rsidR="000B04FD" w:rsidRPr="000B04FD" w:rsidP="000B04FD">
            <w:pPr>
              <w:bidi w:val="0"/>
              <w:spacing w:after="0"/>
              <w:jc w:val="center"/>
              <w:rPr>
                <w:rFonts w:ascii="Times New Roman" w:hAnsi="Times New Roman"/>
                <w:b/>
                <w:color w:val="000000"/>
                <w:sz w:val="16"/>
                <w:szCs w:val="16"/>
                <w:lang w:eastAsia="sk-SK"/>
              </w:rPr>
            </w:pPr>
            <w:r w:rsidRPr="000B04FD">
              <w:rPr>
                <w:rFonts w:ascii="Times New Roman" w:hAnsi="Times New Roman"/>
                <w:b/>
                <w:color w:val="000000"/>
                <w:sz w:val="16"/>
                <w:szCs w:val="16"/>
                <w:lang w:eastAsia="sk-SK"/>
              </w:rPr>
              <w:t xml:space="preserve">Spolu </w:t>
            </w:r>
          </w:p>
        </w:tc>
      </w:tr>
      <w:tr>
        <w:tblPrEx>
          <w:tblW w:w="9209" w:type="dxa"/>
          <w:jc w:val="center"/>
          <w:tblCellMar>
            <w:left w:w="70" w:type="dxa"/>
            <w:right w:w="70" w:type="dxa"/>
          </w:tblCellMar>
          <w:tblLook w:val="04A0"/>
        </w:tblPrEx>
        <w:trPr>
          <w:trHeight w:val="300"/>
          <w:jc w:val="center"/>
        </w:trPr>
        <w:tc>
          <w:tcPr>
            <w:tcW w:w="71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left"/>
              <w:rPr>
                <w:rFonts w:ascii="Times New Roman" w:hAnsi="Times New Roman"/>
                <w:b/>
                <w:color w:val="000000"/>
                <w:sz w:val="20"/>
                <w:lang w:eastAsia="sk-SK"/>
              </w:rPr>
            </w:pPr>
            <w:r w:rsidRPr="000B04FD">
              <w:rPr>
                <w:rFonts w:ascii="Times New Roman" w:hAnsi="Times New Roman"/>
                <w:b/>
                <w:color w:val="000000"/>
                <w:sz w:val="20"/>
                <w:lang w:eastAsia="sk-SK"/>
              </w:rPr>
              <w:t>OECD</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0,5</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0,1</w:t>
            </w:r>
          </w:p>
        </w:tc>
        <w:tc>
          <w:tcPr>
            <w:tcW w:w="53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0,6</w:t>
            </w:r>
          </w:p>
        </w:tc>
        <w:tc>
          <w:tcPr>
            <w:tcW w:w="90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3,7</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0,3</w:t>
            </w:r>
          </w:p>
        </w:tc>
        <w:tc>
          <w:tcPr>
            <w:tcW w:w="57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4,0</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1,1</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0,5</w:t>
            </w:r>
          </w:p>
        </w:tc>
        <w:tc>
          <w:tcPr>
            <w:tcW w:w="57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1,6</w:t>
            </w:r>
          </w:p>
        </w:tc>
        <w:tc>
          <w:tcPr>
            <w:tcW w:w="67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5,4</w:t>
            </w:r>
          </w:p>
        </w:tc>
        <w:tc>
          <w:tcPr>
            <w:tcW w:w="79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0,9</w:t>
            </w:r>
          </w:p>
        </w:tc>
        <w:tc>
          <w:tcPr>
            <w:tcW w:w="58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6,3</w:t>
            </w:r>
          </w:p>
        </w:tc>
      </w:tr>
      <w:tr>
        <w:tblPrEx>
          <w:tblW w:w="9209" w:type="dxa"/>
          <w:jc w:val="center"/>
          <w:tblCellMar>
            <w:left w:w="70" w:type="dxa"/>
            <w:right w:w="70" w:type="dxa"/>
          </w:tblCellMar>
          <w:tblLook w:val="04A0"/>
        </w:tblPrEx>
        <w:trPr>
          <w:trHeight w:val="300"/>
          <w:jc w:val="center"/>
        </w:trPr>
        <w:tc>
          <w:tcPr>
            <w:tcW w:w="71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left"/>
              <w:rPr>
                <w:rFonts w:ascii="Times New Roman" w:hAnsi="Times New Roman"/>
                <w:b/>
                <w:color w:val="000000"/>
                <w:sz w:val="20"/>
                <w:lang w:eastAsia="sk-SK"/>
              </w:rPr>
            </w:pPr>
            <w:r w:rsidRPr="000B04FD">
              <w:rPr>
                <w:rFonts w:ascii="Times New Roman" w:hAnsi="Times New Roman"/>
                <w:b/>
                <w:color w:val="000000"/>
                <w:sz w:val="20"/>
                <w:lang w:eastAsia="sk-SK"/>
              </w:rPr>
              <w:t>EU21</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0,5</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0,1</w:t>
            </w:r>
          </w:p>
        </w:tc>
        <w:tc>
          <w:tcPr>
            <w:tcW w:w="53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0,6</w:t>
            </w:r>
          </w:p>
        </w:tc>
        <w:tc>
          <w:tcPr>
            <w:tcW w:w="90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3,7</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0,2</w:t>
            </w:r>
          </w:p>
        </w:tc>
        <w:tc>
          <w:tcPr>
            <w:tcW w:w="57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3,9</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1,2</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0,3</w:t>
            </w:r>
          </w:p>
        </w:tc>
        <w:tc>
          <w:tcPr>
            <w:tcW w:w="57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1,5</w:t>
            </w:r>
          </w:p>
        </w:tc>
        <w:tc>
          <w:tcPr>
            <w:tcW w:w="67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5,5</w:t>
            </w:r>
          </w:p>
        </w:tc>
        <w:tc>
          <w:tcPr>
            <w:tcW w:w="79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0,5</w:t>
            </w:r>
          </w:p>
        </w:tc>
        <w:tc>
          <w:tcPr>
            <w:tcW w:w="58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6,0</w:t>
            </w:r>
          </w:p>
        </w:tc>
      </w:tr>
      <w:tr>
        <w:tblPrEx>
          <w:tblW w:w="9209" w:type="dxa"/>
          <w:jc w:val="center"/>
          <w:tblCellMar>
            <w:left w:w="70" w:type="dxa"/>
            <w:right w:w="70" w:type="dxa"/>
          </w:tblCellMar>
          <w:tblLook w:val="04A0"/>
        </w:tblPrEx>
        <w:trPr>
          <w:trHeight w:val="300"/>
          <w:jc w:val="center"/>
        </w:trPr>
        <w:tc>
          <w:tcPr>
            <w:tcW w:w="71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left"/>
              <w:rPr>
                <w:rFonts w:ascii="Times New Roman" w:hAnsi="Times New Roman"/>
                <w:b/>
                <w:color w:val="000000"/>
                <w:sz w:val="20"/>
                <w:lang w:eastAsia="sk-SK"/>
              </w:rPr>
            </w:pPr>
            <w:r w:rsidRPr="000B04FD">
              <w:rPr>
                <w:rFonts w:ascii="Times New Roman" w:hAnsi="Times New Roman"/>
                <w:b/>
                <w:color w:val="000000"/>
                <w:sz w:val="20"/>
                <w:lang w:eastAsia="sk-SK"/>
              </w:rPr>
              <w:t>SK</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0,4</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0,1</w:t>
            </w:r>
          </w:p>
        </w:tc>
        <w:tc>
          <w:tcPr>
            <w:tcW w:w="53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0,5</w:t>
            </w:r>
          </w:p>
        </w:tc>
        <w:tc>
          <w:tcPr>
            <w:tcW w:w="90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2,7</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0,3</w:t>
            </w:r>
          </w:p>
        </w:tc>
        <w:tc>
          <w:tcPr>
            <w:tcW w:w="57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3,1</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0,7</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0,3</w:t>
            </w:r>
          </w:p>
        </w:tc>
        <w:tc>
          <w:tcPr>
            <w:tcW w:w="57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0,9</w:t>
            </w:r>
          </w:p>
        </w:tc>
        <w:tc>
          <w:tcPr>
            <w:tcW w:w="67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4,1</w:t>
            </w:r>
          </w:p>
        </w:tc>
        <w:tc>
          <w:tcPr>
            <w:tcW w:w="79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0,6</w:t>
            </w:r>
          </w:p>
        </w:tc>
        <w:tc>
          <w:tcPr>
            <w:tcW w:w="58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4,7</w:t>
            </w:r>
          </w:p>
        </w:tc>
      </w:tr>
      <w:tr>
        <w:tblPrEx>
          <w:tblW w:w="9209" w:type="dxa"/>
          <w:jc w:val="center"/>
          <w:tblCellMar>
            <w:left w:w="70" w:type="dxa"/>
            <w:right w:w="70" w:type="dxa"/>
          </w:tblCellMar>
          <w:tblLook w:val="04A0"/>
        </w:tblPrEx>
        <w:trPr>
          <w:trHeight w:val="300"/>
          <w:jc w:val="center"/>
        </w:trPr>
        <w:tc>
          <w:tcPr>
            <w:tcW w:w="71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left"/>
              <w:rPr>
                <w:rFonts w:ascii="Times New Roman" w:hAnsi="Times New Roman"/>
                <w:b/>
                <w:color w:val="000000"/>
                <w:sz w:val="20"/>
                <w:lang w:eastAsia="sk-SK"/>
              </w:rPr>
            </w:pPr>
            <w:r w:rsidRPr="000B04FD">
              <w:rPr>
                <w:rFonts w:ascii="Times New Roman" w:hAnsi="Times New Roman"/>
                <w:b/>
                <w:color w:val="000000"/>
                <w:sz w:val="20"/>
                <w:lang w:eastAsia="sk-SK"/>
              </w:rPr>
              <w:t>V3</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0,6</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0,1</w:t>
            </w:r>
          </w:p>
        </w:tc>
        <w:tc>
          <w:tcPr>
            <w:tcW w:w="53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0,6</w:t>
            </w:r>
          </w:p>
        </w:tc>
        <w:tc>
          <w:tcPr>
            <w:tcW w:w="90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3,0</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0,2</w:t>
            </w:r>
          </w:p>
        </w:tc>
        <w:tc>
          <w:tcPr>
            <w:tcW w:w="57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3,3</w:t>
            </w:r>
          </w:p>
        </w:tc>
        <w:tc>
          <w:tcPr>
            <w:tcW w:w="66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1,0</w:t>
            </w:r>
          </w:p>
        </w:tc>
        <w:tc>
          <w:tcPr>
            <w:tcW w:w="83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0,4</w:t>
            </w:r>
          </w:p>
        </w:tc>
        <w:tc>
          <w:tcPr>
            <w:tcW w:w="579"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1,4</w:t>
            </w:r>
          </w:p>
        </w:tc>
        <w:tc>
          <w:tcPr>
            <w:tcW w:w="672"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4,7</w:t>
            </w:r>
          </w:p>
        </w:tc>
        <w:tc>
          <w:tcPr>
            <w:tcW w:w="797"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color w:val="000000"/>
                <w:sz w:val="20"/>
                <w:lang w:eastAsia="sk-SK"/>
              </w:rPr>
            </w:pPr>
            <w:r w:rsidRPr="000B04FD">
              <w:rPr>
                <w:rFonts w:ascii="Times New Roman" w:hAnsi="Times New Roman"/>
                <w:color w:val="000000"/>
                <w:sz w:val="20"/>
                <w:lang w:eastAsia="sk-SK"/>
              </w:rPr>
              <w:t>0,7</w:t>
            </w:r>
          </w:p>
        </w:tc>
        <w:tc>
          <w:tcPr>
            <w:tcW w:w="585" w:type="dxa"/>
            <w:tcBorders>
              <w:top w:val="nil"/>
              <w:left w:val="nil"/>
              <w:bottom w:val="single" w:sz="4" w:space="0" w:color="auto"/>
              <w:right w:val="single" w:sz="4" w:space="0" w:color="auto"/>
            </w:tcBorders>
            <w:shd w:val="clear" w:color="000000" w:fill="FFFFFF"/>
            <w:noWrap/>
            <w:textDirection w:val="lrTb"/>
            <w:vAlign w:val="bottom"/>
            <w:hideMark/>
          </w:tcPr>
          <w:p w:rsidR="00451C87" w:rsidRPr="000B04FD" w:rsidP="00451C87">
            <w:pPr>
              <w:bidi w:val="0"/>
              <w:spacing w:after="0"/>
              <w:jc w:val="right"/>
              <w:rPr>
                <w:rFonts w:ascii="Times New Roman" w:hAnsi="Times New Roman"/>
                <w:b/>
                <w:bCs/>
                <w:color w:val="000000"/>
                <w:sz w:val="20"/>
                <w:lang w:eastAsia="sk-SK"/>
              </w:rPr>
            </w:pPr>
            <w:r w:rsidRPr="000B04FD">
              <w:rPr>
                <w:rFonts w:ascii="Times New Roman" w:hAnsi="Times New Roman"/>
                <w:b/>
                <w:bCs/>
                <w:color w:val="000000"/>
                <w:sz w:val="20"/>
                <w:lang w:eastAsia="sk-SK"/>
              </w:rPr>
              <w:t>5,3</w:t>
            </w:r>
          </w:p>
        </w:tc>
      </w:tr>
    </w:tbl>
    <w:p w:rsidR="00987D97" w:rsidRPr="00553B94" w:rsidP="00987D97">
      <w:pPr>
        <w:pStyle w:val="ListParagraph"/>
        <w:autoSpaceDE w:val="0"/>
        <w:autoSpaceDN w:val="0"/>
        <w:bidi w:val="0"/>
        <w:adjustRightInd w:val="0"/>
        <w:spacing w:line="240" w:lineRule="atLeast"/>
        <w:ind w:left="0"/>
        <w:contextualSpacing w:val="0"/>
        <w:rPr>
          <w:rFonts w:ascii="Times New Roman" w:hAnsi="Times New Roman"/>
          <w:sz w:val="16"/>
          <w:szCs w:val="16"/>
        </w:rPr>
      </w:pPr>
      <w:r w:rsidRPr="00553B94">
        <w:rPr>
          <w:rFonts w:ascii="Times New Roman" w:hAnsi="Times New Roman"/>
          <w:sz w:val="16"/>
          <w:szCs w:val="16"/>
        </w:rPr>
        <w:t>Zdroj: OECD</w:t>
      </w:r>
    </w:p>
    <w:p w:rsidR="00451C87" w:rsidRPr="009D19F4" w:rsidP="00DF0A1C">
      <w:pPr>
        <w:pStyle w:val="Heading4"/>
        <w:bidi w:val="0"/>
        <w:ind w:left="851" w:hanging="851"/>
        <w:rPr>
          <w:rFonts w:ascii="Times New Roman" w:hAnsi="Times New Roman"/>
        </w:rPr>
      </w:pPr>
      <w:bookmarkStart w:id="46" w:name="_Toc351637416"/>
      <w:r w:rsidRPr="009D19F4" w:rsidR="009D19F4">
        <w:rPr>
          <w:rFonts w:ascii="Times New Roman" w:hAnsi="Times New Roman"/>
        </w:rPr>
        <w:t>V</w:t>
      </w:r>
      <w:r w:rsidRPr="009D19F4">
        <w:rPr>
          <w:rFonts w:ascii="Times New Roman" w:hAnsi="Times New Roman"/>
        </w:rPr>
        <w:t xml:space="preserve">ýdavky </w:t>
      </w:r>
      <w:r w:rsidR="009D19F4">
        <w:rPr>
          <w:rFonts w:ascii="Times New Roman" w:hAnsi="Times New Roman"/>
        </w:rPr>
        <w:t xml:space="preserve">vzdelávacích inštitúcií </w:t>
      </w:r>
      <w:r w:rsidRPr="009D19F4">
        <w:rPr>
          <w:rFonts w:ascii="Times New Roman" w:hAnsi="Times New Roman"/>
        </w:rPr>
        <w:t xml:space="preserve">na </w:t>
      </w:r>
      <w:r w:rsidR="009D19F4">
        <w:rPr>
          <w:rFonts w:ascii="Times New Roman" w:hAnsi="Times New Roman"/>
        </w:rPr>
        <w:t xml:space="preserve">jedného </w:t>
      </w:r>
      <w:r w:rsidRPr="009D19F4">
        <w:rPr>
          <w:rFonts w:ascii="Times New Roman" w:hAnsi="Times New Roman"/>
        </w:rPr>
        <w:t>žiaka</w:t>
      </w:r>
      <w:bookmarkEnd w:id="46"/>
    </w:p>
    <w:p w:rsidR="00451C87" w:rsidRPr="00451C87" w:rsidP="006F26E8">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Časť rozdielov vo financovaní školstva je spôsobená počtom žiakov. Vo všeobecnosti čím menej má krajina žiakov, tým menej zdrojov potrebuje na ich vzdelávanie. Krajina s vyššími celkovými výdavkami, ale veľkým počtom žiakov môže na jedného žiaka vynakladať v skutočnosti menej peňazí než krajina s nižšími celkovými výdavkami, ale s nižším počtom žiakov.</w:t>
      </w:r>
    </w:p>
    <w:p w:rsidR="00451C87" w:rsidRPr="00451C87" w:rsidP="006F26E8">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Slovensko vynakladá na jedného žiaka po zohľadnení rôznych cenových hladín jednotlivých krajín menej než je priemer OECD aj V3. To platí pre všetky stupne vzdelávania okrem primárneho vzdelávania, kde na jedného žiaka sú výdavky v SR mierne vyššie než je priemer krajín V3.</w:t>
      </w:r>
      <w:r>
        <w:rPr>
          <w:rStyle w:val="FootnoteReference"/>
          <w:rFonts w:ascii="Times New Roman" w:hAnsi="Times New Roman"/>
          <w:szCs w:val="24"/>
          <w:rtl w:val="0"/>
        </w:rPr>
        <w:footnoteReference w:id="3"/>
      </w:r>
      <w:r w:rsidRPr="00451C87">
        <w:rPr>
          <w:rFonts w:ascii="Times New Roman" w:hAnsi="Times New Roman"/>
          <w:szCs w:val="24"/>
        </w:rPr>
        <w:t xml:space="preserve"> V priemere za všetky stupne vzdelávania na Slovensku vynakladáme na jedného žiaka, resp. študenta len 55 % z toho, čo dávajú na jedného žiaka resp. študenta v priemere krajiny OECD. </w:t>
      </w:r>
    </w:p>
    <w:p w:rsidR="006F26E8" w:rsidP="006F26E8">
      <w:pPr>
        <w:pStyle w:val="Caption"/>
        <w:bidi w:val="0"/>
        <w:spacing w:before="120" w:after="120"/>
        <w:ind w:left="1276"/>
        <w:rPr>
          <w:rFonts w:ascii="Times New Roman" w:hAnsi="Times New Roman"/>
        </w:rPr>
      </w:pPr>
      <w:bookmarkStart w:id="47" w:name="_Toc351635241"/>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6</w:t>
      </w:r>
      <w:r>
        <w:rPr>
          <w:rFonts w:ascii="Times New Roman" w:hAnsi="Times New Roman"/>
        </w:rPr>
        <w:fldChar w:fldCharType="end"/>
      </w:r>
      <w:r>
        <w:rPr>
          <w:rFonts w:ascii="Times New Roman" w:hAnsi="Times New Roman"/>
        </w:rPr>
        <w:t xml:space="preserve"> Ročné výdavky </w:t>
      </w:r>
      <w:r w:rsidRPr="0074158D">
        <w:rPr>
          <w:rFonts w:ascii="Times New Roman" w:hAnsi="Times New Roman"/>
        </w:rPr>
        <w:t>vzdelávac</w:t>
      </w:r>
      <w:r w:rsidR="009D19F4">
        <w:rPr>
          <w:rFonts w:ascii="Times New Roman" w:hAnsi="Times New Roman"/>
        </w:rPr>
        <w:t>ích</w:t>
      </w:r>
      <w:r w:rsidRPr="0074158D">
        <w:rPr>
          <w:rFonts w:ascii="Times New Roman" w:hAnsi="Times New Roman"/>
        </w:rPr>
        <w:t xml:space="preserve"> inštitúci</w:t>
      </w:r>
      <w:r w:rsidR="009D19F4">
        <w:rPr>
          <w:rFonts w:ascii="Times New Roman" w:hAnsi="Times New Roman"/>
        </w:rPr>
        <w:t>í</w:t>
      </w:r>
      <w:r w:rsidRPr="0074158D">
        <w:rPr>
          <w:rFonts w:ascii="Times New Roman" w:hAnsi="Times New Roman"/>
        </w:rPr>
        <w:t xml:space="preserve"> </w:t>
      </w:r>
      <w:r w:rsidR="009D19F4">
        <w:rPr>
          <w:rFonts w:ascii="Times New Roman" w:hAnsi="Times New Roman"/>
        </w:rPr>
        <w:t>na jedného študenta</w:t>
      </w:r>
      <w:r w:rsidRPr="0074158D">
        <w:rPr>
          <w:rFonts w:ascii="Times New Roman" w:hAnsi="Times New Roman"/>
        </w:rPr>
        <w:t xml:space="preserve">  (2009, </w:t>
      </w:r>
      <w:r w:rsidR="009D19F4">
        <w:rPr>
          <w:rFonts w:ascii="Times New Roman" w:hAnsi="Times New Roman"/>
        </w:rPr>
        <w:t>USD PPP</w:t>
      </w:r>
      <w:r w:rsidRPr="0074158D">
        <w:rPr>
          <w:rFonts w:ascii="Times New Roman" w:hAnsi="Times New Roman"/>
        </w:rPr>
        <w:t>)</w:t>
      </w:r>
      <w:bookmarkEnd w:id="47"/>
      <w:r w:rsidRPr="0074158D">
        <w:rPr>
          <w:rFonts w:ascii="Times New Roman" w:hAnsi="Times New Roman"/>
        </w:rPr>
        <w:t xml:space="preserve">   </w:t>
      </w:r>
    </w:p>
    <w:tbl>
      <w:tblPr>
        <w:tblStyle w:val="TableNormal"/>
        <w:tblW w:w="7106" w:type="dxa"/>
        <w:jc w:val="center"/>
        <w:tblInd w:w="65" w:type="dxa"/>
        <w:tblCellMar>
          <w:left w:w="70" w:type="dxa"/>
          <w:right w:w="70" w:type="dxa"/>
        </w:tblCellMar>
        <w:tblLook w:val="04A0"/>
      </w:tblPr>
      <w:tblGrid>
        <w:gridCol w:w="1080"/>
        <w:gridCol w:w="1174"/>
        <w:gridCol w:w="1080"/>
        <w:gridCol w:w="1296"/>
        <w:gridCol w:w="1396"/>
        <w:gridCol w:w="1080"/>
      </w:tblGrid>
      <w:tr>
        <w:tblPrEx>
          <w:tblW w:w="7106" w:type="dxa"/>
          <w:jc w:val="center"/>
          <w:tblInd w:w="65" w:type="dxa"/>
          <w:tblCellMar>
            <w:left w:w="70" w:type="dxa"/>
            <w:right w:w="70" w:type="dxa"/>
          </w:tblCellMar>
          <w:tblLook w:val="04A0"/>
        </w:tblPrEx>
        <w:trPr>
          <w:trHeight w:val="1080"/>
          <w:jc w:val="center"/>
        </w:trPr>
        <w:tc>
          <w:tcPr>
            <w:tcW w:w="1080"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451C87" w:rsidRPr="006F26E8" w:rsidP="00451C87">
            <w:pPr>
              <w:bidi w:val="0"/>
              <w:spacing w:after="0"/>
              <w:jc w:val="center"/>
              <w:rPr>
                <w:rFonts w:ascii="Times New Roman" w:hAnsi="Times New Roman"/>
                <w:b/>
                <w:bCs/>
                <w:sz w:val="20"/>
                <w:lang w:eastAsia="sk-SK"/>
              </w:rPr>
            </w:pPr>
            <w:r w:rsidRPr="006F26E8">
              <w:rPr>
                <w:rFonts w:ascii="Times New Roman" w:hAnsi="Times New Roman"/>
                <w:b/>
                <w:bCs/>
                <w:sz w:val="20"/>
                <w:lang w:eastAsia="sk-SK"/>
              </w:rPr>
              <w:t> </w:t>
            </w:r>
          </w:p>
        </w:tc>
        <w:tc>
          <w:tcPr>
            <w:tcW w:w="1174" w:type="dxa"/>
            <w:tcBorders>
              <w:top w:val="single" w:sz="4" w:space="0" w:color="auto"/>
              <w:left w:val="nil"/>
              <w:bottom w:val="single" w:sz="4" w:space="0" w:color="auto"/>
              <w:right w:val="single" w:sz="4" w:space="0" w:color="auto"/>
            </w:tcBorders>
            <w:shd w:val="clear" w:color="auto" w:fill="C6D9F1"/>
            <w:textDirection w:val="lrTb"/>
            <w:vAlign w:val="center"/>
            <w:hideMark/>
          </w:tcPr>
          <w:p w:rsidR="00451C87" w:rsidRPr="006F26E8" w:rsidP="00451C87">
            <w:pPr>
              <w:bidi w:val="0"/>
              <w:spacing w:after="0"/>
              <w:jc w:val="center"/>
              <w:rPr>
                <w:rFonts w:ascii="Times New Roman" w:hAnsi="Times New Roman"/>
                <w:b/>
                <w:bCs/>
                <w:sz w:val="20"/>
                <w:lang w:eastAsia="sk-SK"/>
              </w:rPr>
            </w:pPr>
            <w:r w:rsidR="006F26E8">
              <w:rPr>
                <w:rFonts w:ascii="Times New Roman" w:hAnsi="Times New Roman"/>
                <w:b/>
                <w:bCs/>
                <w:color w:val="000000"/>
                <w:sz w:val="20"/>
                <w:lang w:eastAsia="sk-SK"/>
              </w:rPr>
              <w:t>Predškolské</w:t>
            </w:r>
          </w:p>
        </w:tc>
        <w:tc>
          <w:tcPr>
            <w:tcW w:w="1080" w:type="dxa"/>
            <w:tcBorders>
              <w:top w:val="single" w:sz="4" w:space="0" w:color="auto"/>
              <w:left w:val="nil"/>
              <w:bottom w:val="single" w:sz="4" w:space="0" w:color="auto"/>
              <w:right w:val="single" w:sz="4" w:space="0" w:color="auto"/>
            </w:tcBorders>
            <w:shd w:val="clear" w:color="auto" w:fill="C6D9F1"/>
            <w:textDirection w:val="lrTb"/>
            <w:vAlign w:val="center"/>
            <w:hideMark/>
          </w:tcPr>
          <w:p w:rsidR="00451C87" w:rsidRPr="006F26E8" w:rsidP="00451C87">
            <w:pPr>
              <w:bidi w:val="0"/>
              <w:spacing w:after="0"/>
              <w:jc w:val="center"/>
              <w:rPr>
                <w:rFonts w:ascii="Times New Roman" w:hAnsi="Times New Roman"/>
                <w:b/>
                <w:bCs/>
                <w:sz w:val="20"/>
                <w:lang w:eastAsia="sk-SK"/>
              </w:rPr>
            </w:pPr>
            <w:r w:rsidR="006F26E8">
              <w:rPr>
                <w:rFonts w:ascii="Times New Roman" w:hAnsi="Times New Roman"/>
                <w:b/>
                <w:bCs/>
                <w:sz w:val="20"/>
                <w:lang w:eastAsia="sk-SK"/>
              </w:rPr>
              <w:t>Prvý stupeň ZŠ</w:t>
            </w:r>
          </w:p>
        </w:tc>
        <w:tc>
          <w:tcPr>
            <w:tcW w:w="1296" w:type="dxa"/>
            <w:tcBorders>
              <w:top w:val="single" w:sz="4" w:space="0" w:color="auto"/>
              <w:left w:val="nil"/>
              <w:bottom w:val="single" w:sz="4" w:space="0" w:color="auto"/>
              <w:right w:val="single" w:sz="4" w:space="0" w:color="auto"/>
            </w:tcBorders>
            <w:shd w:val="clear" w:color="auto" w:fill="C6D9F1"/>
            <w:textDirection w:val="lrTb"/>
            <w:vAlign w:val="center"/>
            <w:hideMark/>
          </w:tcPr>
          <w:p w:rsidR="00451C87" w:rsidRPr="006F26E8" w:rsidP="00451C87">
            <w:pPr>
              <w:bidi w:val="0"/>
              <w:spacing w:after="0"/>
              <w:jc w:val="center"/>
              <w:rPr>
                <w:rFonts w:ascii="Times New Roman" w:hAnsi="Times New Roman"/>
                <w:b/>
                <w:bCs/>
                <w:sz w:val="20"/>
                <w:lang w:eastAsia="sk-SK"/>
              </w:rPr>
            </w:pPr>
            <w:r w:rsidR="006F26E8">
              <w:rPr>
                <w:rFonts w:ascii="Times New Roman" w:hAnsi="Times New Roman"/>
                <w:b/>
                <w:bCs/>
                <w:sz w:val="20"/>
                <w:lang w:eastAsia="sk-SK"/>
              </w:rPr>
              <w:t>2. stupeň ZŠ a stredoškolské</w:t>
            </w:r>
          </w:p>
        </w:tc>
        <w:tc>
          <w:tcPr>
            <w:tcW w:w="1396" w:type="dxa"/>
            <w:tcBorders>
              <w:top w:val="single" w:sz="4" w:space="0" w:color="auto"/>
              <w:left w:val="nil"/>
              <w:bottom w:val="single" w:sz="4" w:space="0" w:color="auto"/>
              <w:right w:val="single" w:sz="4" w:space="0" w:color="auto"/>
            </w:tcBorders>
            <w:shd w:val="clear" w:color="auto" w:fill="C6D9F1"/>
            <w:textDirection w:val="lrTb"/>
            <w:vAlign w:val="center"/>
            <w:hideMark/>
          </w:tcPr>
          <w:p w:rsidR="00451C87" w:rsidRPr="006F26E8" w:rsidP="00451C87">
            <w:pPr>
              <w:bidi w:val="0"/>
              <w:spacing w:after="0"/>
              <w:jc w:val="center"/>
              <w:rPr>
                <w:rFonts w:ascii="Times New Roman" w:hAnsi="Times New Roman"/>
                <w:b/>
                <w:bCs/>
                <w:sz w:val="20"/>
                <w:lang w:eastAsia="sk-SK"/>
              </w:rPr>
            </w:pPr>
            <w:r w:rsidR="006F26E8">
              <w:rPr>
                <w:rFonts w:ascii="Times New Roman" w:hAnsi="Times New Roman"/>
                <w:b/>
                <w:bCs/>
                <w:sz w:val="20"/>
                <w:lang w:eastAsia="sk-SK"/>
              </w:rPr>
              <w:t>Vysokoškolské</w:t>
            </w:r>
          </w:p>
        </w:tc>
        <w:tc>
          <w:tcPr>
            <w:tcW w:w="1080" w:type="dxa"/>
            <w:tcBorders>
              <w:top w:val="single" w:sz="4" w:space="0" w:color="auto"/>
              <w:left w:val="nil"/>
              <w:bottom w:val="single" w:sz="4" w:space="0" w:color="auto"/>
              <w:right w:val="single" w:sz="4" w:space="0" w:color="auto"/>
            </w:tcBorders>
            <w:shd w:val="clear" w:color="auto" w:fill="C6D9F1"/>
            <w:textDirection w:val="lrTb"/>
            <w:vAlign w:val="center"/>
            <w:hideMark/>
          </w:tcPr>
          <w:p w:rsidR="00451C87" w:rsidRPr="006F26E8" w:rsidP="00451C87">
            <w:pPr>
              <w:bidi w:val="0"/>
              <w:spacing w:after="0"/>
              <w:jc w:val="center"/>
              <w:rPr>
                <w:rFonts w:ascii="Times New Roman" w:hAnsi="Times New Roman"/>
                <w:b/>
                <w:bCs/>
                <w:sz w:val="20"/>
                <w:lang w:eastAsia="sk-SK"/>
              </w:rPr>
            </w:pPr>
            <w:r w:rsidR="006F26E8">
              <w:rPr>
                <w:rFonts w:ascii="Times New Roman" w:hAnsi="Times New Roman"/>
                <w:b/>
                <w:bCs/>
                <w:sz w:val="20"/>
                <w:lang w:eastAsia="sk-SK"/>
              </w:rPr>
              <w:t>Celkovo</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left"/>
              <w:rPr>
                <w:rFonts w:ascii="Times New Roman" w:hAnsi="Times New Roman"/>
                <w:b/>
                <w:bCs/>
                <w:sz w:val="20"/>
                <w:lang w:eastAsia="sk-SK"/>
              </w:rPr>
            </w:pPr>
            <w:r w:rsidRPr="006F26E8">
              <w:rPr>
                <w:rFonts w:ascii="Times New Roman" w:hAnsi="Times New Roman"/>
                <w:b/>
                <w:bCs/>
                <w:sz w:val="20"/>
                <w:lang w:eastAsia="sk-SK"/>
              </w:rPr>
              <w:t xml:space="preserve">OECD </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6 670</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7 719</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9 312</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13 728</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9 252</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left"/>
              <w:rPr>
                <w:rFonts w:ascii="Times New Roman" w:hAnsi="Times New Roman"/>
                <w:b/>
                <w:bCs/>
                <w:sz w:val="20"/>
                <w:lang w:eastAsia="sk-SK"/>
              </w:rPr>
            </w:pPr>
            <w:r w:rsidRPr="006F26E8">
              <w:rPr>
                <w:rFonts w:ascii="Times New Roman" w:hAnsi="Times New Roman"/>
                <w:b/>
                <w:bCs/>
                <w:sz w:val="20"/>
                <w:lang w:eastAsia="sk-SK"/>
              </w:rPr>
              <w:t xml:space="preserve">EU21 </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6 807</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7 762</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9 513</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12 967</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9 122</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left"/>
              <w:rPr>
                <w:rFonts w:ascii="Times New Roman" w:hAnsi="Times New Roman"/>
                <w:b/>
                <w:bCs/>
                <w:sz w:val="20"/>
                <w:lang w:eastAsia="sk-SK"/>
              </w:rPr>
            </w:pPr>
            <w:r w:rsidRPr="006F26E8">
              <w:rPr>
                <w:rFonts w:ascii="Times New Roman" w:hAnsi="Times New Roman"/>
                <w:b/>
                <w:bCs/>
                <w:sz w:val="20"/>
                <w:lang w:eastAsia="sk-SK"/>
              </w:rPr>
              <w:t>SK</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4 433</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5 099</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4 658</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6 758</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5 134</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left"/>
              <w:rPr>
                <w:rFonts w:ascii="Times New Roman" w:hAnsi="Times New Roman"/>
                <w:b/>
                <w:bCs/>
                <w:sz w:val="20"/>
                <w:lang w:eastAsia="sk-SK"/>
              </w:rPr>
            </w:pPr>
            <w:r w:rsidRPr="006F26E8">
              <w:rPr>
                <w:rFonts w:ascii="Times New Roman" w:hAnsi="Times New Roman"/>
                <w:b/>
                <w:bCs/>
                <w:sz w:val="20"/>
                <w:lang w:eastAsia="sk-SK"/>
              </w:rPr>
              <w:t>V3</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4 936</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4 655</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5 381</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8 177</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6F26E8" w:rsidP="00451C87">
            <w:pPr>
              <w:bidi w:val="0"/>
              <w:spacing w:after="0"/>
              <w:jc w:val="center"/>
              <w:rPr>
                <w:rFonts w:ascii="Times New Roman" w:hAnsi="Times New Roman"/>
                <w:sz w:val="20"/>
                <w:lang w:eastAsia="sk-SK"/>
              </w:rPr>
            </w:pPr>
            <w:r w:rsidRPr="006F26E8">
              <w:rPr>
                <w:rFonts w:ascii="Times New Roman" w:hAnsi="Times New Roman"/>
                <w:sz w:val="20"/>
                <w:lang w:eastAsia="sk-SK"/>
              </w:rPr>
              <w:t>5 703</w:t>
            </w:r>
          </w:p>
        </w:tc>
      </w:tr>
    </w:tbl>
    <w:p w:rsidR="00987D97" w:rsidRPr="00553B94" w:rsidP="00987D97">
      <w:pPr>
        <w:pStyle w:val="ListParagraph"/>
        <w:autoSpaceDE w:val="0"/>
        <w:autoSpaceDN w:val="0"/>
        <w:bidi w:val="0"/>
        <w:adjustRightInd w:val="0"/>
        <w:spacing w:line="240" w:lineRule="atLeast"/>
        <w:ind w:left="993"/>
        <w:contextualSpacing w:val="0"/>
        <w:rPr>
          <w:rFonts w:ascii="Times New Roman" w:hAnsi="Times New Roman"/>
          <w:sz w:val="16"/>
          <w:szCs w:val="16"/>
        </w:rPr>
      </w:pPr>
      <w:r w:rsidRPr="00553B94">
        <w:rPr>
          <w:rFonts w:ascii="Times New Roman" w:hAnsi="Times New Roman"/>
          <w:sz w:val="16"/>
          <w:szCs w:val="16"/>
        </w:rPr>
        <w:t>Zdroj: OECD</w:t>
      </w:r>
    </w:p>
    <w:p w:rsidR="00451C87" w:rsidRPr="00451C87" w:rsidP="00451C87">
      <w:pPr>
        <w:tabs>
          <w:tab w:val="left" w:pos="850"/>
          <w:tab w:val="left" w:pos="1191"/>
          <w:tab w:val="left" w:pos="1531"/>
        </w:tabs>
        <w:bidi w:val="0"/>
        <w:spacing w:after="0" w:line="276" w:lineRule="auto"/>
        <w:rPr>
          <w:rFonts w:ascii="Times New Roman" w:hAnsi="Times New Roman"/>
          <w:szCs w:val="24"/>
          <w:lang w:eastAsia="zh-CN"/>
        </w:rPr>
      </w:pPr>
    </w:p>
    <w:p w:rsidR="00451C87" w:rsidP="006F26E8">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sidR="009D19F4">
        <w:rPr>
          <w:rFonts w:ascii="Times New Roman" w:hAnsi="Times New Roman"/>
          <w:szCs w:val="24"/>
        </w:rPr>
        <w:t>Vzťah medzi výdavkami na žiaka a HDP na obyvateľa je silný. V prípade primárneho a sekundárneho vzdelávania je lineárny, v prípade terciárneho vzdelávanie je mierne exponenciálny. Inak povedané, v prípade primárneho a sekundárneho vzdelávania platí, že čím vyššie  HDP na obyvateľa, tým sú výdavky na žiaka priamo úmerne vyššie</w:t>
      </w:r>
      <w:r w:rsidR="009D19F4">
        <w:rPr>
          <w:rFonts w:ascii="Times New Roman" w:hAnsi="Times New Roman"/>
          <w:szCs w:val="24"/>
        </w:rPr>
        <w:t xml:space="preserve">. </w:t>
      </w:r>
      <w:r w:rsidRPr="00451C87">
        <w:rPr>
          <w:rFonts w:ascii="Times New Roman" w:hAnsi="Times New Roman"/>
          <w:szCs w:val="24"/>
        </w:rPr>
        <w:t>Uveden</w:t>
      </w:r>
      <w:r w:rsidR="009D19F4">
        <w:rPr>
          <w:rFonts w:ascii="Times New Roman" w:hAnsi="Times New Roman"/>
          <w:szCs w:val="24"/>
        </w:rPr>
        <w:t>ý</w:t>
      </w:r>
      <w:r w:rsidRPr="00451C87">
        <w:rPr>
          <w:rFonts w:ascii="Times New Roman" w:hAnsi="Times New Roman"/>
          <w:szCs w:val="24"/>
        </w:rPr>
        <w:t xml:space="preserve"> </w:t>
      </w:r>
      <w:r w:rsidR="009D19F4">
        <w:rPr>
          <w:rFonts w:ascii="Times New Roman" w:hAnsi="Times New Roman"/>
          <w:szCs w:val="24"/>
        </w:rPr>
        <w:t>vzťah je</w:t>
      </w:r>
      <w:r w:rsidRPr="00451C87">
        <w:rPr>
          <w:rFonts w:ascii="Times New Roman" w:hAnsi="Times New Roman"/>
          <w:szCs w:val="24"/>
        </w:rPr>
        <w:t xml:space="preserve"> možné </w:t>
      </w:r>
      <w:r w:rsidR="009D19F4">
        <w:rPr>
          <w:rFonts w:ascii="Times New Roman" w:hAnsi="Times New Roman"/>
          <w:szCs w:val="24"/>
        </w:rPr>
        <w:t>zohľadniť</w:t>
      </w:r>
      <w:r w:rsidRPr="00451C87">
        <w:rPr>
          <w:rFonts w:ascii="Times New Roman" w:hAnsi="Times New Roman"/>
          <w:szCs w:val="24"/>
        </w:rPr>
        <w:t xml:space="preserve"> prostredníctvom </w:t>
      </w:r>
      <w:r w:rsidR="009D19F4">
        <w:rPr>
          <w:rFonts w:ascii="Times New Roman" w:hAnsi="Times New Roman"/>
          <w:szCs w:val="24"/>
        </w:rPr>
        <w:t xml:space="preserve">vyjadrenia </w:t>
      </w:r>
      <w:r w:rsidRPr="00451C87">
        <w:rPr>
          <w:rFonts w:ascii="Times New Roman" w:hAnsi="Times New Roman"/>
          <w:szCs w:val="24"/>
        </w:rPr>
        <w:t xml:space="preserve">výdavkov na žiaka v pomere k HDP na obyvateľa. Z dôvodov nášho nižšieho HDP na obyvateľa zaostávame za priemerom OECD pri takomto porovnaní menej ako pri iných, keď vynakladáme na žiaka približne 80 % z priemerných výdavkov na žiaka v OECD. Aj v tomto porovnávaní zaostávame nielen za priemerom OECD, ale aj za priemerom V3. </w:t>
      </w:r>
    </w:p>
    <w:p w:rsidR="009D19F4" w:rsidP="009D19F4">
      <w:pPr>
        <w:pStyle w:val="Caption"/>
        <w:bidi w:val="0"/>
        <w:spacing w:before="120" w:after="120"/>
        <w:ind w:left="993"/>
        <w:rPr>
          <w:rFonts w:ascii="Times New Roman" w:hAnsi="Times New Roman"/>
        </w:rPr>
      </w:pPr>
      <w:bookmarkStart w:id="48" w:name="_Toc351635242"/>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7</w:t>
      </w:r>
      <w:r>
        <w:rPr>
          <w:rFonts w:ascii="Times New Roman" w:hAnsi="Times New Roman"/>
        </w:rPr>
        <w:fldChar w:fldCharType="end"/>
      </w:r>
      <w:r>
        <w:rPr>
          <w:rFonts w:ascii="Times New Roman" w:hAnsi="Times New Roman"/>
        </w:rPr>
        <w:t xml:space="preserve"> Ročné výdavky </w:t>
      </w:r>
      <w:r w:rsidRPr="0074158D">
        <w:rPr>
          <w:rFonts w:ascii="Times New Roman" w:hAnsi="Times New Roman"/>
        </w:rPr>
        <w:t>vzdelávac</w:t>
      </w:r>
      <w:r>
        <w:rPr>
          <w:rFonts w:ascii="Times New Roman" w:hAnsi="Times New Roman"/>
        </w:rPr>
        <w:t>ích</w:t>
      </w:r>
      <w:r w:rsidRPr="0074158D">
        <w:rPr>
          <w:rFonts w:ascii="Times New Roman" w:hAnsi="Times New Roman"/>
        </w:rPr>
        <w:t xml:space="preserve"> inštitúci</w:t>
      </w:r>
      <w:r>
        <w:rPr>
          <w:rFonts w:ascii="Times New Roman" w:hAnsi="Times New Roman"/>
        </w:rPr>
        <w:t>í</w:t>
      </w:r>
      <w:r w:rsidRPr="0074158D">
        <w:rPr>
          <w:rFonts w:ascii="Times New Roman" w:hAnsi="Times New Roman"/>
        </w:rPr>
        <w:t xml:space="preserve"> </w:t>
      </w:r>
      <w:r>
        <w:rPr>
          <w:rFonts w:ascii="Times New Roman" w:hAnsi="Times New Roman"/>
        </w:rPr>
        <w:t>na jedného študenta v porovnaní s HDP na obyvateľa</w:t>
      </w:r>
      <w:r w:rsidRPr="0074158D">
        <w:rPr>
          <w:rFonts w:ascii="Times New Roman" w:hAnsi="Times New Roman"/>
        </w:rPr>
        <w:t xml:space="preserve">  (2009, </w:t>
      </w:r>
      <w:r>
        <w:rPr>
          <w:rFonts w:ascii="Times New Roman" w:hAnsi="Times New Roman"/>
        </w:rPr>
        <w:t>USD PPP</w:t>
      </w:r>
      <w:r w:rsidRPr="0074158D">
        <w:rPr>
          <w:rFonts w:ascii="Times New Roman" w:hAnsi="Times New Roman"/>
        </w:rPr>
        <w:t>)</w:t>
      </w:r>
      <w:bookmarkEnd w:id="48"/>
      <w:r w:rsidRPr="0074158D">
        <w:rPr>
          <w:rFonts w:ascii="Times New Roman" w:hAnsi="Times New Roman"/>
        </w:rPr>
        <w:t xml:space="preserve">   </w:t>
      </w:r>
    </w:p>
    <w:tbl>
      <w:tblPr>
        <w:tblStyle w:val="TableNormal"/>
        <w:tblW w:w="7106" w:type="dxa"/>
        <w:jc w:val="center"/>
        <w:tblInd w:w="65" w:type="dxa"/>
        <w:tblCellMar>
          <w:left w:w="70" w:type="dxa"/>
          <w:right w:w="70" w:type="dxa"/>
        </w:tblCellMar>
        <w:tblLook w:val="04A0"/>
      </w:tblPr>
      <w:tblGrid>
        <w:gridCol w:w="1080"/>
        <w:gridCol w:w="1174"/>
        <w:gridCol w:w="1080"/>
        <w:gridCol w:w="1296"/>
        <w:gridCol w:w="1396"/>
        <w:gridCol w:w="1080"/>
      </w:tblGrid>
      <w:tr>
        <w:tblPrEx>
          <w:tblW w:w="7106" w:type="dxa"/>
          <w:jc w:val="center"/>
          <w:tblInd w:w="65" w:type="dxa"/>
          <w:tblCellMar>
            <w:left w:w="70" w:type="dxa"/>
            <w:right w:w="70" w:type="dxa"/>
          </w:tblCellMar>
          <w:tblLook w:val="04A0"/>
        </w:tblPrEx>
        <w:trPr>
          <w:trHeight w:val="1080"/>
          <w:jc w:val="center"/>
        </w:trPr>
        <w:tc>
          <w:tcPr>
            <w:tcW w:w="1080" w:type="dxa"/>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9D19F4" w:rsidRPr="009D19F4" w:rsidP="00451C87">
            <w:pPr>
              <w:bidi w:val="0"/>
              <w:spacing w:after="0"/>
              <w:jc w:val="center"/>
              <w:rPr>
                <w:rFonts w:ascii="Times New Roman" w:hAnsi="Times New Roman"/>
                <w:b/>
                <w:bCs/>
                <w:sz w:val="20"/>
                <w:lang w:eastAsia="sk-SK"/>
              </w:rPr>
            </w:pPr>
            <w:r w:rsidRPr="009D19F4">
              <w:rPr>
                <w:rFonts w:ascii="Times New Roman" w:hAnsi="Times New Roman"/>
                <w:b/>
                <w:bCs/>
                <w:sz w:val="20"/>
                <w:lang w:eastAsia="sk-SK"/>
              </w:rPr>
              <w:t> </w:t>
            </w:r>
          </w:p>
        </w:tc>
        <w:tc>
          <w:tcPr>
            <w:tcW w:w="1174" w:type="dxa"/>
            <w:tcBorders>
              <w:top w:val="single" w:sz="4" w:space="0" w:color="auto"/>
              <w:left w:val="nil"/>
              <w:bottom w:val="single" w:sz="4" w:space="0" w:color="auto"/>
              <w:right w:val="single" w:sz="4" w:space="0" w:color="auto"/>
            </w:tcBorders>
            <w:shd w:val="clear" w:color="auto" w:fill="C6D9F1"/>
            <w:textDirection w:val="lrTb"/>
            <w:vAlign w:val="center"/>
            <w:hideMark/>
          </w:tcPr>
          <w:p w:rsidR="009D19F4" w:rsidRPr="009D19F4" w:rsidP="001D47B5">
            <w:pPr>
              <w:bidi w:val="0"/>
              <w:spacing w:after="0"/>
              <w:jc w:val="center"/>
              <w:rPr>
                <w:rFonts w:ascii="Times New Roman" w:hAnsi="Times New Roman"/>
                <w:b/>
                <w:bCs/>
                <w:sz w:val="20"/>
                <w:lang w:eastAsia="sk-SK"/>
              </w:rPr>
            </w:pPr>
            <w:r w:rsidRPr="009D19F4">
              <w:rPr>
                <w:rFonts w:ascii="Times New Roman" w:hAnsi="Times New Roman"/>
                <w:b/>
                <w:bCs/>
                <w:color w:val="000000"/>
                <w:sz w:val="20"/>
                <w:lang w:eastAsia="sk-SK"/>
              </w:rPr>
              <w:t>Predškolské</w:t>
            </w:r>
          </w:p>
        </w:tc>
        <w:tc>
          <w:tcPr>
            <w:tcW w:w="1080" w:type="dxa"/>
            <w:tcBorders>
              <w:top w:val="single" w:sz="4" w:space="0" w:color="auto"/>
              <w:left w:val="nil"/>
              <w:bottom w:val="single" w:sz="4" w:space="0" w:color="auto"/>
              <w:right w:val="single" w:sz="4" w:space="0" w:color="auto"/>
            </w:tcBorders>
            <w:shd w:val="clear" w:color="auto" w:fill="C6D9F1"/>
            <w:textDirection w:val="lrTb"/>
            <w:vAlign w:val="center"/>
            <w:hideMark/>
          </w:tcPr>
          <w:p w:rsidR="009D19F4"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Prvý stupeň ZŠ</w:t>
            </w:r>
          </w:p>
        </w:tc>
        <w:tc>
          <w:tcPr>
            <w:tcW w:w="1296" w:type="dxa"/>
            <w:tcBorders>
              <w:top w:val="single" w:sz="4" w:space="0" w:color="auto"/>
              <w:left w:val="nil"/>
              <w:bottom w:val="single" w:sz="4" w:space="0" w:color="auto"/>
              <w:right w:val="single" w:sz="4" w:space="0" w:color="auto"/>
            </w:tcBorders>
            <w:shd w:val="clear" w:color="auto" w:fill="C6D9F1"/>
            <w:textDirection w:val="lrTb"/>
            <w:vAlign w:val="center"/>
            <w:hideMark/>
          </w:tcPr>
          <w:p w:rsidR="009D19F4"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2. stupeň ZŠ a stredoškolské</w:t>
            </w:r>
          </w:p>
        </w:tc>
        <w:tc>
          <w:tcPr>
            <w:tcW w:w="1396" w:type="dxa"/>
            <w:tcBorders>
              <w:top w:val="single" w:sz="4" w:space="0" w:color="auto"/>
              <w:left w:val="nil"/>
              <w:bottom w:val="single" w:sz="4" w:space="0" w:color="auto"/>
              <w:right w:val="single" w:sz="4" w:space="0" w:color="auto"/>
            </w:tcBorders>
            <w:shd w:val="clear" w:color="auto" w:fill="C6D9F1"/>
            <w:textDirection w:val="lrTb"/>
            <w:vAlign w:val="center"/>
            <w:hideMark/>
          </w:tcPr>
          <w:p w:rsidR="009D19F4"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Vysokoškolské</w:t>
            </w:r>
          </w:p>
        </w:tc>
        <w:tc>
          <w:tcPr>
            <w:tcW w:w="1080" w:type="dxa"/>
            <w:tcBorders>
              <w:top w:val="single" w:sz="4" w:space="0" w:color="auto"/>
              <w:left w:val="nil"/>
              <w:bottom w:val="single" w:sz="4" w:space="0" w:color="auto"/>
              <w:right w:val="single" w:sz="4" w:space="0" w:color="auto"/>
            </w:tcBorders>
            <w:shd w:val="clear" w:color="auto" w:fill="C6D9F1"/>
            <w:textDirection w:val="lrTb"/>
            <w:vAlign w:val="center"/>
            <w:hideMark/>
          </w:tcPr>
          <w:p w:rsidR="009D19F4"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Celkovo</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left"/>
              <w:rPr>
                <w:rFonts w:ascii="Times New Roman" w:hAnsi="Times New Roman"/>
                <w:b/>
                <w:bCs/>
                <w:sz w:val="20"/>
                <w:lang w:eastAsia="sk-SK"/>
              </w:rPr>
            </w:pPr>
            <w:r w:rsidRPr="009D19F4">
              <w:rPr>
                <w:rFonts w:ascii="Times New Roman" w:hAnsi="Times New Roman"/>
                <w:b/>
                <w:bCs/>
                <w:sz w:val="20"/>
                <w:lang w:eastAsia="sk-SK"/>
              </w:rPr>
              <w:t xml:space="preserve">OECD </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20</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23</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27</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42</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29</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left"/>
              <w:rPr>
                <w:rFonts w:ascii="Times New Roman" w:hAnsi="Times New Roman"/>
                <w:b/>
                <w:bCs/>
                <w:sz w:val="20"/>
                <w:lang w:eastAsia="sk-SK"/>
              </w:rPr>
            </w:pPr>
            <w:r w:rsidRPr="009D19F4">
              <w:rPr>
                <w:rFonts w:ascii="Times New Roman" w:hAnsi="Times New Roman"/>
                <w:b/>
                <w:bCs/>
                <w:sz w:val="20"/>
                <w:lang w:eastAsia="sk-SK"/>
              </w:rPr>
              <w:t>EU21</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21</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22</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27</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39</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28</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left"/>
              <w:rPr>
                <w:rFonts w:ascii="Times New Roman" w:hAnsi="Times New Roman"/>
                <w:b/>
                <w:bCs/>
                <w:sz w:val="20"/>
                <w:lang w:eastAsia="sk-SK"/>
              </w:rPr>
            </w:pPr>
            <w:r w:rsidRPr="009D19F4">
              <w:rPr>
                <w:rFonts w:ascii="Times New Roman" w:hAnsi="Times New Roman"/>
                <w:b/>
                <w:bCs/>
                <w:sz w:val="20"/>
                <w:lang w:eastAsia="sk-SK"/>
              </w:rPr>
              <w:t>SK</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20</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23</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21</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30</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23</w:t>
            </w:r>
          </w:p>
        </w:tc>
      </w:tr>
      <w:tr>
        <w:tblPrEx>
          <w:tblW w:w="7106" w:type="dxa"/>
          <w:jc w:val="center"/>
          <w:tblInd w:w="65" w:type="dxa"/>
          <w:tblCellMar>
            <w:left w:w="70" w:type="dxa"/>
            <w:right w:w="70" w:type="dxa"/>
          </w:tblCellMar>
          <w:tblLook w:val="04A0"/>
        </w:tblPrEx>
        <w:trPr>
          <w:trHeight w:val="300"/>
          <w:jc w:val="center"/>
        </w:trPr>
        <w:tc>
          <w:tcPr>
            <w:tcW w:w="108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left"/>
              <w:rPr>
                <w:rFonts w:ascii="Times New Roman" w:hAnsi="Times New Roman"/>
                <w:b/>
                <w:bCs/>
                <w:sz w:val="20"/>
                <w:lang w:eastAsia="sk-SK"/>
              </w:rPr>
            </w:pPr>
            <w:r w:rsidRPr="009D19F4">
              <w:rPr>
                <w:rFonts w:ascii="Times New Roman" w:hAnsi="Times New Roman"/>
                <w:b/>
                <w:bCs/>
                <w:sz w:val="20"/>
                <w:lang w:eastAsia="sk-SK"/>
              </w:rPr>
              <w:t>V3</w:t>
            </w:r>
          </w:p>
        </w:tc>
        <w:tc>
          <w:tcPr>
            <w:tcW w:w="1174"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24</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22</w:t>
            </w:r>
          </w:p>
        </w:tc>
        <w:tc>
          <w:tcPr>
            <w:tcW w:w="12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25</w:t>
            </w:r>
          </w:p>
        </w:tc>
        <w:tc>
          <w:tcPr>
            <w:tcW w:w="1396"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39</w:t>
            </w:r>
          </w:p>
        </w:tc>
        <w:tc>
          <w:tcPr>
            <w:tcW w:w="1080" w:type="dxa"/>
            <w:tcBorders>
              <w:top w:val="nil"/>
              <w:left w:val="nil"/>
              <w:bottom w:val="single" w:sz="4" w:space="0" w:color="auto"/>
              <w:right w:val="single" w:sz="4" w:space="0" w:color="auto"/>
            </w:tcBorders>
            <w:shd w:val="clear" w:color="000000" w:fill="FFFFFF"/>
            <w:noWrap/>
            <w:textDirection w:val="lrTb"/>
            <w:vAlign w:val="bottom"/>
            <w:hideMark/>
          </w:tcPr>
          <w:p w:rsidR="00451C87" w:rsidRPr="009D19F4" w:rsidP="00451C87">
            <w:pPr>
              <w:bidi w:val="0"/>
              <w:spacing w:after="0"/>
              <w:jc w:val="center"/>
              <w:rPr>
                <w:rFonts w:ascii="Times New Roman" w:hAnsi="Times New Roman"/>
                <w:sz w:val="20"/>
                <w:lang w:eastAsia="sk-SK"/>
              </w:rPr>
            </w:pPr>
            <w:r w:rsidRPr="009D19F4">
              <w:rPr>
                <w:rFonts w:ascii="Times New Roman" w:hAnsi="Times New Roman"/>
                <w:sz w:val="20"/>
                <w:lang w:eastAsia="sk-SK"/>
              </w:rPr>
              <w:t>27</w:t>
            </w:r>
          </w:p>
        </w:tc>
      </w:tr>
    </w:tbl>
    <w:p w:rsidR="00987D97" w:rsidRPr="00553B94" w:rsidP="00987D97">
      <w:pPr>
        <w:pStyle w:val="ListParagraph"/>
        <w:autoSpaceDE w:val="0"/>
        <w:autoSpaceDN w:val="0"/>
        <w:bidi w:val="0"/>
        <w:adjustRightInd w:val="0"/>
        <w:spacing w:line="240" w:lineRule="atLeast"/>
        <w:ind w:left="993"/>
        <w:contextualSpacing w:val="0"/>
        <w:rPr>
          <w:rFonts w:ascii="Times New Roman" w:hAnsi="Times New Roman"/>
          <w:sz w:val="16"/>
          <w:szCs w:val="16"/>
        </w:rPr>
      </w:pPr>
      <w:r w:rsidRPr="00553B94">
        <w:rPr>
          <w:rFonts w:ascii="Times New Roman" w:hAnsi="Times New Roman"/>
          <w:sz w:val="16"/>
          <w:szCs w:val="16"/>
        </w:rPr>
        <w:t>Zdroj: OECD</w:t>
      </w:r>
    </w:p>
    <w:p w:rsidR="00451C87" w:rsidP="006F26E8">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 xml:space="preserve">Najviac podfinancované je v porovnaní s priemerom OECD vysokoškolské vzdelávanie. Napríklad v porovnaní s priemerom OECD dávame na jedného študenta vysokej školy  až o 30 % menej, a to aj po zohľadnení nášho nižšieho HDP na obyvateľa. Naopak, najmenej zaostávame vo financovaní predškolského a primárneho vzdelávania. </w:t>
      </w:r>
    </w:p>
    <w:p w:rsidR="00451C87" w:rsidRPr="00451C87" w:rsidP="00DF0A1C">
      <w:pPr>
        <w:pStyle w:val="Heading4"/>
        <w:bidi w:val="0"/>
        <w:ind w:left="851" w:hanging="851"/>
        <w:rPr>
          <w:rFonts w:ascii="Times New Roman" w:hAnsi="Times New Roman"/>
        </w:rPr>
      </w:pPr>
      <w:bookmarkStart w:id="49" w:name="_Toc351637417"/>
      <w:r w:rsidRPr="00451C87">
        <w:rPr>
          <w:rFonts w:ascii="Times New Roman" w:hAnsi="Times New Roman"/>
        </w:rPr>
        <w:t xml:space="preserve">Verejné výdavky </w:t>
      </w:r>
      <w:r w:rsidR="00977DDC">
        <w:rPr>
          <w:rFonts w:ascii="Times New Roman" w:hAnsi="Times New Roman"/>
        </w:rPr>
        <w:t>na vzdelávanie</w:t>
      </w:r>
      <w:bookmarkEnd w:id="49"/>
    </w:p>
    <w:p w:rsidR="00977DDC" w:rsidP="006F26E8">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Pr>
          <w:rFonts w:ascii="Times New Roman" w:hAnsi="Times New Roman"/>
          <w:szCs w:val="24"/>
        </w:rPr>
        <w:t>V</w:t>
      </w:r>
      <w:r w:rsidRPr="00451C87">
        <w:rPr>
          <w:rFonts w:ascii="Times New Roman" w:hAnsi="Times New Roman"/>
          <w:szCs w:val="24"/>
        </w:rPr>
        <w:t xml:space="preserve">erejné výdavky na </w:t>
      </w:r>
      <w:r>
        <w:rPr>
          <w:rFonts w:ascii="Times New Roman" w:hAnsi="Times New Roman"/>
          <w:szCs w:val="24"/>
        </w:rPr>
        <w:t xml:space="preserve">vzdelávanie zahŕňajú tú časť výdavkov </w:t>
      </w:r>
      <w:r w:rsidRPr="00451C87">
        <w:rPr>
          <w:rFonts w:ascii="Times New Roman" w:hAnsi="Times New Roman"/>
          <w:szCs w:val="24"/>
        </w:rPr>
        <w:t>vzdelávac</w:t>
      </w:r>
      <w:r>
        <w:rPr>
          <w:rFonts w:ascii="Times New Roman" w:hAnsi="Times New Roman"/>
          <w:szCs w:val="24"/>
        </w:rPr>
        <w:t>ích</w:t>
      </w:r>
      <w:r w:rsidRPr="00451C87">
        <w:rPr>
          <w:rFonts w:ascii="Times New Roman" w:hAnsi="Times New Roman"/>
          <w:szCs w:val="24"/>
        </w:rPr>
        <w:t xml:space="preserve"> inštitúc</w:t>
      </w:r>
      <w:r>
        <w:rPr>
          <w:rFonts w:ascii="Times New Roman" w:hAnsi="Times New Roman"/>
          <w:szCs w:val="24"/>
        </w:rPr>
        <w:t>ií, ktorá plynie z verejných zdrojov</w:t>
      </w:r>
      <w:r w:rsidRPr="00451C87">
        <w:rPr>
          <w:rFonts w:ascii="Times New Roman" w:hAnsi="Times New Roman"/>
          <w:szCs w:val="24"/>
        </w:rPr>
        <w:t xml:space="preserve">, </w:t>
      </w:r>
      <w:r>
        <w:rPr>
          <w:rFonts w:ascii="Times New Roman" w:hAnsi="Times New Roman"/>
          <w:szCs w:val="24"/>
        </w:rPr>
        <w:t xml:space="preserve">ako aj </w:t>
      </w:r>
      <w:r w:rsidRPr="00451C87">
        <w:rPr>
          <w:rFonts w:ascii="Times New Roman" w:hAnsi="Times New Roman"/>
          <w:szCs w:val="24"/>
        </w:rPr>
        <w:t>transfery a platby z verejných zdrojov na vzdelávacie účely súkromným subjektom</w:t>
      </w:r>
      <w:r>
        <w:rPr>
          <w:rFonts w:ascii="Times New Roman" w:hAnsi="Times New Roman"/>
          <w:szCs w:val="24"/>
        </w:rPr>
        <w:t>, t.j. či už študentom alebo iným subjektom</w:t>
      </w:r>
      <w:r w:rsidRPr="00451C87">
        <w:rPr>
          <w:rFonts w:ascii="Times New Roman" w:hAnsi="Times New Roman"/>
          <w:szCs w:val="24"/>
        </w:rPr>
        <w:t xml:space="preserve"> (napr. štipendiá, atď.)</w:t>
      </w:r>
      <w:r>
        <w:rPr>
          <w:rFonts w:ascii="Times New Roman" w:hAnsi="Times New Roman"/>
          <w:szCs w:val="24"/>
        </w:rPr>
        <w:t>.</w:t>
      </w:r>
      <w:r w:rsidRPr="00451C87">
        <w:rPr>
          <w:rFonts w:ascii="Times New Roman" w:hAnsi="Times New Roman"/>
          <w:szCs w:val="24"/>
        </w:rPr>
        <w:t xml:space="preserve"> </w:t>
      </w:r>
    </w:p>
    <w:p w:rsidR="00451C87" w:rsidP="006F26E8">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00977DDC">
        <w:rPr>
          <w:rFonts w:ascii="Times New Roman" w:hAnsi="Times New Roman"/>
          <w:szCs w:val="24"/>
        </w:rPr>
        <w:t>V</w:t>
      </w:r>
      <w:r w:rsidRPr="006F26E8">
        <w:rPr>
          <w:rFonts w:ascii="Times New Roman" w:hAnsi="Times New Roman"/>
          <w:szCs w:val="24"/>
        </w:rPr>
        <w:t xml:space="preserve"> medzinárodnom porovnaní patria celkové verejné výdavky na vzdelávanie na Slovensku medzi najnižšie v OECD. Platí to vo vyjadrení výdavkov ako ich podielu na HDP, ale aj v ich vyjadrení ako podielu na celkových verejných výdavkoch. Výdavky Slovenska na vzdelávanie z verejných zdrojov boli v roku 2009 4,1 % HDP, pričom priemer V3 bol 4,9 % HDP a priemer OECD 5,8 % HDP. Zlou správou, je že Slovensko nedobieha vyspelé krajiny. </w:t>
      </w:r>
    </w:p>
    <w:p w:rsidR="00B85E41" w:rsidP="00B85E41">
      <w:pPr>
        <w:pStyle w:val="Caption"/>
        <w:bidi w:val="0"/>
        <w:spacing w:before="120" w:after="120"/>
        <w:rPr>
          <w:rFonts w:ascii="Times New Roman" w:hAnsi="Times New Roman"/>
        </w:rPr>
      </w:pPr>
    </w:p>
    <w:p w:rsidR="00B85E41" w:rsidP="00B85E41">
      <w:pPr>
        <w:pStyle w:val="Caption"/>
        <w:bidi w:val="0"/>
        <w:spacing w:before="120" w:after="120"/>
        <w:rPr>
          <w:rFonts w:ascii="Times New Roman" w:hAnsi="Times New Roman"/>
        </w:rPr>
      </w:pPr>
      <w:bookmarkStart w:id="50" w:name="_Toc351635243"/>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8</w:t>
      </w:r>
      <w:r>
        <w:rPr>
          <w:rFonts w:ascii="Times New Roman" w:hAnsi="Times New Roman"/>
        </w:rPr>
        <w:fldChar w:fldCharType="end"/>
      </w:r>
      <w:r>
        <w:rPr>
          <w:rFonts w:ascii="Times New Roman" w:hAnsi="Times New Roman"/>
        </w:rPr>
        <w:t xml:space="preserve"> Celkové verejné výdavky na vzdelávanie</w:t>
      </w:r>
      <w:bookmarkEnd w:id="50"/>
      <w:r w:rsidRPr="0074158D">
        <w:rPr>
          <w:rFonts w:ascii="Times New Roman" w:hAnsi="Times New Roman"/>
        </w:rPr>
        <w:t xml:space="preserve"> </w:t>
      </w:r>
    </w:p>
    <w:tbl>
      <w:tblPr>
        <w:tblStyle w:val="TableNormal"/>
        <w:tblW w:w="5000" w:type="pct"/>
        <w:tblCellMar>
          <w:left w:w="70" w:type="dxa"/>
          <w:right w:w="70" w:type="dxa"/>
        </w:tblCellMar>
        <w:tblLook w:val="04A0"/>
      </w:tblPr>
      <w:tblGrid>
        <w:gridCol w:w="922"/>
        <w:gridCol w:w="1130"/>
        <w:gridCol w:w="1025"/>
        <w:gridCol w:w="1024"/>
        <w:gridCol w:w="1024"/>
        <w:gridCol w:w="1024"/>
        <w:gridCol w:w="1024"/>
        <w:gridCol w:w="1024"/>
        <w:gridCol w:w="1015"/>
      </w:tblGrid>
      <w:tr>
        <w:tblPrEx>
          <w:tblW w:w="5000" w:type="pct"/>
          <w:tblCellMar>
            <w:left w:w="70" w:type="dxa"/>
            <w:right w:w="70" w:type="dxa"/>
          </w:tblCellMar>
          <w:tblLook w:val="04A0"/>
        </w:tblPrEx>
        <w:trPr>
          <w:trHeight w:val="285"/>
        </w:trPr>
        <w:tc>
          <w:tcPr>
            <w:tcW w:w="500" w:type="pct"/>
            <w:tcBorders>
              <w:top w:val="single" w:sz="4" w:space="0" w:color="auto"/>
              <w:left w:val="single" w:sz="4" w:space="0" w:color="auto"/>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 </w:t>
            </w:r>
          </w:p>
        </w:tc>
        <w:tc>
          <w:tcPr>
            <w:tcW w:w="2281" w:type="pct"/>
            <w:gridSpan w:val="4"/>
            <w:tcBorders>
              <w:top w:val="single" w:sz="4" w:space="0" w:color="auto"/>
              <w:left w:val="nil"/>
              <w:bottom w:val="single" w:sz="4" w:space="0" w:color="auto"/>
              <w:right w:val="single" w:sz="4" w:space="0" w:color="000000"/>
            </w:tcBorders>
            <w:shd w:val="clear" w:color="auto" w:fill="C6D9F1"/>
            <w:textDirection w:val="lrTb"/>
            <w:vAlign w:val="center"/>
            <w:hideMark/>
          </w:tcPr>
          <w:p w:rsidR="00B85E41" w:rsidRPr="009D19F4" w:rsidP="003E724F">
            <w:pPr>
              <w:bidi w:val="0"/>
              <w:spacing w:after="0"/>
              <w:jc w:val="center"/>
              <w:rPr>
                <w:rFonts w:ascii="Times New Roman" w:hAnsi="Times New Roman"/>
                <w:b/>
                <w:bCs/>
                <w:sz w:val="20"/>
                <w:lang w:eastAsia="sk-SK"/>
              </w:rPr>
            </w:pPr>
            <w:r w:rsidRPr="009D19F4">
              <w:rPr>
                <w:rFonts w:ascii="Times New Roman" w:hAnsi="Times New Roman"/>
                <w:b/>
                <w:bCs/>
                <w:sz w:val="20"/>
                <w:lang w:eastAsia="sk-SK"/>
              </w:rPr>
              <w:t>Podiel na celkových verejných výdavkoch (%)</w:t>
            </w:r>
          </w:p>
        </w:tc>
        <w:tc>
          <w:tcPr>
            <w:tcW w:w="2218" w:type="pct"/>
            <w:gridSpan w:val="4"/>
            <w:tcBorders>
              <w:top w:val="single" w:sz="4" w:space="0" w:color="auto"/>
              <w:left w:val="nil"/>
              <w:bottom w:val="single" w:sz="4" w:space="0" w:color="auto"/>
              <w:right w:val="single" w:sz="4" w:space="0" w:color="000000"/>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Podiel na HDP (%)</w:t>
            </w:r>
          </w:p>
        </w:tc>
      </w:tr>
      <w:tr>
        <w:tblPrEx>
          <w:tblW w:w="5000" w:type="pct"/>
          <w:tblCellMar>
            <w:left w:w="70" w:type="dxa"/>
            <w:right w:w="70" w:type="dxa"/>
          </w:tblCellMar>
          <w:tblLook w:val="04A0"/>
        </w:tblPrEx>
        <w:trPr>
          <w:trHeight w:val="285"/>
        </w:trPr>
        <w:tc>
          <w:tcPr>
            <w:tcW w:w="500" w:type="pct"/>
            <w:tcBorders>
              <w:top w:val="nil"/>
              <w:left w:val="single" w:sz="4" w:space="0" w:color="auto"/>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 </w:t>
            </w:r>
          </w:p>
        </w:tc>
        <w:tc>
          <w:tcPr>
            <w:tcW w:w="613"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1995</w:t>
            </w:r>
          </w:p>
        </w:tc>
        <w:tc>
          <w:tcPr>
            <w:tcW w:w="556"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2000</w:t>
            </w:r>
          </w:p>
        </w:tc>
        <w:tc>
          <w:tcPr>
            <w:tcW w:w="556"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2005</w:t>
            </w:r>
          </w:p>
        </w:tc>
        <w:tc>
          <w:tcPr>
            <w:tcW w:w="556"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2009</w:t>
            </w:r>
          </w:p>
        </w:tc>
        <w:tc>
          <w:tcPr>
            <w:tcW w:w="556"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1995</w:t>
            </w:r>
          </w:p>
        </w:tc>
        <w:tc>
          <w:tcPr>
            <w:tcW w:w="556"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2000</w:t>
            </w:r>
          </w:p>
        </w:tc>
        <w:tc>
          <w:tcPr>
            <w:tcW w:w="556"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2005</w:t>
            </w:r>
          </w:p>
        </w:tc>
        <w:tc>
          <w:tcPr>
            <w:tcW w:w="551" w:type="pct"/>
            <w:tcBorders>
              <w:top w:val="nil"/>
              <w:left w:val="nil"/>
              <w:bottom w:val="single" w:sz="4" w:space="0" w:color="auto"/>
              <w:right w:val="single" w:sz="4" w:space="0" w:color="auto"/>
            </w:tcBorders>
            <w:shd w:val="clear" w:color="auto" w:fill="C6D9F1"/>
            <w:textDirection w:val="lrTb"/>
            <w:vAlign w:val="center"/>
            <w:hideMark/>
          </w:tcPr>
          <w:p w:rsidR="00B85E41" w:rsidRPr="009D19F4" w:rsidP="001D47B5">
            <w:pPr>
              <w:bidi w:val="0"/>
              <w:spacing w:after="0"/>
              <w:jc w:val="center"/>
              <w:rPr>
                <w:rFonts w:ascii="Times New Roman" w:hAnsi="Times New Roman"/>
                <w:b/>
                <w:bCs/>
                <w:sz w:val="20"/>
                <w:lang w:eastAsia="sk-SK"/>
              </w:rPr>
            </w:pPr>
            <w:r w:rsidRPr="009D19F4">
              <w:rPr>
                <w:rFonts w:ascii="Times New Roman" w:hAnsi="Times New Roman"/>
                <w:b/>
                <w:bCs/>
                <w:sz w:val="20"/>
                <w:lang w:eastAsia="sk-SK"/>
              </w:rPr>
              <w:t>2009</w:t>
            </w:r>
          </w:p>
        </w:tc>
      </w:tr>
      <w:tr>
        <w:tblPrEx>
          <w:tblW w:w="5000" w:type="pct"/>
          <w:tblCellMar>
            <w:left w:w="70" w:type="dxa"/>
            <w:right w:w="70" w:type="dxa"/>
          </w:tblCellMar>
          <w:tblLook w:val="04A0"/>
        </w:tblPrEx>
        <w:trPr>
          <w:trHeight w:val="300"/>
        </w:trPr>
        <w:tc>
          <w:tcPr>
            <w:tcW w:w="500"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left"/>
              <w:rPr>
                <w:rFonts w:ascii="Times New Roman" w:hAnsi="Times New Roman"/>
                <w:b/>
                <w:bCs/>
                <w:sz w:val="20"/>
                <w:lang w:eastAsia="sk-SK"/>
              </w:rPr>
            </w:pPr>
            <w:r w:rsidRPr="009D19F4">
              <w:rPr>
                <w:rFonts w:ascii="Times New Roman" w:hAnsi="Times New Roman"/>
                <w:b/>
                <w:bCs/>
                <w:sz w:val="20"/>
                <w:lang w:eastAsia="sk-SK"/>
              </w:rPr>
              <w:t>OECD</w:t>
            </w:r>
          </w:p>
        </w:tc>
        <w:tc>
          <w:tcPr>
            <w:tcW w:w="613"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11,7</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12,6</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13,0</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13,0</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5,3</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5,2</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5,3</w:t>
            </w:r>
          </w:p>
        </w:tc>
        <w:tc>
          <w:tcPr>
            <w:tcW w:w="551"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5,8</w:t>
            </w:r>
          </w:p>
        </w:tc>
      </w:tr>
      <w:tr>
        <w:tblPrEx>
          <w:tblW w:w="5000" w:type="pct"/>
          <w:tblCellMar>
            <w:left w:w="70" w:type="dxa"/>
            <w:right w:w="70" w:type="dxa"/>
          </w:tblCellMar>
          <w:tblLook w:val="04A0"/>
        </w:tblPrEx>
        <w:trPr>
          <w:trHeight w:val="300"/>
        </w:trPr>
        <w:tc>
          <w:tcPr>
            <w:tcW w:w="500"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left"/>
              <w:rPr>
                <w:rFonts w:ascii="Times New Roman" w:hAnsi="Times New Roman"/>
                <w:b/>
                <w:bCs/>
                <w:sz w:val="20"/>
                <w:lang w:eastAsia="sk-SK"/>
              </w:rPr>
            </w:pPr>
            <w:r w:rsidRPr="009D19F4">
              <w:rPr>
                <w:rFonts w:ascii="Times New Roman" w:hAnsi="Times New Roman"/>
                <w:b/>
                <w:bCs/>
                <w:sz w:val="20"/>
                <w:lang w:eastAsia="sk-SK"/>
              </w:rPr>
              <w:t xml:space="preserve">EU21 </w:t>
            </w:r>
          </w:p>
        </w:tc>
        <w:tc>
          <w:tcPr>
            <w:tcW w:w="613"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10,4</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11,4</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11,8</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11,5</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5,3</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5,1</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5,3</w:t>
            </w:r>
          </w:p>
        </w:tc>
        <w:tc>
          <w:tcPr>
            <w:tcW w:w="551"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5,8</w:t>
            </w:r>
          </w:p>
        </w:tc>
      </w:tr>
      <w:tr>
        <w:tblPrEx>
          <w:tblW w:w="5000" w:type="pct"/>
          <w:tblCellMar>
            <w:left w:w="70" w:type="dxa"/>
            <w:right w:w="70" w:type="dxa"/>
          </w:tblCellMar>
          <w:tblLook w:val="04A0"/>
        </w:tblPrEx>
        <w:trPr>
          <w:trHeight w:val="300"/>
        </w:trPr>
        <w:tc>
          <w:tcPr>
            <w:tcW w:w="500"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left"/>
              <w:rPr>
                <w:rFonts w:ascii="Times New Roman" w:hAnsi="Times New Roman"/>
                <w:b/>
                <w:bCs/>
                <w:sz w:val="20"/>
                <w:lang w:eastAsia="sk-SK"/>
              </w:rPr>
            </w:pPr>
            <w:r w:rsidRPr="009D19F4">
              <w:rPr>
                <w:rFonts w:ascii="Times New Roman" w:hAnsi="Times New Roman"/>
                <w:b/>
                <w:bCs/>
                <w:sz w:val="20"/>
                <w:lang w:eastAsia="sk-SK"/>
              </w:rPr>
              <w:t>SK</w:t>
            </w:r>
          </w:p>
        </w:tc>
        <w:tc>
          <w:tcPr>
            <w:tcW w:w="613"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9,4</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7,5</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10,1</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9,8</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4,6</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3,9</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3,8</w:t>
            </w:r>
          </w:p>
        </w:tc>
        <w:tc>
          <w:tcPr>
            <w:tcW w:w="551"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4,1</w:t>
            </w:r>
          </w:p>
        </w:tc>
      </w:tr>
      <w:tr>
        <w:tblPrEx>
          <w:tblW w:w="5000" w:type="pct"/>
          <w:tblCellMar>
            <w:left w:w="70" w:type="dxa"/>
            <w:right w:w="70" w:type="dxa"/>
          </w:tblCellMar>
          <w:tblLook w:val="04A0"/>
        </w:tblPrEx>
        <w:trPr>
          <w:trHeight w:val="300"/>
        </w:trPr>
        <w:tc>
          <w:tcPr>
            <w:tcW w:w="500"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left"/>
              <w:rPr>
                <w:rFonts w:ascii="Times New Roman" w:hAnsi="Times New Roman"/>
                <w:b/>
                <w:bCs/>
                <w:sz w:val="20"/>
                <w:lang w:eastAsia="sk-SK"/>
              </w:rPr>
            </w:pPr>
            <w:r w:rsidRPr="009D19F4">
              <w:rPr>
                <w:rFonts w:ascii="Times New Roman" w:hAnsi="Times New Roman"/>
                <w:b/>
                <w:bCs/>
                <w:sz w:val="20"/>
                <w:lang w:eastAsia="sk-SK"/>
              </w:rPr>
              <w:t>V3</w:t>
            </w:r>
          </w:p>
        </w:tc>
        <w:tc>
          <w:tcPr>
            <w:tcW w:w="613"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10,0</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10,8</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11,0</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10,4</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5,0</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4,6</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5,0</w:t>
            </w:r>
          </w:p>
        </w:tc>
        <w:tc>
          <w:tcPr>
            <w:tcW w:w="551" w:type="pct"/>
            <w:tcBorders>
              <w:top w:val="nil"/>
              <w:left w:val="nil"/>
              <w:bottom w:val="single" w:sz="4" w:space="0" w:color="auto"/>
              <w:right w:val="single" w:sz="4" w:space="0" w:color="auto"/>
            </w:tcBorders>
            <w:shd w:val="clear" w:color="000000" w:fill="FFFFFF"/>
            <w:noWrap/>
            <w:textDirection w:val="lrTb"/>
            <w:vAlign w:val="bottom"/>
            <w:hideMark/>
          </w:tcPr>
          <w:p w:rsidR="00B85E41" w:rsidRPr="009D19F4" w:rsidP="001D47B5">
            <w:pPr>
              <w:bidi w:val="0"/>
              <w:spacing w:after="0"/>
              <w:jc w:val="center"/>
              <w:rPr>
                <w:rFonts w:ascii="Times New Roman" w:hAnsi="Times New Roman"/>
                <w:sz w:val="20"/>
                <w:lang w:eastAsia="sk-SK"/>
              </w:rPr>
            </w:pPr>
            <w:r w:rsidRPr="009D19F4">
              <w:rPr>
                <w:rFonts w:ascii="Times New Roman" w:hAnsi="Times New Roman"/>
                <w:sz w:val="20"/>
                <w:lang w:eastAsia="sk-SK"/>
              </w:rPr>
              <w:t>4,9</w:t>
            </w:r>
          </w:p>
        </w:tc>
      </w:tr>
    </w:tbl>
    <w:p w:rsidR="00987D97" w:rsidRPr="00553B94" w:rsidP="00987D97">
      <w:pPr>
        <w:pStyle w:val="ListParagraph"/>
        <w:autoSpaceDE w:val="0"/>
        <w:autoSpaceDN w:val="0"/>
        <w:bidi w:val="0"/>
        <w:adjustRightInd w:val="0"/>
        <w:spacing w:line="240" w:lineRule="atLeast"/>
        <w:ind w:left="0"/>
        <w:contextualSpacing w:val="0"/>
        <w:rPr>
          <w:rFonts w:ascii="Times New Roman" w:hAnsi="Times New Roman"/>
          <w:sz w:val="16"/>
          <w:szCs w:val="16"/>
        </w:rPr>
      </w:pPr>
      <w:r w:rsidRPr="00553B94">
        <w:rPr>
          <w:rFonts w:ascii="Times New Roman" w:hAnsi="Times New Roman"/>
          <w:sz w:val="16"/>
          <w:szCs w:val="16"/>
        </w:rPr>
        <w:t>Zdroj: OECD</w:t>
      </w:r>
    </w:p>
    <w:p w:rsidR="00B85E41" w:rsidRPr="00451C87" w:rsidP="00B85E41">
      <w:pPr>
        <w:tabs>
          <w:tab w:val="left" w:pos="850"/>
          <w:tab w:val="left" w:pos="1191"/>
          <w:tab w:val="left" w:pos="1531"/>
        </w:tabs>
        <w:bidi w:val="0"/>
        <w:spacing w:after="0" w:line="276" w:lineRule="auto"/>
        <w:rPr>
          <w:rFonts w:ascii="Times New Roman" w:hAnsi="Times New Roman"/>
          <w:b/>
          <w:szCs w:val="24"/>
          <w:lang w:eastAsia="zh-CN"/>
        </w:rPr>
      </w:pPr>
    </w:p>
    <w:p w:rsidR="00B85E41" w:rsidRPr="006F26E8" w:rsidP="00B85E41">
      <w:pPr>
        <w:pStyle w:val="ListParagraph"/>
        <w:autoSpaceDE w:val="0"/>
        <w:autoSpaceDN w:val="0"/>
        <w:bidi w:val="0"/>
        <w:adjustRightInd w:val="0"/>
        <w:spacing w:line="240" w:lineRule="atLeast"/>
        <w:contextualSpacing w:val="0"/>
        <w:rPr>
          <w:rFonts w:ascii="Times New Roman" w:hAnsi="Times New Roman"/>
          <w:szCs w:val="24"/>
        </w:rPr>
      </w:pPr>
    </w:p>
    <w:p w:rsidR="00451C87" w:rsidP="006F26E8">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451C87">
        <w:rPr>
          <w:rFonts w:ascii="Times New Roman" w:hAnsi="Times New Roman"/>
          <w:szCs w:val="24"/>
        </w:rPr>
        <w:t xml:space="preserve">Naše zaostávanie má dve príčiny, ktoré majú približne rovnaký vplyv. Prvou je nižší podiel celkových verejných výdavkov na HDP (teda veľkosť verejného sektora) na Slovensku v porovnaní s priemerom krajín OECD. Inými slovami, vláda má menej prostriedkov na rozdeľovanie medzi sektory financované z verejných výdavkov ako vlády iných krajín. Kvantitatívne vyjadrené: veľkosť verejného sektora predstavuje približne 75 % priemeru OECD. Jednou z príčin tohto stavu je aj nízky výber daní. Druhou príčinou je, že podiel výdavkov na vzdelávanie na výdavkoch verejného sektora je nižší ako v iných krajinách. Z celkových verejných výdavkov išlo na vzdelávanie v posledných rokoch v SR približne 10 % zdrojov. Priemer OECD je 13,0 % z celkových verejných výdavkov. </w:t>
      </w:r>
    </w:p>
    <w:p w:rsidR="00451C87" w:rsidRPr="00451C87" w:rsidP="00DA0ECA">
      <w:pPr>
        <w:pStyle w:val="Heading2"/>
        <w:bidi w:val="0"/>
        <w:ind w:left="357" w:hanging="357"/>
        <w:rPr>
          <w:rFonts w:ascii="Times New Roman" w:hAnsi="Times New Roman"/>
        </w:rPr>
      </w:pPr>
      <w:bookmarkStart w:id="51" w:name="_Toc351637418"/>
      <w:r w:rsidRPr="00451C87">
        <w:rPr>
          <w:rFonts w:ascii="Times New Roman" w:hAnsi="Times New Roman"/>
        </w:rPr>
        <w:t>Metodika COFOG</w:t>
      </w:r>
      <w:bookmarkEnd w:id="51"/>
      <w:r w:rsidRPr="00451C87">
        <w:rPr>
          <w:rFonts w:ascii="Times New Roman" w:hAnsi="Times New Roman"/>
        </w:rPr>
        <w:t xml:space="preserve"> </w:t>
      </w:r>
    </w:p>
    <w:p w:rsidR="00456F3B" w:rsidRPr="00456F3B" w:rsidP="00DA0ECA">
      <w:pPr>
        <w:pStyle w:val="Heading3"/>
        <w:bidi w:val="0"/>
        <w:ind w:left="567" w:hanging="567"/>
        <w:rPr>
          <w:rFonts w:ascii="Times New Roman" w:hAnsi="Times New Roman"/>
        </w:rPr>
      </w:pPr>
      <w:bookmarkStart w:id="52" w:name="_Toc351637419"/>
      <w:r w:rsidRPr="00456F3B">
        <w:rPr>
          <w:rFonts w:ascii="Times New Roman" w:hAnsi="Times New Roman"/>
        </w:rPr>
        <w:t>Charakteristika metodiky</w:t>
      </w:r>
      <w:bookmarkEnd w:id="52"/>
    </w:p>
    <w:p w:rsidR="00451C87" w:rsidRPr="009D19F4" w:rsidP="009D19F4">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9D19F4">
        <w:rPr>
          <w:rFonts w:ascii="Times New Roman" w:hAnsi="Times New Roman"/>
          <w:szCs w:val="24"/>
        </w:rPr>
        <w:t>Funkčná klasifikácia výdavkov verejnej správy - COFOG (Classification of the Functions of Government) je súčasťou Systému národných účtov z roku 1993. Je určená na štatistické účely a na účely medzinárodného porovnávania ukazovateľov.</w:t>
      </w:r>
    </w:p>
    <w:p w:rsidR="00451C87" w:rsidRPr="009D19F4" w:rsidP="009D19F4">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9D19F4">
        <w:rPr>
          <w:rFonts w:ascii="Times New Roman" w:hAnsi="Times New Roman"/>
          <w:szCs w:val="24"/>
        </w:rPr>
        <w:t xml:space="preserve">Predmetom  klasifikácie sú výdavky jednotlivých </w:t>
      </w:r>
      <w:r w:rsidR="00B85E41">
        <w:rPr>
          <w:rFonts w:ascii="Times New Roman" w:hAnsi="Times New Roman"/>
          <w:szCs w:val="24"/>
        </w:rPr>
        <w:t>verejných</w:t>
      </w:r>
      <w:r w:rsidRPr="009D19F4">
        <w:rPr>
          <w:rFonts w:ascii="Times New Roman" w:hAnsi="Times New Roman"/>
          <w:szCs w:val="24"/>
        </w:rPr>
        <w:t xml:space="preserve"> inštitúcií (výdavky verejnej správy). Využíva sa na klasifikáciu výdavkov poskytovaných </w:t>
      </w:r>
      <w:r w:rsidR="00B85E41">
        <w:rPr>
          <w:rFonts w:ascii="Times New Roman" w:hAnsi="Times New Roman"/>
          <w:szCs w:val="24"/>
        </w:rPr>
        <w:t>verejnými</w:t>
      </w:r>
      <w:r w:rsidRPr="009D19F4">
        <w:rPr>
          <w:rFonts w:ascii="Times New Roman" w:hAnsi="Times New Roman"/>
          <w:szCs w:val="24"/>
        </w:rPr>
        <w:t xml:space="preserve"> inštitúciami. Vzťahuje sa na sektor </w:t>
      </w:r>
      <w:r w:rsidR="00B85E41">
        <w:rPr>
          <w:rFonts w:ascii="Times New Roman" w:hAnsi="Times New Roman"/>
          <w:szCs w:val="24"/>
        </w:rPr>
        <w:t>verejných</w:t>
      </w:r>
      <w:r w:rsidRPr="009D19F4">
        <w:rPr>
          <w:rFonts w:ascii="Times New Roman" w:hAnsi="Times New Roman"/>
          <w:szCs w:val="24"/>
        </w:rPr>
        <w:t xml:space="preserve"> inštitúcií zaoberajúci sa prerozdeľovaním národného dôchodku a tiež na neziskové inštitúcie kontrolované a financované vládou. </w:t>
      </w:r>
    </w:p>
    <w:p w:rsidR="00451C87" w:rsidRPr="009D19F4" w:rsidP="009D19F4">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9D19F4">
        <w:rPr>
          <w:rFonts w:ascii="Times New Roman" w:hAnsi="Times New Roman"/>
          <w:szCs w:val="24"/>
        </w:rPr>
        <w:t xml:space="preserve">Klasifikácia COFOG je štvorúrovňová. Prvé tri úrovne sú medzinárodne štandardizované, štvrtá úroveň zohľadňuje národné špecifiká triedenia výdavkov verejnej správy podľa účelu ich použitia. </w:t>
      </w:r>
    </w:p>
    <w:p w:rsidR="00456F3B" w:rsidP="00DA0ECA">
      <w:pPr>
        <w:pStyle w:val="Heading3"/>
        <w:bidi w:val="0"/>
        <w:ind w:left="567" w:hanging="567"/>
        <w:rPr>
          <w:rFonts w:ascii="Times New Roman" w:hAnsi="Times New Roman"/>
        </w:rPr>
      </w:pPr>
      <w:bookmarkStart w:id="53" w:name="_Toc351637420"/>
      <w:r>
        <w:rPr>
          <w:rFonts w:ascii="Times New Roman" w:hAnsi="Times New Roman"/>
        </w:rPr>
        <w:t>Údaje za SR</w:t>
      </w:r>
      <w:bookmarkEnd w:id="53"/>
    </w:p>
    <w:p w:rsidR="004755E5" w:rsidRPr="004755E5" w:rsidP="004755E5">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001D47B5">
        <w:rPr>
          <w:rFonts w:ascii="Times New Roman" w:hAnsi="Times New Roman"/>
          <w:szCs w:val="24"/>
        </w:rPr>
        <w:t>Nasledujúca tabuľka obsahuje členenie verejných výdavkov podľa funkčnej klasifikácie. Verejné výdavky na vzdelávanie v SR dlhodobo oscilujú okolo 4 % HDP.</w:t>
      </w:r>
    </w:p>
    <w:p w:rsidR="004755E5" w:rsidP="004755E5">
      <w:pPr>
        <w:pStyle w:val="Caption"/>
        <w:bidi w:val="0"/>
        <w:spacing w:before="120" w:after="120"/>
        <w:rPr>
          <w:rFonts w:ascii="Times New Roman" w:hAnsi="Times New Roman"/>
        </w:rPr>
      </w:pPr>
      <w:bookmarkStart w:id="54" w:name="_Toc351635244"/>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9</w:t>
      </w:r>
      <w:r>
        <w:rPr>
          <w:rFonts w:ascii="Times New Roman" w:hAnsi="Times New Roman"/>
        </w:rPr>
        <w:fldChar w:fldCharType="end"/>
      </w:r>
      <w:r>
        <w:rPr>
          <w:rFonts w:ascii="Times New Roman" w:hAnsi="Times New Roman"/>
        </w:rPr>
        <w:t xml:space="preserve"> Vývoj verejných výdavkov v SR podľa jednotlivých funkcií (% HDP)</w:t>
      </w:r>
      <w:bookmarkEnd w:id="54"/>
    </w:p>
    <w:tbl>
      <w:tblPr>
        <w:tblStyle w:val="TableNormal"/>
        <w:tblW w:w="8220" w:type="dxa"/>
        <w:tblInd w:w="55" w:type="dxa"/>
        <w:tblCellMar>
          <w:left w:w="70" w:type="dxa"/>
          <w:right w:w="70" w:type="dxa"/>
        </w:tblCellMar>
        <w:tblLook w:val="04A0"/>
      </w:tblPr>
      <w:tblGrid>
        <w:gridCol w:w="3740"/>
        <w:gridCol w:w="560"/>
        <w:gridCol w:w="560"/>
        <w:gridCol w:w="560"/>
        <w:gridCol w:w="560"/>
        <w:gridCol w:w="560"/>
        <w:gridCol w:w="560"/>
        <w:gridCol w:w="560"/>
        <w:gridCol w:w="560"/>
      </w:tblGrid>
      <w:tr>
        <w:tblPrEx>
          <w:tblW w:w="8220" w:type="dxa"/>
          <w:tblInd w:w="55" w:type="dxa"/>
          <w:tblCellMar>
            <w:left w:w="70" w:type="dxa"/>
            <w:right w:w="70" w:type="dxa"/>
          </w:tblCellMar>
          <w:tblLook w:val="04A0"/>
        </w:tblPrEx>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 </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2004</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2005</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2006</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2007</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2008</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2009</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2010</w:t>
            </w:r>
          </w:p>
        </w:tc>
        <w:tc>
          <w:tcPr>
            <w:tcW w:w="56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2011</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Spolu</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37,7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38,0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36,5</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34,2</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34,9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41,5</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40,0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38,2</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Všeobecné verejné služby</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5,6</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6,1</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5,4</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6,3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5,9</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Obrana</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1,6</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1,5</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1,5</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Verejný poriadok a bezpečnosť</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2,1</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2,4</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2,6</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2,4</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 xml:space="preserve">Ekonomická oblasť </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4,1</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5,1</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5,2</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3,6</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3,7</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Ochrana životného prostredia</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0,6</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 xml:space="preserve">Bývanie a občianska vybavenosť </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0,6</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Zdravotníctvo</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6,4</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7,0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7,8</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6,4</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5,9</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Rekreácia, kultúra a náboženstvo</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0,9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1,1</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1,1</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b/>
                <w:bCs/>
                <w:sz w:val="20"/>
                <w:lang w:eastAsia="sk-SK"/>
              </w:rPr>
            </w:pPr>
            <w:r w:rsidRPr="004755E5">
              <w:rPr>
                <w:rFonts w:ascii="Times New Roman" w:hAnsi="Times New Roman"/>
                <w:b/>
                <w:bCs/>
                <w:sz w:val="20"/>
                <w:lang w:eastAsia="sk-SK"/>
              </w:rPr>
              <w:t>Vzdelávanie</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3,9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4,0</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3,7</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3,9</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3,5</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4,3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4,5</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4,0</w:t>
            </w:r>
          </w:p>
        </w:tc>
      </w:tr>
      <w:tr>
        <w:tblPrEx>
          <w:tblW w:w="822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 xml:space="preserve">Sociálne zabezpečenie </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12,1</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13,2</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10,6</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10,2</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12,3</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12,2</w:t>
            </w:r>
          </w:p>
        </w:tc>
        <w:tc>
          <w:tcPr>
            <w:tcW w:w="56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11,9</w:t>
            </w:r>
          </w:p>
        </w:tc>
      </w:tr>
    </w:tbl>
    <w:p w:rsidR="00987D97" w:rsidRPr="00553B94" w:rsidP="00987D97">
      <w:pPr>
        <w:pStyle w:val="ListParagraph"/>
        <w:autoSpaceDE w:val="0"/>
        <w:autoSpaceDN w:val="0"/>
        <w:bidi w:val="0"/>
        <w:adjustRightInd w:val="0"/>
        <w:spacing w:line="240" w:lineRule="atLeast"/>
        <w:ind w:left="0"/>
        <w:contextualSpacing w:val="0"/>
        <w:rPr>
          <w:rFonts w:ascii="Times New Roman" w:hAnsi="Times New Roman"/>
          <w:sz w:val="16"/>
          <w:szCs w:val="16"/>
        </w:rPr>
      </w:pPr>
      <w:r w:rsidRPr="00553B94">
        <w:rPr>
          <w:rFonts w:ascii="Times New Roman" w:hAnsi="Times New Roman"/>
          <w:sz w:val="16"/>
          <w:szCs w:val="16"/>
        </w:rPr>
        <w:t xml:space="preserve">Zdroj: </w:t>
      </w:r>
      <w:r>
        <w:rPr>
          <w:rFonts w:ascii="Times New Roman" w:hAnsi="Times New Roman"/>
          <w:sz w:val="16"/>
          <w:szCs w:val="16"/>
        </w:rPr>
        <w:t>Eurostat</w:t>
      </w:r>
    </w:p>
    <w:p w:rsidR="001D47B5" w:rsidP="001D47B5">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Pr>
          <w:rFonts w:ascii="Times New Roman" w:hAnsi="Times New Roman"/>
          <w:szCs w:val="24"/>
        </w:rPr>
        <w:t xml:space="preserve">Na uvedené rozdelenie je možné sa pozrieť aj relatívne a to v pomere k celkovým </w:t>
      </w:r>
      <w:r w:rsidR="00831660">
        <w:rPr>
          <w:rFonts w:ascii="Times New Roman" w:hAnsi="Times New Roman"/>
          <w:szCs w:val="24"/>
        </w:rPr>
        <w:t>verejným</w:t>
      </w:r>
      <w:r>
        <w:rPr>
          <w:rFonts w:ascii="Times New Roman" w:hAnsi="Times New Roman"/>
          <w:szCs w:val="24"/>
        </w:rPr>
        <w:t xml:space="preserve"> výdavkom. Verejné výdavky na vzdelávanie v SR predstavujú približne 10 - 11 % z celkových </w:t>
      </w:r>
      <w:r w:rsidR="00831660">
        <w:rPr>
          <w:rFonts w:ascii="Times New Roman" w:hAnsi="Times New Roman"/>
          <w:szCs w:val="24"/>
        </w:rPr>
        <w:t>verejných</w:t>
      </w:r>
      <w:r>
        <w:rPr>
          <w:rFonts w:ascii="Times New Roman" w:hAnsi="Times New Roman"/>
          <w:szCs w:val="24"/>
        </w:rPr>
        <w:t xml:space="preserve"> výdavkov.</w:t>
      </w:r>
    </w:p>
    <w:p w:rsidR="003E724F" w:rsidRPr="004755E5" w:rsidP="003E724F">
      <w:pPr>
        <w:pStyle w:val="ListParagraph"/>
        <w:autoSpaceDE w:val="0"/>
        <w:autoSpaceDN w:val="0"/>
        <w:bidi w:val="0"/>
        <w:adjustRightInd w:val="0"/>
        <w:spacing w:line="240" w:lineRule="atLeast"/>
        <w:ind w:left="0"/>
        <w:contextualSpacing w:val="0"/>
        <w:rPr>
          <w:rFonts w:ascii="Times New Roman" w:hAnsi="Times New Roman"/>
          <w:szCs w:val="24"/>
        </w:rPr>
      </w:pPr>
    </w:p>
    <w:p w:rsidR="004755E5" w:rsidP="004755E5">
      <w:pPr>
        <w:pStyle w:val="Caption"/>
        <w:bidi w:val="0"/>
        <w:spacing w:before="120" w:after="120"/>
        <w:rPr>
          <w:rFonts w:ascii="Times New Roman" w:hAnsi="Times New Roman"/>
        </w:rPr>
      </w:pPr>
      <w:bookmarkStart w:id="55" w:name="_Toc351635245"/>
      <w:r>
        <w:rPr>
          <w:rFonts w:ascii="Times New Roman" w:hAnsi="Times New Roman"/>
        </w:rPr>
        <w:t xml:space="preserve">Tabuľka </w:t>
      </w:r>
      <w:r>
        <w:rPr>
          <w:rFonts w:ascii="Times New Roman" w:hAnsi="Times New Roman"/>
        </w:rPr>
        <w:fldChar w:fldCharType="begin"/>
      </w:r>
      <w:r>
        <w:rPr>
          <w:rFonts w:ascii="Times New Roman" w:hAnsi="Times New Roman"/>
        </w:rPr>
        <w:instrText xml:space="preserve"> SEQ Tabuľka \* ARABIC </w:instrText>
      </w:r>
      <w:r>
        <w:rPr>
          <w:rFonts w:ascii="Times New Roman" w:hAnsi="Times New Roman"/>
        </w:rPr>
        <w:fldChar w:fldCharType="separate"/>
      </w:r>
      <w:r w:rsidR="00DA0ECA">
        <w:rPr>
          <w:rFonts w:ascii="Times New Roman" w:hAnsi="Times New Roman"/>
          <w:noProof/>
        </w:rPr>
        <w:t>10</w:t>
      </w:r>
      <w:r>
        <w:rPr>
          <w:rFonts w:ascii="Times New Roman" w:hAnsi="Times New Roman"/>
        </w:rPr>
        <w:fldChar w:fldCharType="end"/>
      </w:r>
      <w:r>
        <w:rPr>
          <w:rFonts w:ascii="Times New Roman" w:hAnsi="Times New Roman"/>
        </w:rPr>
        <w:t xml:space="preserve"> Vývoj verejných výdavkov v SR podľa jednotlivých funkcií (% celkových verejných výdavkov)</w:t>
      </w:r>
      <w:bookmarkEnd w:id="55"/>
    </w:p>
    <w:tbl>
      <w:tblPr>
        <w:tblStyle w:val="TableNormal"/>
        <w:tblW w:w="8460" w:type="dxa"/>
        <w:tblInd w:w="55" w:type="dxa"/>
        <w:tblCellMar>
          <w:left w:w="70" w:type="dxa"/>
          <w:right w:w="70" w:type="dxa"/>
        </w:tblCellMar>
        <w:tblLook w:val="04A0"/>
      </w:tblPr>
      <w:tblGrid>
        <w:gridCol w:w="3740"/>
        <w:gridCol w:w="590"/>
        <w:gridCol w:w="590"/>
        <w:gridCol w:w="590"/>
        <w:gridCol w:w="590"/>
        <w:gridCol w:w="590"/>
        <w:gridCol w:w="590"/>
        <w:gridCol w:w="590"/>
        <w:gridCol w:w="590"/>
      </w:tblGrid>
      <w:tr>
        <w:tblPrEx>
          <w:tblW w:w="8460" w:type="dxa"/>
          <w:tblInd w:w="55" w:type="dxa"/>
          <w:tblCellMar>
            <w:left w:w="70" w:type="dxa"/>
            <w:right w:w="70" w:type="dxa"/>
          </w:tblCellMar>
          <w:tblLook w:val="04A0"/>
        </w:tblPrEx>
        <w:trPr>
          <w:trHeight w:val="300"/>
        </w:trPr>
        <w:tc>
          <w:tcPr>
            <w:tcW w:w="3740" w:type="dxa"/>
            <w:tcBorders>
              <w:top w:val="single" w:sz="4" w:space="0" w:color="auto"/>
              <w:left w:val="single" w:sz="4" w:space="0" w:color="auto"/>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 </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2004</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2005</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2006</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2007</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2008</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2009</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2010</w:t>
            </w:r>
          </w:p>
        </w:tc>
        <w:tc>
          <w:tcPr>
            <w:tcW w:w="590" w:type="dxa"/>
            <w:tcBorders>
              <w:top w:val="single" w:sz="4" w:space="0" w:color="auto"/>
              <w:left w:val="nil"/>
              <w:bottom w:val="single" w:sz="4" w:space="0" w:color="auto"/>
              <w:right w:val="single" w:sz="4" w:space="0" w:color="auto"/>
            </w:tcBorders>
            <w:shd w:val="clear" w:color="000000" w:fill="C5D9F1"/>
            <w:noWrap/>
            <w:textDirection w:val="lrTb"/>
            <w:vAlign w:val="center"/>
            <w:hideMark/>
          </w:tcPr>
          <w:p w:rsidR="004755E5" w:rsidRPr="004755E5" w:rsidP="004755E5">
            <w:pPr>
              <w:bidi w:val="0"/>
              <w:spacing w:after="0"/>
              <w:jc w:val="center"/>
              <w:rPr>
                <w:rFonts w:ascii="Times New Roman" w:hAnsi="Times New Roman"/>
                <w:b/>
                <w:bCs/>
                <w:color w:val="000000"/>
                <w:sz w:val="18"/>
                <w:szCs w:val="18"/>
                <w:lang w:eastAsia="sk-SK"/>
              </w:rPr>
            </w:pPr>
            <w:r w:rsidRPr="004755E5">
              <w:rPr>
                <w:rFonts w:ascii="Times New Roman" w:hAnsi="Times New Roman"/>
                <w:b/>
                <w:bCs/>
                <w:color w:val="000000"/>
                <w:sz w:val="18"/>
                <w:szCs w:val="18"/>
                <w:lang w:eastAsia="sk-SK"/>
              </w:rPr>
              <w:t>2011</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Spolu</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100,0</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Všeobecné verejné služby</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15,0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16,0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10,9</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10,5</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13,1</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15,8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15,4</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Obrana</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4,3</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4,7</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4,5</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3,1</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2,7</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Verejný poriadok a bezpečnosť</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6,2</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5,4</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5,5</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5,8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6,6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6,4</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 xml:space="preserve">Ekonomická oblasť </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11,5</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9,9</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10,6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12,1</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14,5</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8,9</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9,8</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Ochrana životného prostredia</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1,7</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1,7</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1,9</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1,9</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2,3</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2,7</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 xml:space="preserve">Bývanie a občianska vybavenosť </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2,1</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2,2</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1,9</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2,5</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2,6</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Zdravotníctvo</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12,4</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12,8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16,0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18,7</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19,9</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18,8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16,0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15,5</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Rekreácia, kultúra a náboženstvo</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3,4</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2,4</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3,0</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b/>
                <w:bCs/>
                <w:sz w:val="20"/>
                <w:lang w:eastAsia="sk-SK"/>
              </w:rPr>
            </w:pPr>
            <w:r w:rsidRPr="004755E5">
              <w:rPr>
                <w:rFonts w:ascii="Times New Roman" w:hAnsi="Times New Roman"/>
                <w:b/>
                <w:bCs/>
                <w:sz w:val="20"/>
                <w:lang w:eastAsia="sk-SK"/>
              </w:rPr>
              <w:t>Vzdelávanie</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10,5</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10,4</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10,2</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11,3</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10,0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10,4</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11,2</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b/>
                <w:bCs/>
                <w:sz w:val="20"/>
                <w:lang w:eastAsia="sk-SK"/>
              </w:rPr>
            </w:pPr>
            <w:r w:rsidRPr="004755E5">
              <w:rPr>
                <w:rFonts w:ascii="Times New Roman" w:hAnsi="Times New Roman"/>
                <w:b/>
                <w:bCs/>
                <w:sz w:val="20"/>
                <w:lang w:eastAsia="sk-SK"/>
              </w:rPr>
              <w:t>10,6</w:t>
            </w:r>
          </w:p>
        </w:tc>
      </w:tr>
      <w:tr>
        <w:tblPrEx>
          <w:tblW w:w="8460" w:type="dxa"/>
          <w:tblInd w:w="55" w:type="dxa"/>
          <w:tblCellMar>
            <w:left w:w="70" w:type="dxa"/>
            <w:right w:w="70" w:type="dxa"/>
          </w:tblCellMar>
          <w:tblLook w:val="04A0"/>
        </w:tblPrEx>
        <w:trPr>
          <w:trHeight w:val="300"/>
        </w:trPr>
        <w:tc>
          <w:tcPr>
            <w:tcW w:w="3740" w:type="dxa"/>
            <w:tcBorders>
              <w:top w:val="nil"/>
              <w:left w:val="single" w:sz="4" w:space="0" w:color="000000"/>
              <w:bottom w:val="single" w:sz="4" w:space="0" w:color="000000"/>
              <w:right w:val="single" w:sz="4" w:space="0" w:color="000000"/>
            </w:tcBorders>
            <w:shd w:val="clear" w:color="000000" w:fill="FFFFFF"/>
            <w:noWrap/>
            <w:textDirection w:val="lrTb"/>
            <w:vAlign w:val="center"/>
            <w:hideMark/>
          </w:tcPr>
          <w:p w:rsidR="004755E5" w:rsidRPr="004755E5" w:rsidP="004755E5">
            <w:pPr>
              <w:bidi w:val="0"/>
              <w:spacing w:after="0"/>
              <w:jc w:val="left"/>
              <w:rPr>
                <w:rFonts w:ascii="Times New Roman" w:hAnsi="Times New Roman"/>
                <w:sz w:val="20"/>
                <w:lang w:eastAsia="sk-SK"/>
              </w:rPr>
            </w:pPr>
            <w:r w:rsidRPr="004755E5">
              <w:rPr>
                <w:rFonts w:ascii="Times New Roman" w:hAnsi="Times New Roman"/>
                <w:sz w:val="20"/>
                <w:lang w:eastAsia="sk-SK"/>
              </w:rPr>
              <w:t xml:space="preserve">Sociálne zabezpečenie </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32,2</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34,8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33,8</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31,0</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29,1</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29,6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30,6</w:t>
            </w:r>
          </w:p>
        </w:tc>
        <w:tc>
          <w:tcPr>
            <w:tcW w:w="590" w:type="dxa"/>
            <w:tcBorders>
              <w:top w:val="nil"/>
              <w:left w:val="nil"/>
              <w:bottom w:val="single" w:sz="4" w:space="0" w:color="000000"/>
              <w:right w:val="single" w:sz="4" w:space="0" w:color="000000"/>
            </w:tcBorders>
            <w:noWrap/>
            <w:textDirection w:val="lrTb"/>
            <w:vAlign w:val="center"/>
            <w:hideMark/>
          </w:tcPr>
          <w:p w:rsidR="004755E5" w:rsidRPr="004755E5" w:rsidP="004755E5">
            <w:pPr>
              <w:bidi w:val="0"/>
              <w:spacing w:after="0"/>
              <w:jc w:val="right"/>
              <w:rPr>
                <w:rFonts w:ascii="Times New Roman" w:hAnsi="Times New Roman"/>
                <w:sz w:val="20"/>
                <w:lang w:eastAsia="sk-SK"/>
              </w:rPr>
            </w:pPr>
            <w:r w:rsidRPr="004755E5">
              <w:rPr>
                <w:rFonts w:ascii="Times New Roman" w:hAnsi="Times New Roman"/>
                <w:sz w:val="20"/>
                <w:lang w:eastAsia="sk-SK"/>
              </w:rPr>
              <w:t>31,3</w:t>
            </w:r>
          </w:p>
        </w:tc>
      </w:tr>
    </w:tbl>
    <w:p w:rsidR="00987D97" w:rsidP="00987D97">
      <w:pPr>
        <w:pStyle w:val="ListParagraph"/>
        <w:autoSpaceDE w:val="0"/>
        <w:autoSpaceDN w:val="0"/>
        <w:bidi w:val="0"/>
        <w:adjustRightInd w:val="0"/>
        <w:spacing w:line="240" w:lineRule="atLeast"/>
        <w:ind w:left="0"/>
        <w:contextualSpacing w:val="0"/>
        <w:rPr>
          <w:rFonts w:ascii="Times New Roman" w:hAnsi="Times New Roman"/>
          <w:sz w:val="16"/>
          <w:szCs w:val="16"/>
        </w:rPr>
      </w:pPr>
      <w:r w:rsidRPr="00553B94">
        <w:rPr>
          <w:rFonts w:ascii="Times New Roman" w:hAnsi="Times New Roman"/>
          <w:sz w:val="16"/>
          <w:szCs w:val="16"/>
        </w:rPr>
        <w:t xml:space="preserve">Zdroj: </w:t>
      </w:r>
      <w:r>
        <w:rPr>
          <w:rFonts w:ascii="Times New Roman" w:hAnsi="Times New Roman"/>
          <w:sz w:val="16"/>
          <w:szCs w:val="16"/>
        </w:rPr>
        <w:t>Eurostat</w:t>
      </w:r>
    </w:p>
    <w:p w:rsidR="003E724F" w:rsidRPr="00553B94" w:rsidP="00987D97">
      <w:pPr>
        <w:pStyle w:val="ListParagraph"/>
        <w:autoSpaceDE w:val="0"/>
        <w:autoSpaceDN w:val="0"/>
        <w:bidi w:val="0"/>
        <w:adjustRightInd w:val="0"/>
        <w:spacing w:line="240" w:lineRule="atLeast"/>
        <w:ind w:left="0"/>
        <w:contextualSpacing w:val="0"/>
        <w:rPr>
          <w:rFonts w:ascii="Times New Roman" w:hAnsi="Times New Roman"/>
          <w:sz w:val="16"/>
          <w:szCs w:val="16"/>
        </w:rPr>
      </w:pPr>
    </w:p>
    <w:p w:rsidR="00456F3B" w:rsidRPr="00456F3B" w:rsidP="00DA0ECA">
      <w:pPr>
        <w:pStyle w:val="Heading3"/>
        <w:bidi w:val="0"/>
        <w:ind w:left="567" w:hanging="567"/>
        <w:rPr>
          <w:rFonts w:ascii="Times New Roman" w:hAnsi="Times New Roman"/>
        </w:rPr>
      </w:pPr>
      <w:bookmarkStart w:id="56" w:name="_Toc351637421"/>
      <w:r>
        <w:rPr>
          <w:rFonts w:ascii="Times New Roman" w:hAnsi="Times New Roman"/>
        </w:rPr>
        <w:t>Medzinárodné porovnanie</w:t>
      </w:r>
      <w:bookmarkEnd w:id="56"/>
    </w:p>
    <w:p w:rsidR="001D47B5" w:rsidP="009D19F4">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Pr>
          <w:rFonts w:ascii="Times New Roman" w:hAnsi="Times New Roman"/>
          <w:szCs w:val="24"/>
        </w:rPr>
        <w:t xml:space="preserve">Verejné výdavky na vzdelávanie podľa metodiky COFOG je možné aj medzinárodne porovnať. </w:t>
      </w:r>
      <w:r w:rsidRPr="009D19F4" w:rsidR="00451C87">
        <w:rPr>
          <w:rFonts w:ascii="Times New Roman" w:hAnsi="Times New Roman"/>
          <w:szCs w:val="24"/>
        </w:rPr>
        <w:t xml:space="preserve">Na nasledujúcom grafe je zobrazená alokácia verejných výdavkov na Slovensku za rok 2011 </w:t>
      </w:r>
      <w:r>
        <w:rPr>
          <w:rFonts w:ascii="Times New Roman" w:hAnsi="Times New Roman"/>
          <w:szCs w:val="24"/>
        </w:rPr>
        <w:t xml:space="preserve">(najnovší dostupný údaj) </w:t>
      </w:r>
      <w:r w:rsidRPr="009D19F4" w:rsidR="00451C87">
        <w:rPr>
          <w:rFonts w:ascii="Times New Roman" w:hAnsi="Times New Roman"/>
          <w:szCs w:val="24"/>
        </w:rPr>
        <w:t xml:space="preserve">v porovnaní  s medzinárodnými benchmarkmi za rok 2010. </w:t>
      </w:r>
      <w:r>
        <w:rPr>
          <w:rFonts w:ascii="Times New Roman" w:hAnsi="Times New Roman"/>
          <w:szCs w:val="24"/>
        </w:rPr>
        <w:t>Pre porovnanie sme použili š</w:t>
      </w:r>
      <w:r w:rsidRPr="009D19F4" w:rsidR="00451C87">
        <w:rPr>
          <w:rFonts w:ascii="Times New Roman" w:hAnsi="Times New Roman"/>
          <w:szCs w:val="24"/>
        </w:rPr>
        <w:t xml:space="preserve">tyri rôzne benchmarky: EÚ 27, EÚ 15, V3 a priemer </w:t>
      </w:r>
      <w:r>
        <w:rPr>
          <w:rFonts w:ascii="Times New Roman" w:hAnsi="Times New Roman"/>
          <w:szCs w:val="24"/>
        </w:rPr>
        <w:t xml:space="preserve">5 </w:t>
      </w:r>
      <w:r w:rsidRPr="009D19F4" w:rsidR="00451C87">
        <w:rPr>
          <w:rFonts w:ascii="Times New Roman" w:hAnsi="Times New Roman"/>
          <w:szCs w:val="24"/>
        </w:rPr>
        <w:t>európskych krajín</w:t>
      </w:r>
      <w:r>
        <w:rPr>
          <w:rFonts w:ascii="Times New Roman" w:hAnsi="Times New Roman"/>
          <w:szCs w:val="24"/>
        </w:rPr>
        <w:t>, ktoré sa najlepšie umiestnili v</w:t>
      </w:r>
      <w:r w:rsidRPr="009D19F4">
        <w:rPr>
          <w:rFonts w:ascii="Times New Roman" w:hAnsi="Times New Roman"/>
          <w:szCs w:val="24"/>
        </w:rPr>
        <w:t xml:space="preserve"> rebríčku OECD Better Life</w:t>
      </w:r>
      <w:r>
        <w:rPr>
          <w:rFonts w:ascii="Times New Roman" w:hAnsi="Times New Roman"/>
          <w:szCs w:val="24"/>
        </w:rPr>
        <w:t>, konkrétne ide o</w:t>
      </w:r>
      <w:r w:rsidRPr="009D19F4" w:rsidR="00451C87">
        <w:rPr>
          <w:rFonts w:ascii="Times New Roman" w:hAnsi="Times New Roman"/>
          <w:szCs w:val="24"/>
        </w:rPr>
        <w:t xml:space="preserve">  Dánsko, Holandsko, Švédsko, Nórsko, Švajčiarsko (</w:t>
      </w:r>
      <w:r>
        <w:rPr>
          <w:rFonts w:ascii="Times New Roman" w:hAnsi="Times New Roman"/>
          <w:szCs w:val="24"/>
        </w:rPr>
        <w:t>skratka SC</w:t>
      </w:r>
      <w:r w:rsidRPr="009D19F4" w:rsidR="00451C87">
        <w:rPr>
          <w:rFonts w:ascii="Times New Roman" w:hAnsi="Times New Roman"/>
          <w:szCs w:val="24"/>
        </w:rPr>
        <w:t xml:space="preserve">). </w:t>
      </w:r>
    </w:p>
    <w:p w:rsidR="00451C87" w:rsidP="009D19F4">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9D19F4">
        <w:rPr>
          <w:rFonts w:ascii="Times New Roman" w:hAnsi="Times New Roman"/>
          <w:szCs w:val="24"/>
        </w:rPr>
        <w:t>V porovnaní s priemerom „úspešných“ krajín dávame relatívne najmenej verejných prostriedkov práve na vzdelávanie. V porovnaní s priemerom EÚ27 a EÚ15 relatívne viac z balíka verejných výdavkov plynie v priemere v týchto krajinách v porovnaní so Slovenskom do sociálneho zabezpečenia (vyplýva to z demografickej štruktúry obyvateľstva) a obrany. Vzdelávanie je však treťou relatívne najviac podfinancovanou oblasťou verejných výdavkov. Dokonca na vzdelávanie vynakladáme z verejných zdrojov menší podiel aj v porovnaní s priemerom krajín V3.</w:t>
      </w:r>
    </w:p>
    <w:p w:rsidR="003E724F" w:rsidP="003E724F">
      <w:pPr>
        <w:pStyle w:val="ListParagraph"/>
        <w:autoSpaceDE w:val="0"/>
        <w:autoSpaceDN w:val="0"/>
        <w:bidi w:val="0"/>
        <w:adjustRightInd w:val="0"/>
        <w:spacing w:line="240" w:lineRule="atLeast"/>
        <w:contextualSpacing w:val="0"/>
        <w:rPr>
          <w:rFonts w:ascii="Times New Roman" w:hAnsi="Times New Roman"/>
          <w:szCs w:val="24"/>
        </w:rPr>
      </w:pPr>
    </w:p>
    <w:p w:rsidR="003E724F" w:rsidP="003E724F">
      <w:pPr>
        <w:pStyle w:val="ListParagraph"/>
        <w:autoSpaceDE w:val="0"/>
        <w:autoSpaceDN w:val="0"/>
        <w:bidi w:val="0"/>
        <w:adjustRightInd w:val="0"/>
        <w:spacing w:line="240" w:lineRule="atLeast"/>
        <w:contextualSpacing w:val="0"/>
        <w:rPr>
          <w:rFonts w:ascii="Times New Roman" w:hAnsi="Times New Roman"/>
          <w:szCs w:val="24"/>
        </w:rPr>
      </w:pPr>
    </w:p>
    <w:p w:rsidR="003E724F" w:rsidP="003E724F">
      <w:pPr>
        <w:pStyle w:val="ListParagraph"/>
        <w:autoSpaceDE w:val="0"/>
        <w:autoSpaceDN w:val="0"/>
        <w:bidi w:val="0"/>
        <w:adjustRightInd w:val="0"/>
        <w:spacing w:line="240" w:lineRule="atLeast"/>
        <w:contextualSpacing w:val="0"/>
        <w:rPr>
          <w:rFonts w:ascii="Times New Roman" w:hAnsi="Times New Roman"/>
          <w:szCs w:val="24"/>
        </w:rPr>
      </w:pPr>
    </w:p>
    <w:p w:rsidR="003E724F" w:rsidP="003E724F">
      <w:pPr>
        <w:pStyle w:val="ListParagraph"/>
        <w:autoSpaceDE w:val="0"/>
        <w:autoSpaceDN w:val="0"/>
        <w:bidi w:val="0"/>
        <w:adjustRightInd w:val="0"/>
        <w:spacing w:line="240" w:lineRule="atLeast"/>
        <w:contextualSpacing w:val="0"/>
        <w:rPr>
          <w:rFonts w:ascii="Times New Roman" w:hAnsi="Times New Roman"/>
          <w:szCs w:val="24"/>
        </w:rPr>
      </w:pPr>
    </w:p>
    <w:p w:rsidR="003E724F" w:rsidP="003E724F">
      <w:pPr>
        <w:pStyle w:val="ListParagraph"/>
        <w:autoSpaceDE w:val="0"/>
        <w:autoSpaceDN w:val="0"/>
        <w:bidi w:val="0"/>
        <w:adjustRightInd w:val="0"/>
        <w:spacing w:line="240" w:lineRule="atLeast"/>
        <w:contextualSpacing w:val="0"/>
        <w:rPr>
          <w:rFonts w:ascii="Times New Roman" w:hAnsi="Times New Roman"/>
          <w:szCs w:val="24"/>
        </w:rPr>
      </w:pPr>
    </w:p>
    <w:p w:rsidR="003E724F" w:rsidP="003E724F">
      <w:pPr>
        <w:pStyle w:val="ListParagraph"/>
        <w:autoSpaceDE w:val="0"/>
        <w:autoSpaceDN w:val="0"/>
        <w:bidi w:val="0"/>
        <w:adjustRightInd w:val="0"/>
        <w:spacing w:line="240" w:lineRule="atLeast"/>
        <w:contextualSpacing w:val="0"/>
        <w:rPr>
          <w:rFonts w:ascii="Times New Roman" w:hAnsi="Times New Roman"/>
          <w:szCs w:val="24"/>
        </w:rPr>
      </w:pPr>
    </w:p>
    <w:p w:rsidR="00DA0ECA" w:rsidP="003E724F">
      <w:pPr>
        <w:pStyle w:val="ListParagraph"/>
        <w:autoSpaceDE w:val="0"/>
        <w:autoSpaceDN w:val="0"/>
        <w:bidi w:val="0"/>
        <w:adjustRightInd w:val="0"/>
        <w:spacing w:line="240" w:lineRule="atLeast"/>
        <w:contextualSpacing w:val="0"/>
        <w:rPr>
          <w:rFonts w:ascii="Times New Roman" w:hAnsi="Times New Roman"/>
          <w:szCs w:val="24"/>
        </w:rPr>
      </w:pPr>
    </w:p>
    <w:p w:rsidR="00DA0ECA" w:rsidP="003E724F">
      <w:pPr>
        <w:pStyle w:val="ListParagraph"/>
        <w:autoSpaceDE w:val="0"/>
        <w:autoSpaceDN w:val="0"/>
        <w:bidi w:val="0"/>
        <w:adjustRightInd w:val="0"/>
        <w:spacing w:line="240" w:lineRule="atLeast"/>
        <w:contextualSpacing w:val="0"/>
        <w:rPr>
          <w:rFonts w:ascii="Times New Roman" w:hAnsi="Times New Roman"/>
          <w:szCs w:val="24"/>
        </w:rPr>
      </w:pPr>
    </w:p>
    <w:p w:rsidR="00DA0ECA" w:rsidP="003E724F">
      <w:pPr>
        <w:pStyle w:val="ListParagraph"/>
        <w:autoSpaceDE w:val="0"/>
        <w:autoSpaceDN w:val="0"/>
        <w:bidi w:val="0"/>
        <w:adjustRightInd w:val="0"/>
        <w:spacing w:line="240" w:lineRule="atLeast"/>
        <w:contextualSpacing w:val="0"/>
        <w:rPr>
          <w:rFonts w:ascii="Times New Roman" w:hAnsi="Times New Roman"/>
          <w:szCs w:val="24"/>
        </w:rPr>
      </w:pPr>
    </w:p>
    <w:p w:rsidR="00451C87" w:rsidP="00451C87">
      <w:pPr>
        <w:bidi w:val="0"/>
        <w:spacing w:line="276" w:lineRule="auto"/>
        <w:rPr>
          <w:rFonts w:ascii="Times New Roman" w:eastAsia="Calibri" w:hAnsi="Times New Roman"/>
          <w:szCs w:val="24"/>
        </w:rPr>
      </w:pPr>
    </w:p>
    <w:tbl>
      <w:tblPr>
        <w:tblStyle w:val="TableNormal"/>
        <w:tblW w:w="6933" w:type="dxa"/>
        <w:jc w:val="center"/>
        <w:tblLook w:val="04A0"/>
      </w:tblPr>
      <w:tblGrid>
        <w:gridCol w:w="6933"/>
      </w:tblGrid>
      <w:tr>
        <w:tblPrEx>
          <w:tblW w:w="6933" w:type="dxa"/>
          <w:jc w:val="center"/>
          <w:tblLook w:val="04A0"/>
        </w:tblPrEx>
        <w:trPr>
          <w:jc w:val="center"/>
        </w:trPr>
        <w:tc>
          <w:tcPr>
            <w:tcW w:w="6933" w:type="dxa"/>
            <w:tcBorders>
              <w:top w:val="none" w:sz="0" w:space="0" w:color="auto"/>
              <w:left w:val="none" w:sz="0" w:space="0" w:color="auto"/>
              <w:bottom w:val="single" w:sz="4" w:space="0" w:color="auto"/>
              <w:right w:val="none" w:sz="0" w:space="0" w:color="auto"/>
            </w:tcBorders>
            <w:noWrap/>
            <w:textDirection w:val="lrTb"/>
            <w:vAlign w:val="top"/>
          </w:tcPr>
          <w:p w:rsidR="009D19F4" w:rsidRPr="003C5B24" w:rsidP="009D19F4">
            <w:pPr>
              <w:pStyle w:val="Caption"/>
              <w:bidi w:val="0"/>
              <w:spacing w:after="0"/>
              <w:rPr>
                <w:rFonts w:ascii="Times New Roman" w:hAnsi="Times New Roman"/>
              </w:rPr>
            </w:pPr>
            <w:bookmarkStart w:id="57" w:name="_Toc351635235"/>
            <w:r>
              <w:rPr>
                <w:rFonts w:ascii="Times New Roman" w:hAnsi="Times New Roman"/>
              </w:rPr>
              <w:t xml:space="preserve">Obrázok </w:t>
            </w:r>
            <w:r>
              <w:rPr>
                <w:rFonts w:ascii="Times New Roman" w:hAnsi="Times New Roman"/>
              </w:rPr>
              <w:fldChar w:fldCharType="begin"/>
            </w:r>
            <w:r>
              <w:rPr>
                <w:rFonts w:ascii="Times New Roman" w:hAnsi="Times New Roman"/>
              </w:rPr>
              <w:instrText xml:space="preserve"> SEQ Obrázok \* ARABIC </w:instrText>
            </w:r>
            <w:r>
              <w:rPr>
                <w:rFonts w:ascii="Times New Roman" w:hAnsi="Times New Roman"/>
              </w:rPr>
              <w:fldChar w:fldCharType="separate"/>
            </w:r>
            <w:r w:rsidR="00DA0ECA">
              <w:rPr>
                <w:rFonts w:ascii="Times New Roman" w:hAnsi="Times New Roman"/>
                <w:noProof/>
              </w:rPr>
              <w:t>3</w:t>
            </w:r>
            <w:r>
              <w:rPr>
                <w:rFonts w:ascii="Times New Roman" w:hAnsi="Times New Roman"/>
              </w:rPr>
              <w:fldChar w:fldCharType="end"/>
            </w:r>
            <w:r>
              <w:rPr>
                <w:rFonts w:ascii="Times New Roman" w:hAnsi="Times New Roman"/>
              </w:rPr>
              <w:t xml:space="preserve"> </w:t>
            </w:r>
            <w:r w:rsidRPr="009D19F4">
              <w:rPr>
                <w:rFonts w:ascii="Times New Roman" w:hAnsi="Times New Roman"/>
              </w:rPr>
              <w:t>Kde dávame z verejných výdavkov relatívne viac (+) a kde menej (-) z celkových verejných výdavkov (%, SK 2011, ostatné krajiny 2010)</w:t>
            </w:r>
            <w:bookmarkEnd w:id="57"/>
          </w:p>
        </w:tc>
      </w:tr>
      <w:tr>
        <w:tblPrEx>
          <w:tblW w:w="6933" w:type="dxa"/>
          <w:jc w:val="center"/>
          <w:tblLook w:val="04A0"/>
        </w:tblPrEx>
        <w:trPr>
          <w:jc w:val="center"/>
        </w:trPr>
        <w:tc>
          <w:tcPr>
            <w:tcW w:w="6933" w:type="dxa"/>
            <w:tcBorders>
              <w:top w:val="single" w:sz="4" w:space="0" w:color="auto"/>
              <w:left w:val="none" w:sz="0" w:space="0" w:color="auto"/>
              <w:bottom w:val="single" w:sz="4" w:space="0" w:color="auto"/>
              <w:right w:val="none" w:sz="0" w:space="0" w:color="auto"/>
            </w:tcBorders>
            <w:noWrap/>
            <w:tcMar>
              <w:left w:w="0" w:type="dxa"/>
              <w:right w:w="0" w:type="dxa"/>
            </w:tcMar>
            <w:textDirection w:val="lrTb"/>
            <w:tcFitText/>
            <w:vAlign w:val="top"/>
          </w:tcPr>
          <w:p w:rsidR="009D19F4" w:rsidRPr="00B32165" w:rsidP="001D47B5">
            <w:pPr>
              <w:bidi w:val="0"/>
              <w:spacing w:after="0"/>
              <w:rPr>
                <w:rFonts w:ascii="Calibri" w:hAnsi="Calibri"/>
                <w:sz w:val="22"/>
                <w:szCs w:val="22"/>
              </w:rPr>
            </w:pPr>
            <w:r>
              <w:rPr>
                <w:rFonts w:ascii="Times New Roman" w:eastAsia="Calibri" w:hAnsi="Times New Roman"/>
                <w:b/>
                <w:noProof/>
                <w:szCs w:val="24"/>
                <w:rtl w:val="0"/>
                <w:lang w:eastAsia="sk-SK"/>
              </w:rPr>
              <w:pict>
                <v:shape id="Obrázok 16" o:spid="_x0000_i1028" type="#_x0000_t75" style="width:319.24pt;height:298.31pt;visibility:visible" filled="f" stroked="f">
                  <v:imagedata r:id="rId9" o:title=""/>
                  <o:lock v:ext="edit" aspectratio="t"/>
                </v:shape>
              </w:pict>
            </w:r>
          </w:p>
        </w:tc>
      </w:tr>
      <w:tr>
        <w:tblPrEx>
          <w:tblW w:w="6933" w:type="dxa"/>
          <w:jc w:val="center"/>
          <w:tblLook w:val="04A0"/>
        </w:tblPrEx>
        <w:trPr>
          <w:jc w:val="center"/>
        </w:trPr>
        <w:tc>
          <w:tcPr>
            <w:tcW w:w="6933" w:type="dxa"/>
            <w:tcBorders>
              <w:top w:val="single" w:sz="4" w:space="0" w:color="auto"/>
              <w:left w:val="none" w:sz="0" w:space="0" w:color="auto"/>
              <w:bottom w:val="none" w:sz="0" w:space="0" w:color="auto"/>
              <w:right w:val="none" w:sz="0" w:space="0" w:color="auto"/>
            </w:tcBorders>
            <w:tcMar>
              <w:top w:w="57" w:type="dxa"/>
              <w:left w:w="0" w:type="dxa"/>
              <w:right w:w="0" w:type="dxa"/>
            </w:tcMar>
            <w:textDirection w:val="lrTb"/>
            <w:vAlign w:val="top"/>
          </w:tcPr>
          <w:p w:rsidR="009D19F4" w:rsidRPr="00516E02" w:rsidP="009D19F4">
            <w:pPr>
              <w:bidi w:val="0"/>
              <w:spacing w:after="0"/>
              <w:rPr>
                <w:rFonts w:ascii="Times New Roman" w:hAnsi="Times New Roman"/>
                <w:sz w:val="22"/>
                <w:szCs w:val="22"/>
              </w:rPr>
            </w:pPr>
            <w:r w:rsidRPr="00516E02">
              <w:rPr>
                <w:rFonts w:ascii="Times New Roman" w:hAnsi="Times New Roman"/>
                <w:sz w:val="16"/>
                <w:szCs w:val="16"/>
              </w:rPr>
              <w:t xml:space="preserve">Zdroj: </w:t>
            </w:r>
            <w:r>
              <w:rPr>
                <w:rFonts w:ascii="Times New Roman" w:hAnsi="Times New Roman"/>
                <w:sz w:val="16"/>
                <w:szCs w:val="16"/>
              </w:rPr>
              <w:t xml:space="preserve">Eurostat; </w:t>
            </w:r>
            <w:r w:rsidRPr="00451C87">
              <w:rPr>
                <w:rFonts w:ascii="Times New Roman" w:eastAsia="Calibri" w:hAnsi="Times New Roman" w:hint="default"/>
                <w:sz w:val="16"/>
                <w:szCs w:val="16"/>
              </w:rPr>
              <w:t>Pozná</w:t>
            </w:r>
            <w:r w:rsidRPr="00451C87">
              <w:rPr>
                <w:rFonts w:ascii="Times New Roman" w:eastAsia="Calibri" w:hAnsi="Times New Roman" w:hint="default"/>
                <w:sz w:val="16"/>
                <w:szCs w:val="16"/>
              </w:rPr>
              <w:t>mka: Zá</w:t>
            </w:r>
            <w:r w:rsidRPr="00451C87">
              <w:rPr>
                <w:rFonts w:ascii="Times New Roman" w:eastAsia="Calibri" w:hAnsi="Times New Roman" w:hint="default"/>
                <w:sz w:val="16"/>
                <w:szCs w:val="16"/>
              </w:rPr>
              <w:t>porné</w:t>
            </w:r>
            <w:r w:rsidRPr="00451C87">
              <w:rPr>
                <w:rFonts w:ascii="Times New Roman" w:eastAsia="Calibri" w:hAnsi="Times New Roman" w:hint="default"/>
                <w:sz w:val="16"/>
                <w:szCs w:val="16"/>
              </w:rPr>
              <w:t xml:space="preserve"> hodnoty znamenajú</w:t>
            </w:r>
            <w:r w:rsidRPr="00451C87">
              <w:rPr>
                <w:rFonts w:ascii="Times New Roman" w:eastAsia="Calibri" w:hAnsi="Times New Roman" w:hint="default"/>
                <w:sz w:val="16"/>
                <w:szCs w:val="16"/>
              </w:rPr>
              <w:t>, ž</w:t>
            </w:r>
            <w:r w:rsidRPr="00451C87">
              <w:rPr>
                <w:rFonts w:ascii="Times New Roman" w:eastAsia="Calibri" w:hAnsi="Times New Roman" w:hint="default"/>
                <w:sz w:val="16"/>
                <w:szCs w:val="16"/>
              </w:rPr>
              <w:t>e vý</w:t>
            </w:r>
            <w:r w:rsidRPr="00451C87">
              <w:rPr>
                <w:rFonts w:ascii="Times New Roman" w:eastAsia="Calibri" w:hAnsi="Times New Roman" w:hint="default"/>
                <w:sz w:val="16"/>
                <w:szCs w:val="16"/>
              </w:rPr>
              <w:t xml:space="preserve">davky </w:t>
            </w:r>
            <w:r w:rsidRPr="00451C87">
              <w:rPr>
                <w:rFonts w:ascii="Times New Roman" w:eastAsia="Calibri" w:hAnsi="Times New Roman" w:hint="default"/>
                <w:sz w:val="16"/>
                <w:szCs w:val="16"/>
              </w:rPr>
              <w:t>v SR na danú</w:t>
            </w:r>
            <w:r w:rsidRPr="00451C87">
              <w:rPr>
                <w:rFonts w:ascii="Times New Roman" w:eastAsia="Calibri" w:hAnsi="Times New Roman" w:hint="default"/>
                <w:sz w:val="16"/>
                <w:szCs w:val="16"/>
              </w:rPr>
              <w:t xml:space="preserve"> oblasť</w:t>
            </w:r>
            <w:r w:rsidRPr="00451C87">
              <w:rPr>
                <w:rFonts w:ascii="Times New Roman" w:eastAsia="Calibri" w:hAnsi="Times New Roman" w:hint="default"/>
                <w:sz w:val="16"/>
                <w:szCs w:val="16"/>
              </w:rPr>
              <w:t xml:space="preserve"> sú</w:t>
            </w:r>
            <w:r w:rsidRPr="00451C87">
              <w:rPr>
                <w:rFonts w:ascii="Times New Roman" w:eastAsia="Calibri" w:hAnsi="Times New Roman" w:hint="default"/>
                <w:sz w:val="16"/>
                <w:szCs w:val="16"/>
              </w:rPr>
              <w:t xml:space="preserve"> relatí</w:t>
            </w:r>
            <w:r w:rsidRPr="00451C87">
              <w:rPr>
                <w:rFonts w:ascii="Times New Roman" w:eastAsia="Calibri" w:hAnsi="Times New Roman" w:hint="default"/>
                <w:sz w:val="16"/>
                <w:szCs w:val="16"/>
              </w:rPr>
              <w:t>vne nižš</w:t>
            </w:r>
            <w:r w:rsidRPr="00451C87">
              <w:rPr>
                <w:rFonts w:ascii="Times New Roman" w:eastAsia="Calibri" w:hAnsi="Times New Roman" w:hint="default"/>
                <w:sz w:val="16"/>
                <w:szCs w:val="16"/>
              </w:rPr>
              <w:t xml:space="preserve">ie ako je tomu pri danom benchmarku.   </w:t>
            </w:r>
          </w:p>
        </w:tc>
      </w:tr>
    </w:tbl>
    <w:p w:rsidR="009D19F4" w:rsidRPr="00451C87" w:rsidP="00451C87">
      <w:pPr>
        <w:bidi w:val="0"/>
        <w:spacing w:line="276" w:lineRule="auto"/>
        <w:rPr>
          <w:rFonts w:ascii="Times New Roman" w:eastAsia="Calibri" w:hAnsi="Times New Roman"/>
          <w:szCs w:val="24"/>
        </w:rPr>
      </w:pPr>
    </w:p>
    <w:p w:rsidR="001D47B5" w:rsidRPr="003E724F" w:rsidP="001D47B5">
      <w:pPr>
        <w:pStyle w:val="ListParagraph"/>
        <w:numPr>
          <w:numId w:val="2"/>
        </w:numPr>
        <w:autoSpaceDE w:val="0"/>
        <w:autoSpaceDN w:val="0"/>
        <w:bidi w:val="0"/>
        <w:adjustRightInd w:val="0"/>
        <w:spacing w:line="240" w:lineRule="atLeast"/>
        <w:ind w:firstLine="0"/>
        <w:contextualSpacing w:val="0"/>
        <w:rPr>
          <w:rFonts w:ascii="Times New Roman" w:hAnsi="Times New Roman"/>
          <w:szCs w:val="24"/>
        </w:rPr>
      </w:pPr>
      <w:r w:rsidRPr="003E724F">
        <w:rPr>
          <w:rFonts w:ascii="Times New Roman" w:hAnsi="Times New Roman"/>
          <w:szCs w:val="24"/>
        </w:rPr>
        <w:t xml:space="preserve">Údaje  v grafe znamenajú o koľko percent vynakladáme na danú oblasť </w:t>
      </w:r>
      <w:r w:rsidRPr="003E724F" w:rsidR="00831660">
        <w:rPr>
          <w:rFonts w:ascii="Times New Roman" w:hAnsi="Times New Roman"/>
          <w:szCs w:val="24"/>
        </w:rPr>
        <w:t>menšiu</w:t>
      </w:r>
      <w:r w:rsidRPr="003E724F">
        <w:rPr>
          <w:rFonts w:ascii="Times New Roman" w:hAnsi="Times New Roman"/>
          <w:szCs w:val="24"/>
        </w:rPr>
        <w:t xml:space="preserve"> alebo väčšiu časť z celkových </w:t>
      </w:r>
      <w:r w:rsidRPr="003E724F" w:rsidR="00831660">
        <w:rPr>
          <w:rFonts w:ascii="Times New Roman" w:hAnsi="Times New Roman"/>
          <w:szCs w:val="24"/>
        </w:rPr>
        <w:t>verejných</w:t>
      </w:r>
      <w:r w:rsidRPr="003E724F">
        <w:rPr>
          <w:rFonts w:ascii="Times New Roman" w:hAnsi="Times New Roman"/>
          <w:szCs w:val="24"/>
        </w:rPr>
        <w:t xml:space="preserve"> výdavkov. Napríklad „úspešné“ krajiny vynaložili v roku 2010 v priemere 13,4 % z celkových výdavkov na vzdelávanie, Slovensko v roku 2011 vynaložilo na vzdelávanie 10,6 % z celkových výdavkov</w:t>
      </w:r>
      <w:r w:rsidRPr="003E724F" w:rsidR="003E724F">
        <w:rPr>
          <w:rFonts w:ascii="Times New Roman" w:hAnsi="Times New Roman"/>
          <w:szCs w:val="24"/>
        </w:rPr>
        <w:t xml:space="preserve"> čo je relatívne o 26 % menej. Inak povedané, záporné hodnoty predstavujú oblasti, ktoré sú na Slovensku v porovnaní s konkrétnym benchmarkom podfinancované. Naopak, kladné hodnoty predstavujú oblasti, kde vynakladáme z </w:t>
      </w:r>
      <w:r w:rsidRPr="003E724F" w:rsidR="00831660">
        <w:rPr>
          <w:rFonts w:ascii="Times New Roman" w:hAnsi="Times New Roman"/>
          <w:szCs w:val="24"/>
        </w:rPr>
        <w:t>verejných</w:t>
      </w:r>
      <w:r w:rsidRPr="003E724F" w:rsidR="003E724F">
        <w:rPr>
          <w:rFonts w:ascii="Times New Roman" w:hAnsi="Times New Roman"/>
          <w:szCs w:val="24"/>
        </w:rPr>
        <w:t xml:space="preserve"> financií relatívne viac.</w:t>
      </w:r>
    </w:p>
    <w:p w:rsidR="00CF42E6" w:rsidRPr="00CF42E6" w:rsidP="00DA0ECA">
      <w:pPr>
        <w:pStyle w:val="Heading2"/>
        <w:numPr>
          <w:numId w:val="0"/>
        </w:numPr>
        <w:bidi w:val="0"/>
        <w:ind w:left="357" w:hanging="357"/>
        <w:rPr>
          <w:rFonts w:ascii="Times New Roman" w:hAnsi="Times New Roman"/>
        </w:rPr>
      </w:pPr>
      <w:r w:rsidR="009D19F4">
        <w:rPr>
          <w:rFonts w:ascii="Times New Roman" w:hAnsi="Times New Roman"/>
          <w:color w:val="000000"/>
        </w:rPr>
        <w:br w:type="page"/>
      </w:r>
      <w:bookmarkStart w:id="58" w:name="_Toc349345973"/>
      <w:bookmarkStart w:id="59" w:name="_Toc351637422"/>
      <w:r w:rsidRPr="00CF42E6">
        <w:rPr>
          <w:rFonts w:ascii="Times New Roman" w:hAnsi="Times New Roman"/>
        </w:rPr>
        <w:t>Zoznam obrázkov</w:t>
      </w:r>
      <w:bookmarkEnd w:id="58"/>
      <w:bookmarkEnd w:id="59"/>
    </w:p>
    <w:p w:rsidR="00DA0ECA" w:rsidRPr="00C3619A">
      <w:pPr>
        <w:pStyle w:val="TableofFigures"/>
        <w:tabs>
          <w:tab w:val="right" w:leader="dot" w:pos="9062"/>
        </w:tabs>
        <w:bidi w:val="0"/>
        <w:rPr>
          <w:rFonts w:ascii="Calibri" w:hAnsi="Calibri"/>
          <w:smallCaps w:val="0"/>
          <w:noProof/>
          <w:sz w:val="22"/>
          <w:szCs w:val="22"/>
          <w:lang w:eastAsia="sk-SK"/>
        </w:rPr>
      </w:pPr>
      <w:r w:rsidRPr="00B81BE4" w:rsidR="00CF42E6">
        <w:rPr>
          <w:rFonts w:ascii="Times New Roman" w:hAnsi="Times New Roman"/>
          <w:smallCaps w:val="0"/>
          <w:szCs w:val="24"/>
        </w:rPr>
        <w:fldChar w:fldCharType="begin"/>
      </w:r>
      <w:r w:rsidRPr="00B81BE4" w:rsidR="00CF42E6">
        <w:rPr>
          <w:rFonts w:ascii="Times New Roman" w:hAnsi="Times New Roman"/>
          <w:smallCaps w:val="0"/>
          <w:szCs w:val="24"/>
        </w:rPr>
        <w:instrText xml:space="preserve"> TOC \h \z \c "Obrázok" </w:instrText>
      </w:r>
      <w:r w:rsidRPr="00B81BE4" w:rsidR="00CF42E6">
        <w:rPr>
          <w:rFonts w:ascii="Times New Roman" w:hAnsi="Times New Roman"/>
          <w:smallCaps w:val="0"/>
          <w:szCs w:val="24"/>
        </w:rPr>
        <w:fldChar w:fldCharType="separate"/>
      </w:r>
      <w:hyperlink w:anchor="_Toc351635233" w:history="1">
        <w:r w:rsidRPr="00C574D1">
          <w:rPr>
            <w:rStyle w:val="Hyperlink"/>
            <w:rFonts w:ascii="Times New Roman" w:hAnsi="Times New Roman"/>
            <w:noProof/>
          </w:rPr>
          <w:t>Obrázok 1 Verejné výdavky na vzdelávanie krajín EÚ (UOE vs. COFOG, % HDP, 2009)</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_Toc351635233 \h </w:instrText>
        </w:r>
        <w:r>
          <w:rPr>
            <w:rFonts w:ascii="Times New Roman" w:hAnsi="Times New Roman"/>
            <w:noProof/>
            <w:webHidden/>
          </w:rPr>
          <w:fldChar w:fldCharType="separate"/>
        </w:r>
        <w:r>
          <w:rPr>
            <w:rFonts w:ascii="Times New Roman" w:hAnsi="Times New Roman"/>
            <w:noProof/>
            <w:webHidden/>
          </w:rPr>
          <w:t>4</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34" w:history="1">
        <w:r w:rsidRPr="00C574D1">
          <w:rPr>
            <w:rStyle w:val="Hyperlink"/>
            <w:rFonts w:ascii="Times New Roman" w:hAnsi="Times New Roman"/>
            <w:noProof/>
          </w:rPr>
          <w:t>Obrázok 2 Vývoj verejných výdavkov na vzdelávanie (UOE vs. COFOG, % HDP)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_Toc351635234 \h </w:instrText>
        </w:r>
        <w:r>
          <w:rPr>
            <w:rFonts w:ascii="Times New Roman" w:hAnsi="Times New Roman"/>
            <w:noProof/>
            <w:webHidden/>
          </w:rPr>
          <w:fldChar w:fldCharType="separate"/>
        </w:r>
        <w:r>
          <w:rPr>
            <w:rFonts w:ascii="Times New Roman" w:hAnsi="Times New Roman"/>
            <w:noProof/>
            <w:webHidden/>
          </w:rPr>
          <w:t>4</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35" w:history="1">
        <w:r w:rsidRPr="00C574D1">
          <w:rPr>
            <w:rStyle w:val="Hyperlink"/>
            <w:rFonts w:ascii="Times New Roman" w:hAnsi="Times New Roman"/>
            <w:noProof/>
          </w:rPr>
          <w:t>Obrázok 3 Kde dávame z verejných výdavkov relatívne viac (+) a kde menej (-) z celkových verejných výdavkov (%, SK 2011, ostatné krajiny 2010)</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_Toc351635235 \h </w:instrText>
        </w:r>
        <w:r>
          <w:rPr>
            <w:rFonts w:ascii="Times New Roman" w:hAnsi="Times New Roman"/>
            <w:noProof/>
            <w:webHidden/>
          </w:rPr>
          <w:fldChar w:fldCharType="separate"/>
        </w:r>
        <w:r>
          <w:rPr>
            <w:rFonts w:ascii="Times New Roman" w:hAnsi="Times New Roman"/>
            <w:noProof/>
            <w:webHidden/>
          </w:rPr>
          <w:t>12</w:t>
        </w:r>
        <w:r>
          <w:rPr>
            <w:rFonts w:ascii="Times New Roman" w:hAnsi="Times New Roman"/>
            <w:noProof/>
            <w:webHidden/>
          </w:rPr>
          <w:fldChar w:fldCharType="end"/>
        </w:r>
      </w:hyperlink>
    </w:p>
    <w:p w:rsidR="00CF42E6" w:rsidRPr="00CF42E6" w:rsidP="00CF42E6">
      <w:pPr>
        <w:bidi w:val="0"/>
        <w:rPr>
          <w:rFonts w:ascii="Times New Roman" w:hAnsi="Times New Roman"/>
          <w:szCs w:val="24"/>
        </w:rPr>
      </w:pPr>
      <w:r w:rsidRPr="00B81BE4">
        <w:rPr>
          <w:rFonts w:ascii="Times New Roman" w:hAnsi="Times New Roman"/>
          <w:smallCaps w:val="0"/>
          <w:szCs w:val="24"/>
        </w:rPr>
        <w:fldChar w:fldCharType="end"/>
      </w:r>
    </w:p>
    <w:p w:rsidR="00CF42E6" w:rsidRPr="00CF42E6" w:rsidP="00DA0ECA">
      <w:pPr>
        <w:pStyle w:val="Heading2"/>
        <w:numPr>
          <w:numId w:val="0"/>
        </w:numPr>
        <w:bidi w:val="0"/>
        <w:ind w:left="357" w:hanging="357"/>
        <w:rPr>
          <w:rFonts w:ascii="Times New Roman" w:hAnsi="Times New Roman"/>
        </w:rPr>
      </w:pPr>
      <w:bookmarkStart w:id="60" w:name="_Toc349345974"/>
      <w:bookmarkStart w:id="61" w:name="_Toc349633988"/>
      <w:bookmarkStart w:id="62" w:name="_Toc351637423"/>
      <w:r w:rsidRPr="00CF42E6">
        <w:rPr>
          <w:rFonts w:ascii="Times New Roman" w:hAnsi="Times New Roman"/>
        </w:rPr>
        <w:t>Zoznam tabuliek</w:t>
      </w:r>
      <w:bookmarkEnd w:id="60"/>
      <w:bookmarkEnd w:id="61"/>
      <w:bookmarkEnd w:id="62"/>
    </w:p>
    <w:p w:rsidR="00DA0ECA" w:rsidRPr="00C3619A">
      <w:pPr>
        <w:pStyle w:val="TableofFigures"/>
        <w:tabs>
          <w:tab w:val="right" w:leader="dot" w:pos="9062"/>
        </w:tabs>
        <w:bidi w:val="0"/>
        <w:rPr>
          <w:rFonts w:ascii="Calibri" w:hAnsi="Calibri"/>
          <w:smallCaps w:val="0"/>
          <w:noProof/>
          <w:sz w:val="22"/>
          <w:szCs w:val="22"/>
          <w:lang w:eastAsia="sk-SK"/>
        </w:rPr>
      </w:pPr>
      <w:r w:rsidRPr="00CF42E6" w:rsidR="00CF42E6">
        <w:rPr>
          <w:rFonts w:ascii="Times New Roman" w:hAnsi="Times New Roman"/>
          <w:smallCaps w:val="0"/>
        </w:rPr>
        <w:fldChar w:fldCharType="begin"/>
      </w:r>
      <w:r w:rsidRPr="00CF42E6" w:rsidR="00CF42E6">
        <w:rPr>
          <w:rFonts w:ascii="Times New Roman" w:hAnsi="Times New Roman"/>
          <w:smallCaps w:val="0"/>
        </w:rPr>
        <w:instrText xml:space="preserve"> TOC \h \z \c "Tabuľka" </w:instrText>
      </w:r>
      <w:r w:rsidRPr="00CF42E6" w:rsidR="00CF42E6">
        <w:rPr>
          <w:rFonts w:ascii="Times New Roman" w:hAnsi="Times New Roman"/>
          <w:smallCaps w:val="0"/>
        </w:rPr>
        <w:fldChar w:fldCharType="separate"/>
      </w:r>
      <w:hyperlink w:anchor="_Toc351635236" w:history="1">
        <w:r w:rsidRPr="00BD399B">
          <w:rPr>
            <w:rStyle w:val="Hyperlink"/>
            <w:rFonts w:ascii="Times New Roman" w:hAnsi="Times New Roman"/>
            <w:noProof/>
          </w:rPr>
          <w:t>Tabuľka 1 Členenie výdavkov na vzdelávanie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_Toc351635236 \h </w:instrText>
        </w:r>
        <w:r>
          <w:rPr>
            <w:rFonts w:ascii="Times New Roman" w:hAnsi="Times New Roman"/>
            <w:noProof/>
            <w:webHidden/>
          </w:rPr>
          <w:fldChar w:fldCharType="separate"/>
        </w:r>
        <w:r>
          <w:rPr>
            <w:rFonts w:ascii="Times New Roman" w:hAnsi="Times New Roman"/>
            <w:noProof/>
            <w:webHidden/>
          </w:rPr>
          <w:t>5</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37" w:history="1">
        <w:r w:rsidRPr="00BD399B">
          <w:rPr>
            <w:rStyle w:val="Hyperlink"/>
            <w:rFonts w:ascii="Times New Roman" w:hAnsi="Times New Roman"/>
            <w:noProof/>
          </w:rPr>
          <w:t>Tabuľka 2 Vývoj výdavkov na vzdelávanie v SR (% HDP)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_Toc351635237 \h </w:instrText>
        </w:r>
        <w:r>
          <w:rPr>
            <w:rFonts w:ascii="Times New Roman" w:hAnsi="Times New Roman"/>
            <w:noProof/>
            <w:webHidden/>
          </w:rPr>
          <w:fldChar w:fldCharType="separate"/>
        </w:r>
        <w:r>
          <w:rPr>
            <w:rFonts w:ascii="Times New Roman" w:hAnsi="Times New Roman"/>
            <w:noProof/>
            <w:webHidden/>
          </w:rPr>
          <w:t>7</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38" w:history="1">
        <w:r w:rsidRPr="00BD399B">
          <w:rPr>
            <w:rStyle w:val="Hyperlink"/>
            <w:rFonts w:ascii="Times New Roman" w:hAnsi="Times New Roman"/>
            <w:noProof/>
          </w:rPr>
          <w:t>Tabuľka 3 Výdavky na vzdelávacie inštitúcie podľa stupňa vzdelávania (2009, % HDP)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_Toc351635238 \h </w:instrText>
        </w:r>
        <w:r>
          <w:rPr>
            <w:rFonts w:ascii="Times New Roman" w:hAnsi="Times New Roman"/>
            <w:noProof/>
            <w:webHidden/>
          </w:rPr>
          <w:fldChar w:fldCharType="separate"/>
        </w:r>
        <w:r>
          <w:rPr>
            <w:rFonts w:ascii="Times New Roman" w:hAnsi="Times New Roman"/>
            <w:noProof/>
            <w:webHidden/>
          </w:rPr>
          <w:t>7</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39" w:history="1">
        <w:r w:rsidRPr="00BD399B">
          <w:rPr>
            <w:rStyle w:val="Hyperlink"/>
            <w:rFonts w:ascii="Times New Roman" w:hAnsi="Times New Roman"/>
            <w:noProof/>
          </w:rPr>
          <w:t>Tabuľka 4 Výdavky na vzdelávacie inštitúcie podľa stupňa vzdelávania (% HDP, 1995, 2000, 2005)</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_Toc351635239 \h </w:instrText>
        </w:r>
        <w:r>
          <w:rPr>
            <w:rFonts w:ascii="Times New Roman" w:hAnsi="Times New Roman"/>
            <w:noProof/>
            <w:webHidden/>
          </w:rPr>
          <w:fldChar w:fldCharType="separate"/>
        </w:r>
        <w:r>
          <w:rPr>
            <w:rFonts w:ascii="Times New Roman" w:hAnsi="Times New Roman"/>
            <w:noProof/>
            <w:webHidden/>
          </w:rPr>
          <w:t>7</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40" w:history="1">
        <w:r w:rsidRPr="00BD399B">
          <w:rPr>
            <w:rStyle w:val="Hyperlink"/>
            <w:rFonts w:ascii="Times New Roman" w:hAnsi="Times New Roman"/>
            <w:noProof/>
          </w:rPr>
          <w:t>Tabuľka 5 Výdavky na vzdelávacie inštitúcie podľa stupňa a zdroja  (2009, % HDP)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_Toc351635240 \h </w:instrText>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41" w:history="1">
        <w:r w:rsidRPr="00BD399B">
          <w:rPr>
            <w:rStyle w:val="Hyperlink"/>
            <w:rFonts w:ascii="Times New Roman" w:hAnsi="Times New Roman"/>
            <w:noProof/>
          </w:rPr>
          <w:t>Tabuľka 6 Ročné výdavky vzdelávacích inštitúcií na jedného študenta  (2009, USD PPP)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_Toc351635241 \h </w:instrText>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42" w:history="1">
        <w:r w:rsidRPr="00BD399B">
          <w:rPr>
            <w:rStyle w:val="Hyperlink"/>
            <w:rFonts w:ascii="Times New Roman" w:hAnsi="Times New Roman"/>
            <w:noProof/>
          </w:rPr>
          <w:t>Tabuľka 7 Ročné výdavky vzdelávacích inštitúcií na jedného študenta v porovnaní s HDP na obyvateľa  (2009, USD PPP)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_Toc351635242 \h </w:instrText>
        </w:r>
        <w:r>
          <w:rPr>
            <w:rFonts w:ascii="Times New Roman" w:hAnsi="Times New Roman"/>
            <w:noProof/>
            <w:webHidden/>
          </w:rPr>
          <w:fldChar w:fldCharType="separate"/>
        </w:r>
        <w:r>
          <w:rPr>
            <w:rFonts w:ascii="Times New Roman" w:hAnsi="Times New Roman"/>
            <w:noProof/>
            <w:webHidden/>
          </w:rPr>
          <w:t>9</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43" w:history="1">
        <w:r w:rsidRPr="00BD399B">
          <w:rPr>
            <w:rStyle w:val="Hyperlink"/>
            <w:rFonts w:ascii="Times New Roman" w:hAnsi="Times New Roman"/>
            <w:noProof/>
          </w:rPr>
          <w:t>Tabuľka 8 Celkové verejné výdavky na vzdelávanie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_Toc351635243 \h </w:instrText>
        </w:r>
        <w:r>
          <w:rPr>
            <w:rFonts w:ascii="Times New Roman" w:hAnsi="Times New Roman"/>
            <w:noProof/>
            <w:webHidden/>
          </w:rPr>
          <w:fldChar w:fldCharType="separate"/>
        </w:r>
        <w:r>
          <w:rPr>
            <w:rFonts w:ascii="Times New Roman" w:hAnsi="Times New Roman"/>
            <w:noProof/>
            <w:webHidden/>
          </w:rPr>
          <w:t>9</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44" w:history="1">
        <w:r w:rsidRPr="00BD399B">
          <w:rPr>
            <w:rStyle w:val="Hyperlink"/>
            <w:rFonts w:ascii="Times New Roman" w:hAnsi="Times New Roman"/>
            <w:noProof/>
          </w:rPr>
          <w:t>Tabuľka 9 Vývoj verejných výdavkov v SR podľa jednotlivých funkcií (% HDP)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_Toc351635244 \h </w:instrText>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rsidR="00DA0ECA" w:rsidRPr="00C3619A">
      <w:pPr>
        <w:pStyle w:val="TableofFigures"/>
        <w:tabs>
          <w:tab w:val="right" w:leader="dot" w:pos="9062"/>
        </w:tabs>
        <w:bidi w:val="0"/>
        <w:rPr>
          <w:rFonts w:ascii="Calibri" w:hAnsi="Calibri"/>
          <w:smallCaps w:val="0"/>
          <w:noProof/>
          <w:sz w:val="22"/>
          <w:szCs w:val="22"/>
          <w:lang w:eastAsia="sk-SK"/>
        </w:rPr>
      </w:pPr>
      <w:hyperlink w:anchor="_Toc351635245" w:history="1">
        <w:r w:rsidRPr="00BD399B">
          <w:rPr>
            <w:rStyle w:val="Hyperlink"/>
            <w:rFonts w:ascii="Times New Roman" w:hAnsi="Times New Roman"/>
            <w:noProof/>
          </w:rPr>
          <w:t>Tabuľka 10 Vývoj verejných výdavkov v SR podľa jednotlivých funkcií (% celkových verejných výdavkov)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_Toc351635245 \h </w:instrText>
        </w:r>
        <w:r>
          <w:rPr>
            <w:rFonts w:ascii="Times New Roman" w:hAnsi="Times New Roman"/>
            <w:noProof/>
            <w:webHidden/>
          </w:rPr>
          <w:fldChar w:fldCharType="separate"/>
        </w:r>
        <w:r>
          <w:rPr>
            <w:rFonts w:ascii="Times New Roman" w:hAnsi="Times New Roman"/>
            <w:noProof/>
            <w:webHidden/>
          </w:rPr>
          <w:t>11</w:t>
        </w:r>
        <w:r>
          <w:rPr>
            <w:rFonts w:ascii="Times New Roman" w:hAnsi="Times New Roman"/>
            <w:noProof/>
            <w:webHidden/>
          </w:rPr>
          <w:fldChar w:fldCharType="end"/>
        </w:r>
      </w:hyperlink>
    </w:p>
    <w:p w:rsidR="00CF42E6" w:rsidP="00CF42E6">
      <w:pPr>
        <w:bidi w:val="0"/>
        <w:rPr>
          <w:rFonts w:ascii="Times New Roman" w:hAnsi="Times New Roman"/>
        </w:rPr>
      </w:pPr>
      <w:r w:rsidRPr="00CF42E6">
        <w:rPr>
          <w:rFonts w:ascii="Times New Roman" w:hAnsi="Times New Roman"/>
          <w:smallCaps w:val="0"/>
        </w:rPr>
        <w:fldChar w:fldCharType="end"/>
      </w:r>
    </w:p>
    <w:p w:rsidR="0005642A" w:rsidRPr="00CF42E6" w:rsidP="00DA0ECA">
      <w:pPr>
        <w:pStyle w:val="Heading2"/>
        <w:numPr>
          <w:numId w:val="0"/>
        </w:numPr>
        <w:bidi w:val="0"/>
        <w:ind w:left="357" w:hanging="357"/>
        <w:rPr>
          <w:rFonts w:ascii="Times New Roman" w:hAnsi="Times New Roman"/>
        </w:rPr>
      </w:pPr>
      <w:bookmarkStart w:id="63" w:name="_Toc351637424"/>
      <w:r w:rsidRPr="00CF42E6">
        <w:rPr>
          <w:rFonts w:ascii="Times New Roman" w:hAnsi="Times New Roman"/>
        </w:rPr>
        <w:t xml:space="preserve">Zoznam </w:t>
      </w:r>
      <w:r>
        <w:rPr>
          <w:rFonts w:ascii="Times New Roman" w:hAnsi="Times New Roman"/>
        </w:rPr>
        <w:t>rámčekov</w:t>
      </w:r>
      <w:bookmarkEnd w:id="63"/>
    </w:p>
    <w:p w:rsidR="00DA0ECA" w:rsidRPr="00C3619A">
      <w:pPr>
        <w:pStyle w:val="TableofFigures"/>
        <w:tabs>
          <w:tab w:val="right" w:leader="dot" w:pos="9062"/>
        </w:tabs>
        <w:bidi w:val="0"/>
        <w:rPr>
          <w:rFonts w:ascii="Calibri" w:hAnsi="Calibri"/>
          <w:smallCaps w:val="0"/>
          <w:noProof/>
          <w:sz w:val="22"/>
          <w:szCs w:val="22"/>
          <w:lang w:eastAsia="sk-SK"/>
        </w:rPr>
      </w:pPr>
      <w:r w:rsidR="0005642A">
        <w:rPr>
          <w:rFonts w:ascii="Times New Roman" w:hAnsi="Times New Roman"/>
        </w:rPr>
        <w:fldChar w:fldCharType="begin"/>
      </w:r>
      <w:r w:rsidR="0005642A">
        <w:rPr>
          <w:rFonts w:ascii="Times New Roman" w:hAnsi="Times New Roman"/>
        </w:rPr>
        <w:instrText xml:space="preserve"> TOC \h \z \c "Rámček" </w:instrText>
      </w:r>
      <w:r w:rsidR="0005642A">
        <w:rPr>
          <w:rFonts w:ascii="Times New Roman" w:hAnsi="Times New Roman"/>
        </w:rPr>
        <w:fldChar w:fldCharType="separate"/>
      </w:r>
      <w:hyperlink w:anchor="_Toc351635246" w:history="1">
        <w:r w:rsidRPr="00630805">
          <w:rPr>
            <w:rStyle w:val="Hyperlink"/>
            <w:rFonts w:ascii="Times New Roman" w:eastAsia="Calibri" w:hAnsi="Times New Roman" w:hint="default"/>
            <w:noProof/>
          </w:rPr>
          <w:t>Rá</w:t>
        </w:r>
        <w:r w:rsidRPr="00630805">
          <w:rPr>
            <w:rStyle w:val="Hyperlink"/>
            <w:rFonts w:ascii="Times New Roman" w:eastAsia="Calibri" w:hAnsi="Times New Roman" w:hint="default"/>
            <w:noProof/>
          </w:rPr>
          <w:t>mč</w:t>
        </w:r>
        <w:r w:rsidRPr="00630805">
          <w:rPr>
            <w:rStyle w:val="Hyperlink"/>
            <w:rFonts w:ascii="Times New Roman" w:eastAsia="Calibri" w:hAnsi="Times New Roman" w:hint="default"/>
            <w:noProof/>
          </w:rPr>
          <w:t>ek 1 Č</w:t>
        </w:r>
        <w:r w:rsidRPr="00630805">
          <w:rPr>
            <w:rStyle w:val="Hyperlink"/>
            <w:rFonts w:ascii="Times New Roman" w:eastAsia="Calibri" w:hAnsi="Times New Roman" w:hint="default"/>
            <w:noProof/>
          </w:rPr>
          <w:t>lenenie ú</w:t>
        </w:r>
        <w:r w:rsidRPr="00630805">
          <w:rPr>
            <w:rStyle w:val="Hyperlink"/>
            <w:rFonts w:ascii="Times New Roman" w:eastAsia="Calibri" w:hAnsi="Times New Roman" w:hint="default"/>
            <w:noProof/>
          </w:rPr>
          <w:t>dajov v metodike UOE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_Toc351635246 \h </w:instrText>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rsidR="0005642A" w:rsidRPr="00CF42E6" w:rsidP="00CF42E6">
      <w:pPr>
        <w:bidi w:val="0"/>
        <w:rPr>
          <w:rFonts w:ascii="Times New Roman" w:hAnsi="Times New Roman"/>
        </w:rPr>
      </w:pPr>
      <w:r>
        <w:rPr>
          <w:rFonts w:ascii="Times New Roman" w:hAnsi="Times New Roman"/>
        </w:rPr>
        <w:fldChar w:fldCharType="end"/>
      </w:r>
    </w:p>
    <w:sectPr w:rsidSect="00415BD3">
      <w:footerReference w:type="default" r:id="rId10"/>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dobe Garamond Pro Bold">
    <w:altName w:val="Times New Roman"/>
    <w:panose1 w:val="00000000000000000000"/>
    <w:charset w:val="00"/>
    <w:family w:val="roman"/>
    <w:pitch w:val="variable"/>
    <w:sig w:usb0="00000000" w:usb1="00000000" w:usb2="00000000" w:usb3="00000000" w:csb0="00000001" w:csb1="00000000"/>
  </w:font>
  <w:font w:name="Adobe Garamond Pro">
    <w:altName w:val="Times New Roman"/>
    <w:panose1 w:val="00000000000000000000"/>
    <w:charset w:val="00"/>
    <w:family w:val="roman"/>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MS Gothic">
    <w:panose1 w:val="020B06090702050802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7B5" w:rsidRPr="00ED557A" w:rsidP="00E8794F">
    <w:pPr>
      <w:pStyle w:val="Footer"/>
      <w:framePr w:wrap="around" w:vAnchor="text" w:hAnchor="margin" w:xAlign="right"/>
      <w:bidi w:val="0"/>
      <w:rPr>
        <w:rStyle w:val="PageNumber"/>
        <w:rFonts w:ascii="Times New Roman" w:hAnsi="Times New Roman"/>
      </w:rPr>
    </w:pPr>
    <w:r w:rsidRPr="00ED557A">
      <w:rPr>
        <w:rStyle w:val="PageNumber"/>
        <w:rFonts w:ascii="Times New Roman" w:hAnsi="Times New Roman"/>
      </w:rPr>
      <w:fldChar w:fldCharType="begin"/>
    </w:r>
    <w:r w:rsidRPr="00ED557A">
      <w:rPr>
        <w:rStyle w:val="PageNumber"/>
        <w:rFonts w:ascii="Times New Roman" w:hAnsi="Times New Roman"/>
      </w:rPr>
      <w:instrText xml:space="preserve">PAGE  </w:instrText>
    </w:r>
    <w:r w:rsidRPr="00ED557A">
      <w:rPr>
        <w:rStyle w:val="PageNumber"/>
        <w:rFonts w:ascii="Times New Roman" w:hAnsi="Times New Roman"/>
      </w:rPr>
      <w:fldChar w:fldCharType="separate"/>
    </w:r>
    <w:r w:rsidR="00A12C1E">
      <w:rPr>
        <w:rStyle w:val="PageNumber"/>
        <w:rFonts w:ascii="Times New Roman" w:hAnsi="Times New Roman"/>
        <w:noProof/>
      </w:rPr>
      <w:t>13</w:t>
    </w:r>
    <w:r w:rsidRPr="00ED557A">
      <w:rPr>
        <w:rStyle w:val="PageNumber"/>
        <w:rFonts w:ascii="Times New Roman" w:hAnsi="Times New Roman"/>
      </w:rPr>
      <w:fldChar w:fldCharType="end"/>
    </w:r>
  </w:p>
  <w:p w:rsidR="001D47B5" w:rsidP="00E8794F">
    <w:pPr>
      <w:pStyle w:val="Footer"/>
      <w:bidi w:val="0"/>
      <w:ind w:right="360"/>
      <w:jc w:val="center"/>
    </w:pPr>
  </w:p>
  <w:p w:rsidR="001D47B5">
    <w:pPr>
      <w:pStyle w:val="Footer"/>
      <w:bidi w:val="0"/>
    </w:pPr>
  </w:p>
  <w:p w:rsidR="001D47B5">
    <w:pP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46B" w:rsidP="00E8794F">
      <w:pPr>
        <w:bidi w:val="0"/>
        <w:spacing w:after="0"/>
        <w:rPr>
          <w:rFonts w:ascii="Times New Roman" w:hAnsi="Times New Roman"/>
        </w:rPr>
      </w:pPr>
      <w:r>
        <w:rPr>
          <w:rFonts w:ascii="Times New Roman" w:hAnsi="Times New Roman"/>
        </w:rPr>
        <w:separator/>
      </w:r>
    </w:p>
  </w:footnote>
  <w:footnote w:type="continuationSeparator" w:id="1">
    <w:p w:rsidR="00D5046B" w:rsidP="00E8794F">
      <w:pPr>
        <w:bidi w:val="0"/>
        <w:spacing w:after="0"/>
        <w:rPr>
          <w:rFonts w:ascii="Times New Roman" w:hAnsi="Times New Roman"/>
        </w:rPr>
      </w:pPr>
      <w:r>
        <w:rPr>
          <w:rFonts w:ascii="Times New Roman" w:hAnsi="Times New Roman"/>
        </w:rPr>
        <w:continuationSeparator/>
      </w:r>
    </w:p>
  </w:footnote>
  <w:footnote w:id="2">
    <w:p w:rsidP="00451C87">
      <w:pPr>
        <w:pStyle w:val="FootnoteText"/>
        <w:bidi w:val="0"/>
        <w:rPr>
          <w:rFonts w:ascii="Times New Roman" w:hAnsi="Times New Roman"/>
        </w:rPr>
      </w:pPr>
      <w:r w:rsidRPr="00C743EE" w:rsidR="001D47B5">
        <w:rPr>
          <w:rStyle w:val="FootnoteReference"/>
          <w:rFonts w:ascii="Times New Roman" w:hAnsi="Times New Roman"/>
        </w:rPr>
        <w:footnoteRef/>
      </w:r>
      <w:r w:rsidRPr="00C743EE" w:rsidR="001D47B5">
        <w:rPr>
          <w:rFonts w:ascii="Times New Roman" w:hAnsi="Times New Roman"/>
        </w:rPr>
        <w:t xml:space="preserve"> V roku 2011 bola schválená revízia Medzinárodnej štandardnej klasifikácie vzdelávania (ISCED – International Standard Classification of Education), pričom bude prvýkrát použitá pri zbere dát v roku 2014.</w:t>
      </w:r>
    </w:p>
  </w:footnote>
  <w:footnote w:id="3">
    <w:p>
      <w:pPr>
        <w:pStyle w:val="FootnoteText"/>
        <w:bidi w:val="0"/>
        <w:rPr>
          <w:rFonts w:ascii="Times New Roman" w:hAnsi="Times New Roman"/>
        </w:rPr>
      </w:pPr>
      <w:r w:rsidR="001D47B5">
        <w:rPr>
          <w:rStyle w:val="FootnoteReference"/>
          <w:rFonts w:ascii="Times New Roman" w:hAnsi="Times New Roman"/>
        </w:rPr>
        <w:footnoteRef/>
      </w:r>
      <w:r w:rsidR="001D47B5">
        <w:rPr>
          <w:rFonts w:ascii="Times New Roman" w:hAnsi="Times New Roman"/>
        </w:rPr>
        <w:t xml:space="preserve"> </w:t>
      </w:r>
      <w:r w:rsidR="00831660">
        <w:rPr>
          <w:rFonts w:ascii="Times New Roman" w:hAnsi="Times New Roman"/>
        </w:rPr>
        <w:t>Keďže</w:t>
      </w:r>
      <w:r w:rsidR="001D47B5">
        <w:rPr>
          <w:rFonts w:ascii="Times New Roman" w:hAnsi="Times New Roman"/>
        </w:rPr>
        <w:t xml:space="preserve"> na Slovensku sa pri rozpočtovaní nerozlišuje zvlášť primárne a nižšie sekundárne vzdelávanie, ale výdavky sa </w:t>
      </w:r>
      <w:r w:rsidR="00831660">
        <w:rPr>
          <w:rFonts w:ascii="Times New Roman" w:hAnsi="Times New Roman"/>
        </w:rPr>
        <w:t>rozpočtujú</w:t>
      </w:r>
      <w:r w:rsidR="001D47B5">
        <w:rPr>
          <w:rFonts w:ascii="Times New Roman" w:hAnsi="Times New Roman"/>
        </w:rPr>
        <w:t xml:space="preserve"> a vykazujú na základné školy spolu, sú výdavky členené na </w:t>
      </w:r>
      <w:r w:rsidR="00831660">
        <w:rPr>
          <w:rFonts w:ascii="Times New Roman" w:hAnsi="Times New Roman"/>
        </w:rPr>
        <w:t>primárne</w:t>
      </w:r>
      <w:r w:rsidR="001D47B5">
        <w:rPr>
          <w:rFonts w:ascii="Times New Roman" w:hAnsi="Times New Roman"/>
        </w:rPr>
        <w:t xml:space="preserve"> a nižšie sekundárne vzdelávanie podľa počtu žiakov.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67D"/>
    <w:multiLevelType w:val="hybridMultilevel"/>
    <w:tmpl w:val="E7EAB4D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DEA6B1D"/>
    <w:multiLevelType w:val="singleLevel"/>
    <w:tmpl w:val="D5A6E36A"/>
    <w:styleLink w:val="NumericNote"/>
    <w:lvl w:ilvl="0">
      <w:start w:val="1"/>
      <w:numFmt w:val="decimal"/>
      <w:lvlText w:val="%1."/>
      <w:lvlJc w:val="left"/>
      <w:pPr>
        <w:tabs>
          <w:tab w:val="num" w:pos="408"/>
        </w:tabs>
        <w:ind w:left="408" w:hanging="408"/>
      </w:pPr>
      <w:rPr>
        <w:rFonts w:cs="Times New Roman"/>
        <w:rtl w:val="0"/>
        <w:cs w:val="0"/>
      </w:rPr>
    </w:lvl>
  </w:abstractNum>
  <w:abstractNum w:abstractNumId="2">
    <w:nsid w:val="3269125A"/>
    <w:multiLevelType w:val="hybridMultilevel"/>
    <w:tmpl w:val="88CEE50C"/>
    <w:lvl w:ilvl="0">
      <w:start w:val="1"/>
      <w:numFmt w:val="bullet"/>
      <w:lvlText w:val="o"/>
      <w:lvlJc w:val="left"/>
      <w:pPr>
        <w:tabs>
          <w:tab w:val="num" w:pos="1068"/>
        </w:tabs>
        <w:ind w:left="1068" w:hanging="360"/>
      </w:pPr>
      <w:rPr>
        <w:rFonts w:ascii="Courier New" w:hAnsi="Courier New" w:hint="default"/>
      </w:rPr>
    </w:lvl>
    <w:lvl w:ilvl="1">
      <w:start w:val="1"/>
      <w:numFmt w:val="bullet"/>
      <w:lvlText w:val=""/>
      <w:lvlJc w:val="left"/>
      <w:pPr>
        <w:tabs>
          <w:tab w:val="num" w:pos="1788"/>
        </w:tabs>
        <w:ind w:left="1788" w:hanging="360"/>
      </w:pPr>
      <w:rPr>
        <w:rFonts w:ascii="Symbol" w:hAnsi="Symbol" w:hint="default"/>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3">
    <w:nsid w:val="68403D34"/>
    <w:multiLevelType w:val="hybridMultilevel"/>
    <w:tmpl w:val="899211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A4B03CF"/>
    <w:multiLevelType w:val="multilevel"/>
    <w:tmpl w:val="B840071E"/>
    <w:lvl w:ilvl="0">
      <w:start w:val="1"/>
      <w:numFmt w:val="decimal"/>
      <w:suff w:val="space"/>
      <w:lvlText w:val="(%1)"/>
      <w:lvlJc w:val="left"/>
      <w:pPr>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
    <w:nsid w:val="720F6A05"/>
    <w:multiLevelType w:val="hybridMultilevel"/>
    <w:tmpl w:val="311EBA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38C216E"/>
    <w:multiLevelType w:val="hybridMultilevel"/>
    <w:tmpl w:val="699C21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A6412C2"/>
    <w:multiLevelType w:val="multilevel"/>
    <w:tmpl w:val="7898DC22"/>
    <w:lvl w:ilvl="0">
      <w:start w:val="1"/>
      <w:numFmt w:val="decimal"/>
      <w:pStyle w:val="N2"/>
      <w:lvlText w:val="%1."/>
      <w:lvlJc w:val="left"/>
      <w:pPr>
        <w:ind w:left="360" w:hanging="360"/>
      </w:pPr>
      <w:rPr>
        <w:rFonts w:cs="Times New Roman"/>
        <w:rtl w:val="0"/>
        <w:cs w:val="0"/>
      </w:rPr>
    </w:lvl>
    <w:lvl w:ilvl="1">
      <w:start w:val="1"/>
      <w:numFmt w:val="decimal"/>
      <w:pStyle w:val="N3"/>
      <w:lvlText w:val="%1.%2."/>
      <w:lvlJc w:val="left"/>
      <w:pPr>
        <w:ind w:left="792" w:hanging="432"/>
      </w:pPr>
      <w:rPr>
        <w:rFonts w:cs="Times New Roman"/>
        <w:rtl w:val="0"/>
        <w:cs w:val="0"/>
      </w:rPr>
    </w:lvl>
    <w:lvl w:ilvl="2">
      <w:start w:val="1"/>
      <w:numFmt w:val="decimal"/>
      <w:pStyle w:val="N4"/>
      <w:lvlText w:val="%1.%2.%3."/>
      <w:lvlJc w:val="left"/>
      <w:pPr>
        <w:ind w:left="1224" w:hanging="504"/>
      </w:pPr>
      <w:rPr>
        <w:rFonts w:cs="Times New Roman"/>
        <w:rtl w:val="0"/>
        <w:cs w:val="0"/>
      </w:rPr>
    </w:lvl>
    <w:lvl w:ilvl="3">
      <w:start w:val="1"/>
      <w:numFmt w:val="decimal"/>
      <w:pStyle w:val="N5"/>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num w:numId="1">
    <w:abstractNumId w:val="1"/>
  </w:num>
  <w:num w:numId="2">
    <w:abstractNumId w:val="4"/>
  </w:num>
  <w:num w:numId="3">
    <w:abstractNumId w:val="7"/>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1024"/>
  <w:doNotTrackMoves/>
  <w:defaultTabStop w:val="720"/>
  <w:characterSpacingControl w:val="doNotCompress"/>
  <w:footnotePr>
    <w:footnote w:id="0"/>
    <w:footnote w:id="1"/>
  </w:footnotePr>
  <w:compat>
    <w:doNotUseIndentAsNumberingTabStop/>
    <w:allowSpaceOfSameStyleInTable/>
    <w:splitPgBreakAndParaMark/>
    <w:useAnsiKerningPairs/>
  </w:compat>
  <w:rsids>
    <w:rsidRoot w:val="0081550A"/>
    <w:rsid w:val="000108AC"/>
    <w:rsid w:val="00014CBF"/>
    <w:rsid w:val="00017194"/>
    <w:rsid w:val="000402A2"/>
    <w:rsid w:val="000537D1"/>
    <w:rsid w:val="00053CCA"/>
    <w:rsid w:val="0005642A"/>
    <w:rsid w:val="00064C69"/>
    <w:rsid w:val="00065793"/>
    <w:rsid w:val="000722B8"/>
    <w:rsid w:val="00080E91"/>
    <w:rsid w:val="00082D22"/>
    <w:rsid w:val="000A2216"/>
    <w:rsid w:val="000A31C1"/>
    <w:rsid w:val="000B04FD"/>
    <w:rsid w:val="000B311B"/>
    <w:rsid w:val="000B3ECA"/>
    <w:rsid w:val="000D31C5"/>
    <w:rsid w:val="000D7E3B"/>
    <w:rsid w:val="000F4D5C"/>
    <w:rsid w:val="000F66D9"/>
    <w:rsid w:val="00125359"/>
    <w:rsid w:val="0013336F"/>
    <w:rsid w:val="0013337F"/>
    <w:rsid w:val="001553EB"/>
    <w:rsid w:val="00162270"/>
    <w:rsid w:val="00164978"/>
    <w:rsid w:val="001730BD"/>
    <w:rsid w:val="00174B6E"/>
    <w:rsid w:val="001A1140"/>
    <w:rsid w:val="001A149E"/>
    <w:rsid w:val="001A52C9"/>
    <w:rsid w:val="001B2D32"/>
    <w:rsid w:val="001C0E2B"/>
    <w:rsid w:val="001C550A"/>
    <w:rsid w:val="001C7E1B"/>
    <w:rsid w:val="001D47B5"/>
    <w:rsid w:val="001E3784"/>
    <w:rsid w:val="001F3C2B"/>
    <w:rsid w:val="001F46B9"/>
    <w:rsid w:val="001F4F01"/>
    <w:rsid w:val="0022683C"/>
    <w:rsid w:val="00227C3D"/>
    <w:rsid w:val="00234528"/>
    <w:rsid w:val="00240CDE"/>
    <w:rsid w:val="00252A7B"/>
    <w:rsid w:val="0027123A"/>
    <w:rsid w:val="00271D07"/>
    <w:rsid w:val="002738C1"/>
    <w:rsid w:val="0029293A"/>
    <w:rsid w:val="002A476A"/>
    <w:rsid w:val="002D4F6C"/>
    <w:rsid w:val="002E11E2"/>
    <w:rsid w:val="002E6ED1"/>
    <w:rsid w:val="002F2CCD"/>
    <w:rsid w:val="00301489"/>
    <w:rsid w:val="00303D95"/>
    <w:rsid w:val="00313CEC"/>
    <w:rsid w:val="00327CDD"/>
    <w:rsid w:val="00346C7D"/>
    <w:rsid w:val="00347813"/>
    <w:rsid w:val="0034793F"/>
    <w:rsid w:val="0035652E"/>
    <w:rsid w:val="00362A85"/>
    <w:rsid w:val="003630B1"/>
    <w:rsid w:val="00374D80"/>
    <w:rsid w:val="00380DC5"/>
    <w:rsid w:val="003865AD"/>
    <w:rsid w:val="003A4F8A"/>
    <w:rsid w:val="003C5B24"/>
    <w:rsid w:val="003C7F0C"/>
    <w:rsid w:val="003D4156"/>
    <w:rsid w:val="003D53A4"/>
    <w:rsid w:val="003E2533"/>
    <w:rsid w:val="003E3C12"/>
    <w:rsid w:val="003E6E37"/>
    <w:rsid w:val="003E724F"/>
    <w:rsid w:val="00411833"/>
    <w:rsid w:val="00415BD3"/>
    <w:rsid w:val="00431139"/>
    <w:rsid w:val="0044509A"/>
    <w:rsid w:val="00447441"/>
    <w:rsid w:val="00451C87"/>
    <w:rsid w:val="0045235C"/>
    <w:rsid w:val="00456F3B"/>
    <w:rsid w:val="00460B52"/>
    <w:rsid w:val="004658B9"/>
    <w:rsid w:val="00473336"/>
    <w:rsid w:val="004755E5"/>
    <w:rsid w:val="004767DF"/>
    <w:rsid w:val="00476B08"/>
    <w:rsid w:val="00484892"/>
    <w:rsid w:val="00484AFD"/>
    <w:rsid w:val="00485173"/>
    <w:rsid w:val="00494673"/>
    <w:rsid w:val="00497C2E"/>
    <w:rsid w:val="004A3A9D"/>
    <w:rsid w:val="004B13DA"/>
    <w:rsid w:val="004B2813"/>
    <w:rsid w:val="004B7CDE"/>
    <w:rsid w:val="004C5956"/>
    <w:rsid w:val="004E0761"/>
    <w:rsid w:val="004F1E3E"/>
    <w:rsid w:val="004F2D66"/>
    <w:rsid w:val="004F7265"/>
    <w:rsid w:val="005026A6"/>
    <w:rsid w:val="005107FA"/>
    <w:rsid w:val="0051302E"/>
    <w:rsid w:val="00516E02"/>
    <w:rsid w:val="00520634"/>
    <w:rsid w:val="0052070C"/>
    <w:rsid w:val="00530FBB"/>
    <w:rsid w:val="00531A3D"/>
    <w:rsid w:val="00535089"/>
    <w:rsid w:val="005415CD"/>
    <w:rsid w:val="005434F7"/>
    <w:rsid w:val="00553B94"/>
    <w:rsid w:val="00555938"/>
    <w:rsid w:val="00563A5B"/>
    <w:rsid w:val="005641B8"/>
    <w:rsid w:val="00565670"/>
    <w:rsid w:val="005746C5"/>
    <w:rsid w:val="00584ADB"/>
    <w:rsid w:val="00584D2E"/>
    <w:rsid w:val="00593911"/>
    <w:rsid w:val="0059572F"/>
    <w:rsid w:val="005B75A1"/>
    <w:rsid w:val="005C2379"/>
    <w:rsid w:val="005C3E31"/>
    <w:rsid w:val="005D090D"/>
    <w:rsid w:val="005D2209"/>
    <w:rsid w:val="005D6391"/>
    <w:rsid w:val="005E322D"/>
    <w:rsid w:val="006036C8"/>
    <w:rsid w:val="00614701"/>
    <w:rsid w:val="0062211D"/>
    <w:rsid w:val="00630530"/>
    <w:rsid w:val="00630805"/>
    <w:rsid w:val="0063410B"/>
    <w:rsid w:val="00646256"/>
    <w:rsid w:val="00676813"/>
    <w:rsid w:val="00685AB2"/>
    <w:rsid w:val="006B32C2"/>
    <w:rsid w:val="006B733A"/>
    <w:rsid w:val="006C44CD"/>
    <w:rsid w:val="006D009C"/>
    <w:rsid w:val="006D7F5D"/>
    <w:rsid w:val="006E2E57"/>
    <w:rsid w:val="006F26E8"/>
    <w:rsid w:val="006F58ED"/>
    <w:rsid w:val="0070680D"/>
    <w:rsid w:val="007159D2"/>
    <w:rsid w:val="00722338"/>
    <w:rsid w:val="0072553A"/>
    <w:rsid w:val="00735144"/>
    <w:rsid w:val="00735C29"/>
    <w:rsid w:val="0074158D"/>
    <w:rsid w:val="00750F12"/>
    <w:rsid w:val="00751EFF"/>
    <w:rsid w:val="00756188"/>
    <w:rsid w:val="00757639"/>
    <w:rsid w:val="00766FC2"/>
    <w:rsid w:val="00770ACE"/>
    <w:rsid w:val="00774C0F"/>
    <w:rsid w:val="00776841"/>
    <w:rsid w:val="00783718"/>
    <w:rsid w:val="007873C0"/>
    <w:rsid w:val="00793421"/>
    <w:rsid w:val="00794112"/>
    <w:rsid w:val="007D23D9"/>
    <w:rsid w:val="0080285D"/>
    <w:rsid w:val="0081550A"/>
    <w:rsid w:val="00821AA5"/>
    <w:rsid w:val="00823221"/>
    <w:rsid w:val="00825DF8"/>
    <w:rsid w:val="00826C5B"/>
    <w:rsid w:val="00831660"/>
    <w:rsid w:val="0083477B"/>
    <w:rsid w:val="00842DA4"/>
    <w:rsid w:val="00847E95"/>
    <w:rsid w:val="00852FD0"/>
    <w:rsid w:val="00861F10"/>
    <w:rsid w:val="0086222A"/>
    <w:rsid w:val="008626AC"/>
    <w:rsid w:val="00863B2F"/>
    <w:rsid w:val="00874DE3"/>
    <w:rsid w:val="00881EF3"/>
    <w:rsid w:val="008A4056"/>
    <w:rsid w:val="008B4B5E"/>
    <w:rsid w:val="008C28D7"/>
    <w:rsid w:val="008C3121"/>
    <w:rsid w:val="008D497B"/>
    <w:rsid w:val="009030D6"/>
    <w:rsid w:val="00932AD1"/>
    <w:rsid w:val="00941C35"/>
    <w:rsid w:val="00955FE9"/>
    <w:rsid w:val="00961193"/>
    <w:rsid w:val="0096192D"/>
    <w:rsid w:val="00964127"/>
    <w:rsid w:val="00971F11"/>
    <w:rsid w:val="0097519B"/>
    <w:rsid w:val="00975C2B"/>
    <w:rsid w:val="00975C52"/>
    <w:rsid w:val="00977DDC"/>
    <w:rsid w:val="00983722"/>
    <w:rsid w:val="00987D97"/>
    <w:rsid w:val="00991AF2"/>
    <w:rsid w:val="0099262D"/>
    <w:rsid w:val="0099697A"/>
    <w:rsid w:val="009A278C"/>
    <w:rsid w:val="009D19F4"/>
    <w:rsid w:val="009D4DF1"/>
    <w:rsid w:val="009E2EE3"/>
    <w:rsid w:val="009F0882"/>
    <w:rsid w:val="009F43CA"/>
    <w:rsid w:val="00A02C69"/>
    <w:rsid w:val="00A04266"/>
    <w:rsid w:val="00A07474"/>
    <w:rsid w:val="00A12C1E"/>
    <w:rsid w:val="00A3324A"/>
    <w:rsid w:val="00A52FCD"/>
    <w:rsid w:val="00A53197"/>
    <w:rsid w:val="00A653A3"/>
    <w:rsid w:val="00A675C1"/>
    <w:rsid w:val="00A71A4B"/>
    <w:rsid w:val="00A74656"/>
    <w:rsid w:val="00A8063C"/>
    <w:rsid w:val="00A81D6F"/>
    <w:rsid w:val="00A92CCF"/>
    <w:rsid w:val="00A945A3"/>
    <w:rsid w:val="00AB336E"/>
    <w:rsid w:val="00AC7E66"/>
    <w:rsid w:val="00B1423C"/>
    <w:rsid w:val="00B22F86"/>
    <w:rsid w:val="00B32165"/>
    <w:rsid w:val="00B32527"/>
    <w:rsid w:val="00B45787"/>
    <w:rsid w:val="00B47B6F"/>
    <w:rsid w:val="00B50FB9"/>
    <w:rsid w:val="00B53F4F"/>
    <w:rsid w:val="00B54F28"/>
    <w:rsid w:val="00B67486"/>
    <w:rsid w:val="00B77EA3"/>
    <w:rsid w:val="00B81BE4"/>
    <w:rsid w:val="00B85E41"/>
    <w:rsid w:val="00B9354E"/>
    <w:rsid w:val="00BA5187"/>
    <w:rsid w:val="00BA5B24"/>
    <w:rsid w:val="00BA7BD0"/>
    <w:rsid w:val="00BB4AA7"/>
    <w:rsid w:val="00BC013A"/>
    <w:rsid w:val="00BC62DD"/>
    <w:rsid w:val="00BD248E"/>
    <w:rsid w:val="00BD399B"/>
    <w:rsid w:val="00BD7281"/>
    <w:rsid w:val="00C06CFF"/>
    <w:rsid w:val="00C0725B"/>
    <w:rsid w:val="00C110B9"/>
    <w:rsid w:val="00C11E80"/>
    <w:rsid w:val="00C12951"/>
    <w:rsid w:val="00C12EDD"/>
    <w:rsid w:val="00C15A4F"/>
    <w:rsid w:val="00C265AD"/>
    <w:rsid w:val="00C31B8C"/>
    <w:rsid w:val="00C3619A"/>
    <w:rsid w:val="00C37E2D"/>
    <w:rsid w:val="00C410F3"/>
    <w:rsid w:val="00C4538B"/>
    <w:rsid w:val="00C574D1"/>
    <w:rsid w:val="00C653F7"/>
    <w:rsid w:val="00C7247F"/>
    <w:rsid w:val="00C743EE"/>
    <w:rsid w:val="00C76521"/>
    <w:rsid w:val="00C7715B"/>
    <w:rsid w:val="00C77C70"/>
    <w:rsid w:val="00C80E64"/>
    <w:rsid w:val="00C8395E"/>
    <w:rsid w:val="00C847EA"/>
    <w:rsid w:val="00C9351E"/>
    <w:rsid w:val="00C94C23"/>
    <w:rsid w:val="00C954F4"/>
    <w:rsid w:val="00CA037E"/>
    <w:rsid w:val="00CA3B65"/>
    <w:rsid w:val="00CA473C"/>
    <w:rsid w:val="00CB25A9"/>
    <w:rsid w:val="00CB7E97"/>
    <w:rsid w:val="00CC5FF6"/>
    <w:rsid w:val="00CC7D9C"/>
    <w:rsid w:val="00CF42E6"/>
    <w:rsid w:val="00CF708A"/>
    <w:rsid w:val="00D023B9"/>
    <w:rsid w:val="00D05D1F"/>
    <w:rsid w:val="00D12938"/>
    <w:rsid w:val="00D12B99"/>
    <w:rsid w:val="00D14CB9"/>
    <w:rsid w:val="00D27C2D"/>
    <w:rsid w:val="00D43097"/>
    <w:rsid w:val="00D5046B"/>
    <w:rsid w:val="00D539AC"/>
    <w:rsid w:val="00D7004F"/>
    <w:rsid w:val="00D70A75"/>
    <w:rsid w:val="00D740B6"/>
    <w:rsid w:val="00D80B39"/>
    <w:rsid w:val="00D92B95"/>
    <w:rsid w:val="00D969E7"/>
    <w:rsid w:val="00D97C71"/>
    <w:rsid w:val="00DA0ECA"/>
    <w:rsid w:val="00DA5472"/>
    <w:rsid w:val="00DC5757"/>
    <w:rsid w:val="00DC6740"/>
    <w:rsid w:val="00DD1C47"/>
    <w:rsid w:val="00DD49A7"/>
    <w:rsid w:val="00DF0A1C"/>
    <w:rsid w:val="00E166C6"/>
    <w:rsid w:val="00E21CAE"/>
    <w:rsid w:val="00E37F6F"/>
    <w:rsid w:val="00E40271"/>
    <w:rsid w:val="00E4034B"/>
    <w:rsid w:val="00E440C7"/>
    <w:rsid w:val="00E444DA"/>
    <w:rsid w:val="00E66397"/>
    <w:rsid w:val="00E66EF5"/>
    <w:rsid w:val="00E70588"/>
    <w:rsid w:val="00E74CB6"/>
    <w:rsid w:val="00E8794F"/>
    <w:rsid w:val="00E91725"/>
    <w:rsid w:val="00EA01C3"/>
    <w:rsid w:val="00EA3431"/>
    <w:rsid w:val="00EA5C11"/>
    <w:rsid w:val="00ED557A"/>
    <w:rsid w:val="00EE1303"/>
    <w:rsid w:val="00EE294D"/>
    <w:rsid w:val="00EE3937"/>
    <w:rsid w:val="00F01B25"/>
    <w:rsid w:val="00F07624"/>
    <w:rsid w:val="00F2059C"/>
    <w:rsid w:val="00F2417A"/>
    <w:rsid w:val="00F27920"/>
    <w:rsid w:val="00F32A15"/>
    <w:rsid w:val="00F3677B"/>
    <w:rsid w:val="00F36941"/>
    <w:rsid w:val="00F412A2"/>
    <w:rsid w:val="00F44757"/>
    <w:rsid w:val="00F53D69"/>
    <w:rsid w:val="00F6106A"/>
    <w:rsid w:val="00F8101E"/>
    <w:rsid w:val="00F94188"/>
    <w:rsid w:val="00FA36D5"/>
    <w:rsid w:val="00FC3D2C"/>
    <w:rsid w:val="00FC72B6"/>
    <w:rsid w:val="00FD3E98"/>
    <w:rsid w:val="00FD4674"/>
    <w:rsid w:val="00FD63A9"/>
    <w:rsid w:val="00FE2689"/>
    <w:rsid w:val="00FE67E4"/>
    <w:rsid w:val="00FE7E69"/>
    <w:rsid w:val="00FF035E"/>
    <w:rsid w:val="00FF0C71"/>
    <w:rsid w:val="00FF61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8794F"/>
    <w:pPr>
      <w:framePr w:wrap="auto"/>
      <w:widowControl/>
      <w:autoSpaceDE/>
      <w:autoSpaceDN/>
      <w:adjustRightInd/>
      <w:spacing w:after="120"/>
      <w:ind w:left="0" w:right="0"/>
      <w:jc w:val="both"/>
      <w:textAlignment w:val="auto"/>
    </w:pPr>
    <w:rPr>
      <w:rFonts w:cs="Times New Roman"/>
      <w:sz w:val="24"/>
      <w:szCs w:val="20"/>
      <w:rtl w:val="0"/>
      <w:cs w:val="0"/>
      <w:lang w:val="sk-SK" w:eastAsia="en-US" w:bidi="ar-SA"/>
    </w:rPr>
  </w:style>
  <w:style w:type="paragraph" w:styleId="Heading1">
    <w:name w:val="heading 1"/>
    <w:basedOn w:val="Normal"/>
    <w:next w:val="Normal"/>
    <w:link w:val="Heading1Char"/>
    <w:autoRedefine/>
    <w:qFormat/>
    <w:rsid w:val="00456F3B"/>
    <w:pPr>
      <w:keepNext/>
      <w:spacing w:before="200" w:after="200"/>
      <w:jc w:val="left"/>
      <w:outlineLvl w:val="0"/>
    </w:pPr>
    <w:rPr>
      <w:b/>
      <w:bCs/>
      <w:color w:val="381FD1"/>
      <w:sz w:val="28"/>
      <w:szCs w:val="26"/>
    </w:rPr>
  </w:style>
  <w:style w:type="paragraph" w:styleId="Heading2">
    <w:name w:val="heading 2"/>
    <w:basedOn w:val="N2"/>
    <w:next w:val="Normal"/>
    <w:link w:val="Heading2Char"/>
    <w:autoRedefine/>
    <w:uiPriority w:val="9"/>
    <w:qFormat/>
    <w:rsid w:val="00DF0A1C"/>
    <w:pPr>
      <w:keepNext/>
      <w:spacing w:before="200"/>
      <w:ind w:left="357" w:hanging="357"/>
      <w:jc w:val="both"/>
      <w:outlineLvl w:val="1"/>
    </w:pPr>
  </w:style>
  <w:style w:type="paragraph" w:styleId="Heading3">
    <w:name w:val="heading 3"/>
    <w:basedOn w:val="N3"/>
    <w:next w:val="Normal"/>
    <w:link w:val="Heading3Char"/>
    <w:autoRedefine/>
    <w:uiPriority w:val="9"/>
    <w:qFormat/>
    <w:rsid w:val="00DF0A1C"/>
    <w:pPr>
      <w:keepNext/>
      <w:spacing w:before="180"/>
      <w:jc w:val="left"/>
      <w:outlineLvl w:val="2"/>
    </w:pPr>
    <w:rPr>
      <w:bCs/>
      <w:iCs/>
      <w:szCs w:val="24"/>
    </w:rPr>
  </w:style>
  <w:style w:type="paragraph" w:styleId="Heading4">
    <w:name w:val="heading 4"/>
    <w:basedOn w:val="N4"/>
    <w:next w:val="Normal"/>
    <w:link w:val="Heading4Char"/>
    <w:uiPriority w:val="9"/>
    <w:qFormat/>
    <w:rsid w:val="00DF0A1C"/>
    <w:pPr>
      <w:keepNext/>
      <w:tabs>
        <w:tab w:val="left" w:pos="3249"/>
      </w:tabs>
      <w:spacing w:before="160"/>
      <w:jc w:val="left"/>
      <w:outlineLvl w:val="3"/>
    </w:pPr>
  </w:style>
  <w:style w:type="paragraph" w:styleId="Heading5">
    <w:name w:val="heading 5"/>
    <w:basedOn w:val="N5"/>
    <w:next w:val="Normal"/>
    <w:link w:val="Heading5Char"/>
    <w:autoRedefine/>
    <w:uiPriority w:val="9"/>
    <w:qFormat/>
    <w:rsid w:val="00DF0A1C"/>
    <w:pPr>
      <w:keepNext/>
      <w:spacing w:before="160"/>
      <w:jc w:val="left"/>
      <w:outlineLvl w:val="4"/>
    </w:pPr>
    <w:rPr>
      <w:szCs w:val="24"/>
    </w:rPr>
  </w:style>
  <w:style w:type="paragraph" w:styleId="Heading6">
    <w:name w:val="heading 6"/>
    <w:basedOn w:val="Normal"/>
    <w:next w:val="Normal"/>
    <w:link w:val="Heading6Char"/>
    <w:uiPriority w:val="9"/>
    <w:qFormat/>
    <w:rsid w:val="00F412A2"/>
    <w:pPr>
      <w:keepNext/>
      <w:autoSpaceDE w:val="0"/>
      <w:autoSpaceDN w:val="0"/>
      <w:jc w:val="both"/>
      <w:outlineLvl w:val="5"/>
    </w:pPr>
    <w:rPr>
      <w:bCs/>
      <w:i/>
      <w:iCs/>
      <w:lang w:eastAsia="sk-SK"/>
    </w:rPr>
  </w:style>
  <w:style w:type="paragraph" w:styleId="Heading7">
    <w:name w:val="heading 7"/>
    <w:basedOn w:val="Normal"/>
    <w:next w:val="Normal"/>
    <w:link w:val="Heading7Char"/>
    <w:uiPriority w:val="9"/>
    <w:semiHidden/>
    <w:unhideWhenUsed/>
    <w:qFormat/>
    <w:rsid w:val="00E8794F"/>
    <w:pPr>
      <w:spacing w:before="300" w:after="0"/>
      <w:ind w:left="1296" w:hanging="1296"/>
      <w:jc w:val="both"/>
      <w:outlineLvl w:val="6"/>
    </w:pPr>
    <w:rPr>
      <w:rFonts w:ascii="Calibri" w:hAnsi="Calibri"/>
      <w:caps/>
      <w:color w:val="365F91"/>
      <w:spacing w:val="10"/>
      <w:sz w:val="22"/>
      <w:szCs w:val="22"/>
    </w:rPr>
  </w:style>
  <w:style w:type="paragraph" w:styleId="Heading8">
    <w:name w:val="heading 8"/>
    <w:basedOn w:val="Normal"/>
    <w:next w:val="Normal"/>
    <w:link w:val="Heading8Char"/>
    <w:uiPriority w:val="9"/>
    <w:semiHidden/>
    <w:unhideWhenUsed/>
    <w:qFormat/>
    <w:rsid w:val="00E8794F"/>
    <w:pPr>
      <w:keepNext/>
      <w:keepLines/>
      <w:spacing w:before="200" w:after="0"/>
      <w:jc w:val="both"/>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E8794F"/>
    <w:pPr>
      <w:keepNext/>
      <w:keepLines/>
      <w:spacing w:before="200" w:after="0"/>
      <w:jc w:val="both"/>
      <w:outlineLvl w:val="8"/>
    </w:pPr>
    <w:rPr>
      <w:rFonts w:ascii="Cambria" w:hAnsi="Cambria"/>
      <w:i/>
      <w:iCs/>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6F3B"/>
    <w:rPr>
      <w:b/>
      <w:color w:val="381FD1"/>
      <w:sz w:val="26"/>
      <w:lang w:val="x-none" w:eastAsia="x-none"/>
    </w:rPr>
  </w:style>
  <w:style w:type="character" w:customStyle="1" w:styleId="Heading2Char">
    <w:name w:val="Heading 2 Char"/>
    <w:link w:val="Heading2"/>
    <w:uiPriority w:val="9"/>
    <w:locked/>
    <w:rsid w:val="00DF0A1C"/>
    <w:rPr>
      <w:b/>
      <w:color w:val="381FD1"/>
      <w:sz w:val="26"/>
      <w:lang w:val="x-none" w:eastAsia="en-US"/>
    </w:rPr>
  </w:style>
  <w:style w:type="character" w:customStyle="1" w:styleId="Heading3Char">
    <w:name w:val="Heading 3 Char"/>
    <w:link w:val="Heading3"/>
    <w:uiPriority w:val="9"/>
    <w:locked/>
    <w:rsid w:val="00DF0A1C"/>
    <w:rPr>
      <w:b/>
      <w:color w:val="381FD1"/>
      <w:sz w:val="24"/>
      <w:lang w:val="x-none" w:eastAsia="x-none"/>
    </w:rPr>
  </w:style>
  <w:style w:type="character" w:customStyle="1" w:styleId="Heading4Char">
    <w:name w:val="Heading 4 Char"/>
    <w:link w:val="Heading4"/>
    <w:uiPriority w:val="9"/>
    <w:locked/>
    <w:rsid w:val="00DF0A1C"/>
    <w:rPr>
      <w:b/>
      <w:color w:val="381FD1"/>
      <w:sz w:val="24"/>
      <w:lang w:val="x-none" w:eastAsia="x-none"/>
    </w:rPr>
  </w:style>
  <w:style w:type="character" w:customStyle="1" w:styleId="Heading5Char">
    <w:name w:val="Heading 5 Char"/>
    <w:link w:val="Heading5"/>
    <w:uiPriority w:val="9"/>
    <w:locked/>
    <w:rsid w:val="00DF0A1C"/>
    <w:rPr>
      <w:b/>
      <w:i/>
      <w:color w:val="381FD1"/>
      <w:sz w:val="24"/>
      <w:lang w:val="x-none" w:eastAsia="x-none"/>
    </w:rPr>
  </w:style>
  <w:style w:type="character" w:customStyle="1" w:styleId="Heading6Char">
    <w:name w:val="Heading 6 Char"/>
    <w:link w:val="Heading6"/>
    <w:uiPriority w:val="9"/>
    <w:locked/>
    <w:rsid w:val="00F412A2"/>
    <w:rPr>
      <w:i/>
      <w:sz w:val="24"/>
      <w:lang w:val="sk-SK" w:eastAsia="sk-SK"/>
    </w:rPr>
  </w:style>
  <w:style w:type="paragraph" w:styleId="ListParagraph">
    <w:name w:val="List Paragraph"/>
    <w:basedOn w:val="Normal"/>
    <w:uiPriority w:val="34"/>
    <w:qFormat/>
    <w:rsid w:val="0081550A"/>
    <w:pPr>
      <w:ind w:left="720"/>
      <w:contextualSpacing/>
      <w:jc w:val="both"/>
    </w:pPr>
  </w:style>
  <w:style w:type="paragraph" w:customStyle="1" w:styleId="Style1">
    <w:name w:val="Style1"/>
    <w:basedOn w:val="Normal"/>
    <w:uiPriority w:val="99"/>
    <w:rsid w:val="00881EF3"/>
    <w:pPr>
      <w:jc w:val="both"/>
    </w:pPr>
  </w:style>
  <w:style w:type="character" w:customStyle="1" w:styleId="Heading7Char">
    <w:name w:val="Heading 7 Char"/>
    <w:link w:val="Heading7"/>
    <w:uiPriority w:val="9"/>
    <w:semiHidden/>
    <w:locked/>
    <w:rsid w:val="00E8794F"/>
    <w:rPr>
      <w:rFonts w:ascii="Calibri" w:hAnsi="Calibri" w:cs="Calibri"/>
      <w:caps/>
      <w:color w:val="365F91"/>
      <w:spacing w:val="10"/>
      <w:sz w:val="22"/>
      <w:lang w:val="sk-SK" w:eastAsia="x-none"/>
    </w:rPr>
  </w:style>
  <w:style w:type="character" w:customStyle="1" w:styleId="Heading8Char">
    <w:name w:val="Heading 8 Char"/>
    <w:link w:val="Heading8"/>
    <w:uiPriority w:val="9"/>
    <w:semiHidden/>
    <w:locked/>
    <w:rsid w:val="00E8794F"/>
    <w:rPr>
      <w:rFonts w:ascii="Cambria" w:hAnsi="Cambria" w:cs="Cambria"/>
      <w:color w:val="404040"/>
      <w:lang w:val="sk-SK" w:eastAsia="x-none"/>
    </w:rPr>
  </w:style>
  <w:style w:type="character" w:customStyle="1" w:styleId="Heading9Char">
    <w:name w:val="Heading 9 Char"/>
    <w:link w:val="Heading9"/>
    <w:uiPriority w:val="9"/>
    <w:semiHidden/>
    <w:locked/>
    <w:rsid w:val="00E8794F"/>
    <w:rPr>
      <w:rFonts w:ascii="Cambria" w:hAnsi="Cambria" w:cs="Cambria"/>
      <w:i/>
      <w:color w:val="404040"/>
      <w:lang w:val="sk-SK" w:eastAsia="x-none"/>
    </w:rPr>
  </w:style>
  <w:style w:type="paragraph" w:styleId="BalloonText">
    <w:name w:val="Balloon Text"/>
    <w:basedOn w:val="Normal"/>
    <w:link w:val="BalloonTextChar"/>
    <w:uiPriority w:val="99"/>
    <w:semiHidden/>
    <w:unhideWhenUsed/>
    <w:rsid w:val="00E8794F"/>
    <w:pPr>
      <w:jc w:val="both"/>
    </w:pPr>
    <w:rPr>
      <w:rFonts w:ascii="Tahoma" w:hAnsi="Tahoma"/>
      <w:sz w:val="16"/>
      <w:szCs w:val="16"/>
    </w:rPr>
  </w:style>
  <w:style w:type="character" w:customStyle="1" w:styleId="BalloonTextChar">
    <w:name w:val="Balloon Text Char"/>
    <w:link w:val="BalloonText"/>
    <w:uiPriority w:val="99"/>
    <w:semiHidden/>
    <w:locked/>
    <w:rsid w:val="00E8794F"/>
    <w:rPr>
      <w:rFonts w:ascii="Tahoma" w:hAnsi="Tahoma" w:cs="Tahoma"/>
      <w:sz w:val="16"/>
      <w:lang w:val="sk-SK" w:eastAsia="x-none"/>
    </w:rPr>
  </w:style>
  <w:style w:type="character" w:styleId="FootnoteReference">
    <w:name w:val="footnote reference"/>
    <w:rsid w:val="00E8794F"/>
    <w:rPr>
      <w:vertAlign w:val="superscript"/>
    </w:rPr>
  </w:style>
  <w:style w:type="paragraph" w:customStyle="1" w:styleId="VVPTextprispevku">
    <w:name w:val="VVP_Text_prispevku"/>
    <w:basedOn w:val="Normal"/>
    <w:rsid w:val="00E8794F"/>
    <w:pPr>
      <w:tabs>
        <w:tab w:val="left" w:pos="540"/>
      </w:tabs>
      <w:suppressAutoHyphens/>
      <w:jc w:val="both"/>
    </w:pPr>
    <w:rPr>
      <w:szCs w:val="24"/>
      <w:lang w:val="en-US" w:eastAsia="ar-SA"/>
    </w:rPr>
  </w:style>
  <w:style w:type="paragraph" w:styleId="PlainText">
    <w:name w:val="Plain Text"/>
    <w:basedOn w:val="Normal"/>
    <w:link w:val="PlainTextChar"/>
    <w:uiPriority w:val="99"/>
    <w:unhideWhenUsed/>
    <w:rsid w:val="00E8794F"/>
    <w:pPr>
      <w:jc w:val="both"/>
    </w:pPr>
    <w:rPr>
      <w:rFonts w:ascii="Calibri" w:hAnsi="Calibri"/>
      <w:sz w:val="20"/>
      <w:szCs w:val="21"/>
    </w:rPr>
  </w:style>
  <w:style w:type="character" w:customStyle="1" w:styleId="PlainTextChar">
    <w:name w:val="Plain Text Char"/>
    <w:link w:val="PlainText"/>
    <w:uiPriority w:val="99"/>
    <w:locked/>
    <w:rsid w:val="00E8794F"/>
    <w:rPr>
      <w:rFonts w:ascii="Calibri" w:hAnsi="Calibri" w:cs="Calibri"/>
      <w:sz w:val="21"/>
      <w:lang w:val="sk-SK" w:eastAsia="x-none"/>
    </w:rPr>
  </w:style>
  <w:style w:type="paragraph" w:styleId="FootnoteText">
    <w:name w:val="footnote text"/>
    <w:aliases w:val="Text poznámky pod čiarou 007"/>
    <w:basedOn w:val="Normal"/>
    <w:link w:val="FootnoteTextChar"/>
    <w:rsid w:val="00E8794F"/>
    <w:pPr>
      <w:jc w:val="both"/>
    </w:pPr>
    <w:rPr>
      <w:sz w:val="20"/>
      <w:lang w:eastAsia="sk-SK"/>
    </w:rPr>
  </w:style>
  <w:style w:type="character" w:customStyle="1" w:styleId="FootnoteTextChar">
    <w:name w:val="Footnote Text Char"/>
    <w:aliases w:val="Text poznámky pod čiarou 007 Char"/>
    <w:link w:val="FootnoteText"/>
    <w:uiPriority w:val="99"/>
    <w:locked/>
    <w:rsid w:val="00E8794F"/>
    <w:rPr>
      <w:lang w:val="sk-SK" w:eastAsia="sk-SK"/>
    </w:rPr>
  </w:style>
  <w:style w:type="table" w:styleId="TableGrid">
    <w:name w:val="Table Grid"/>
    <w:basedOn w:val="TableNormal"/>
    <w:uiPriority w:val="59"/>
    <w:rsid w:val="00E8794F"/>
    <w:pPr>
      <w:spacing w:before="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E8794F"/>
    <w:pPr>
      <w:jc w:val="center"/>
    </w:pPr>
    <w:rPr>
      <w:b/>
      <w:bCs/>
      <w:szCs w:val="24"/>
      <w:lang w:eastAsia="sk-SK"/>
    </w:rPr>
  </w:style>
  <w:style w:type="character" w:customStyle="1" w:styleId="BodyTextChar">
    <w:name w:val="Body Text Char"/>
    <w:link w:val="BodyText"/>
    <w:uiPriority w:val="99"/>
    <w:locked/>
    <w:rsid w:val="00E8794F"/>
    <w:rPr>
      <w:b/>
      <w:sz w:val="24"/>
      <w:lang w:val="sk-SK" w:eastAsia="sk-SK"/>
    </w:rPr>
  </w:style>
  <w:style w:type="paragraph" w:styleId="BodyText2">
    <w:name w:val="Body Text 2"/>
    <w:basedOn w:val="Normal"/>
    <w:link w:val="BodyText2Char"/>
    <w:uiPriority w:val="99"/>
    <w:semiHidden/>
    <w:unhideWhenUsed/>
    <w:rsid w:val="00E8794F"/>
    <w:pPr>
      <w:spacing w:line="480" w:lineRule="auto"/>
      <w:jc w:val="both"/>
    </w:pPr>
    <w:rPr>
      <w:rFonts w:ascii="Calibri" w:hAnsi="Calibri"/>
      <w:sz w:val="20"/>
    </w:rPr>
  </w:style>
  <w:style w:type="character" w:customStyle="1" w:styleId="BodyText2Char">
    <w:name w:val="Body Text 2 Char"/>
    <w:link w:val="BodyText2"/>
    <w:uiPriority w:val="99"/>
    <w:semiHidden/>
    <w:locked/>
    <w:rsid w:val="00E8794F"/>
    <w:rPr>
      <w:rFonts w:ascii="Calibri" w:hAnsi="Calibri" w:cs="Calibri"/>
      <w:lang w:val="sk-SK" w:eastAsia="x-none"/>
    </w:rPr>
  </w:style>
  <w:style w:type="paragraph" w:styleId="NoSpacing">
    <w:name w:val="No Spacing"/>
    <w:basedOn w:val="Normal"/>
    <w:link w:val="NoSpacingChar"/>
    <w:uiPriority w:val="1"/>
    <w:rsid w:val="00E8794F"/>
    <w:pPr>
      <w:spacing w:after="0"/>
      <w:jc w:val="both"/>
    </w:pPr>
    <w:rPr>
      <w:rFonts w:ascii="Calibri" w:hAnsi="Calibri"/>
      <w:sz w:val="20"/>
    </w:rPr>
  </w:style>
  <w:style w:type="character" w:customStyle="1" w:styleId="NoSpacingChar">
    <w:name w:val="No Spacing Char"/>
    <w:link w:val="NoSpacing"/>
    <w:uiPriority w:val="1"/>
    <w:locked/>
    <w:rsid w:val="00E8794F"/>
    <w:rPr>
      <w:rFonts w:ascii="Calibri" w:hAnsi="Calibri" w:cs="Calibri"/>
      <w:lang w:val="sk-SK" w:eastAsia="x-none"/>
    </w:rPr>
  </w:style>
  <w:style w:type="paragraph" w:styleId="BodyTextIndent">
    <w:name w:val="Body Text Indent"/>
    <w:basedOn w:val="Normal"/>
    <w:link w:val="BodyTextIndentChar"/>
    <w:uiPriority w:val="99"/>
    <w:semiHidden/>
    <w:unhideWhenUsed/>
    <w:rsid w:val="00E8794F"/>
    <w:pPr>
      <w:ind w:left="283"/>
      <w:jc w:val="both"/>
    </w:pPr>
    <w:rPr>
      <w:rFonts w:ascii="Calibri" w:hAnsi="Calibri"/>
      <w:sz w:val="20"/>
    </w:rPr>
  </w:style>
  <w:style w:type="character" w:customStyle="1" w:styleId="BodyTextIndentChar">
    <w:name w:val="Body Text Indent Char"/>
    <w:link w:val="BodyTextIndent"/>
    <w:uiPriority w:val="99"/>
    <w:semiHidden/>
    <w:locked/>
    <w:rsid w:val="00E8794F"/>
    <w:rPr>
      <w:rFonts w:ascii="Calibri" w:hAnsi="Calibri" w:cs="Calibri"/>
      <w:lang w:val="sk-SK" w:eastAsia="x-none"/>
    </w:rPr>
  </w:style>
  <w:style w:type="paragraph" w:customStyle="1" w:styleId="Normlny1">
    <w:name w:val="Normálny1"/>
    <w:uiPriority w:val="99"/>
    <w:rsid w:val="00E8794F"/>
    <w:pPr>
      <w:framePr w:wrap="auto"/>
      <w:widowControl w:val="0"/>
      <w:autoSpaceDE w:val="0"/>
      <w:autoSpaceDN w:val="0"/>
      <w:adjustRightInd/>
      <w:spacing w:before="200"/>
      <w:ind w:left="0" w:right="0"/>
      <w:jc w:val="left"/>
      <w:textAlignment w:val="auto"/>
    </w:pPr>
    <w:rPr>
      <w:rFonts w:cs="Times New Roman"/>
      <w:b/>
      <w:bCs/>
      <w:sz w:val="20"/>
      <w:szCs w:val="20"/>
      <w:rtl w:val="0"/>
      <w:cs w:val="0"/>
      <w:lang w:val="sk-SK" w:eastAsia="en-US" w:bidi="ar-SA"/>
    </w:rPr>
  </w:style>
  <w:style w:type="paragraph" w:styleId="NormalWeb">
    <w:name w:val="Normal (Web)"/>
    <w:basedOn w:val="Normal"/>
    <w:uiPriority w:val="99"/>
    <w:unhideWhenUsed/>
    <w:rsid w:val="00E8794F"/>
    <w:pPr>
      <w:spacing w:before="100" w:beforeAutospacing="1" w:after="100" w:afterAutospacing="1"/>
      <w:jc w:val="both"/>
    </w:pPr>
    <w:rPr>
      <w:szCs w:val="24"/>
      <w:lang w:eastAsia="sk-SK"/>
    </w:rPr>
  </w:style>
  <w:style w:type="character" w:customStyle="1" w:styleId="Siln1">
    <w:name w:val="Silný1"/>
    <w:basedOn w:val="DefaultParagraphFont"/>
    <w:rsid w:val="00E8794F"/>
    <w:rPr>
      <w:rFonts w:cs="Times New Roman"/>
      <w:rtl w:val="0"/>
      <w:cs w:val="0"/>
    </w:rPr>
  </w:style>
  <w:style w:type="character" w:styleId="Hyperlink">
    <w:name w:val="Hyperlink"/>
    <w:uiPriority w:val="99"/>
    <w:unhideWhenUsed/>
    <w:rsid w:val="00E8794F"/>
    <w:rPr>
      <w:color w:val="0000FF"/>
      <w:u w:val="single"/>
    </w:rPr>
  </w:style>
  <w:style w:type="paragraph" w:customStyle="1" w:styleId="tandard6za">
    <w:name w:val="štandard 6 za"/>
    <w:basedOn w:val="BodyTextIndent"/>
    <w:rsid w:val="00E8794F"/>
    <w:pPr>
      <w:ind w:left="0"/>
      <w:jc w:val="both"/>
    </w:pPr>
    <w:rPr>
      <w:lang w:eastAsia="sk-SK"/>
    </w:rPr>
  </w:style>
  <w:style w:type="character" w:styleId="Strong">
    <w:name w:val="Strong"/>
    <w:uiPriority w:val="22"/>
    <w:rsid w:val="00E8794F"/>
    <w:rPr>
      <w:b/>
    </w:rPr>
  </w:style>
  <w:style w:type="paragraph" w:customStyle="1" w:styleId="vchodzie">
    <w:name w:val="vchodzie"/>
    <w:basedOn w:val="Normal"/>
    <w:uiPriority w:val="99"/>
    <w:rsid w:val="00E8794F"/>
    <w:pPr>
      <w:jc w:val="both"/>
    </w:pPr>
    <w:rPr>
      <w:rFonts w:ascii="MS Gothic" w:eastAsia="MS Gothic" w:hAnsi="Times New Roman"/>
      <w:color w:val="000000"/>
      <w:sz w:val="36"/>
      <w:szCs w:val="36"/>
      <w:lang w:eastAsia="sk-SK"/>
    </w:rPr>
  </w:style>
  <w:style w:type="paragraph" w:customStyle="1" w:styleId="bodytext0">
    <w:name w:val="bodytext"/>
    <w:basedOn w:val="Normal"/>
    <w:uiPriority w:val="99"/>
    <w:rsid w:val="00E8794F"/>
    <w:pPr>
      <w:spacing w:before="100" w:beforeAutospacing="1" w:after="100" w:afterAutospacing="1"/>
      <w:jc w:val="both"/>
    </w:pPr>
    <w:rPr>
      <w:szCs w:val="24"/>
      <w:lang w:eastAsia="sk-SK"/>
    </w:rPr>
  </w:style>
  <w:style w:type="character" w:styleId="PlaceholderText">
    <w:name w:val="Placeholder Text"/>
    <w:uiPriority w:val="99"/>
    <w:semiHidden/>
    <w:rsid w:val="00E8794F"/>
    <w:rPr>
      <w:rFonts w:ascii="Times New Roman" w:hAnsi="Times New Roman" w:cs="Times New Roman"/>
      <w:color w:val="808080"/>
    </w:rPr>
  </w:style>
  <w:style w:type="paragraph" w:customStyle="1" w:styleId="Zkladntext3">
    <w:name w:val="Základný text3"/>
    <w:basedOn w:val="Normal"/>
    <w:uiPriority w:val="99"/>
    <w:rsid w:val="00E8794F"/>
    <w:pPr>
      <w:shd w:val="clear" w:color="auto" w:fill="FFFFFF"/>
      <w:spacing w:before="180" w:after="180" w:line="254" w:lineRule="exact"/>
      <w:ind w:hanging="340"/>
      <w:jc w:val="both"/>
    </w:pPr>
    <w:rPr>
      <w:lang w:eastAsia="sk-SK"/>
    </w:rPr>
  </w:style>
  <w:style w:type="character" w:customStyle="1" w:styleId="Zkladntext30">
    <w:name w:val="Základný text (3)_"/>
    <w:link w:val="Zkladntext31"/>
    <w:locked/>
    <w:rsid w:val="00E8794F"/>
    <w:rPr>
      <w:sz w:val="21"/>
      <w:shd w:val="clear" w:color="auto" w:fill="FFFFFF"/>
    </w:rPr>
  </w:style>
  <w:style w:type="paragraph" w:customStyle="1" w:styleId="Zkladntext31">
    <w:name w:val="Základný text (3)"/>
    <w:basedOn w:val="Normal"/>
    <w:link w:val="Zkladntext30"/>
    <w:rsid w:val="00E8794F"/>
    <w:pPr>
      <w:shd w:val="clear" w:color="auto" w:fill="FFFFFF"/>
      <w:spacing w:before="60" w:after="180" w:line="0" w:lineRule="atLeast"/>
      <w:jc w:val="both"/>
    </w:pPr>
    <w:rPr>
      <w:sz w:val="21"/>
      <w:szCs w:val="21"/>
    </w:rPr>
  </w:style>
  <w:style w:type="paragraph" w:styleId="Header">
    <w:name w:val="header"/>
    <w:basedOn w:val="Normal"/>
    <w:link w:val="HeaderChar"/>
    <w:rsid w:val="00E8794F"/>
    <w:pPr>
      <w:tabs>
        <w:tab w:val="center" w:pos="4536"/>
        <w:tab w:val="right" w:pos="9072"/>
      </w:tabs>
      <w:jc w:val="both"/>
    </w:pPr>
    <w:rPr>
      <w:sz w:val="20"/>
      <w:lang w:eastAsia="sk-SK"/>
    </w:rPr>
  </w:style>
  <w:style w:type="character" w:customStyle="1" w:styleId="HeaderChar">
    <w:name w:val="Header Char"/>
    <w:link w:val="Header"/>
    <w:uiPriority w:val="99"/>
    <w:locked/>
    <w:rsid w:val="00E8794F"/>
    <w:rPr>
      <w:lang w:val="sk-SK" w:eastAsia="sk-SK"/>
    </w:rPr>
  </w:style>
  <w:style w:type="character" w:customStyle="1" w:styleId="Textzstupnhosymbolu1">
    <w:name w:val="Text zástupného symbolu1"/>
    <w:semiHidden/>
    <w:rsid w:val="00E8794F"/>
    <w:rPr>
      <w:rFonts w:ascii="Times New Roman" w:hAnsi="Times New Roman" w:cs="Times New Roman"/>
      <w:color w:val="808080"/>
    </w:rPr>
  </w:style>
  <w:style w:type="paragraph" w:styleId="Caption">
    <w:name w:val="caption"/>
    <w:basedOn w:val="Normal"/>
    <w:next w:val="Normal"/>
    <w:uiPriority w:val="35"/>
    <w:unhideWhenUsed/>
    <w:qFormat/>
    <w:rsid w:val="00E8794F"/>
    <w:pPr>
      <w:spacing w:after="200"/>
      <w:jc w:val="both"/>
    </w:pPr>
    <w:rPr>
      <w:b/>
      <w:bCs/>
      <w:color w:val="4F81BD"/>
      <w:sz w:val="18"/>
      <w:szCs w:val="18"/>
    </w:rPr>
  </w:style>
  <w:style w:type="paragraph" w:customStyle="1" w:styleId="Default">
    <w:name w:val="Default"/>
    <w:rsid w:val="00E8794F"/>
    <w:pPr>
      <w:framePr w:wrap="auto"/>
      <w:widowControl/>
      <w:autoSpaceDE w:val="0"/>
      <w:autoSpaceDN w:val="0"/>
      <w:adjustRightInd w:val="0"/>
      <w:spacing w:before="200"/>
      <w:ind w:left="0" w:right="0"/>
      <w:jc w:val="left"/>
      <w:textAlignment w:val="auto"/>
    </w:pPr>
    <w:rPr>
      <w:rFonts w:cs="Times New Roman"/>
      <w:color w:val="000000"/>
      <w:sz w:val="24"/>
      <w:szCs w:val="24"/>
      <w:rtl w:val="0"/>
      <w:cs w:val="0"/>
      <w:lang w:val="sk-SK" w:eastAsia="sk-SK" w:bidi="ar-SA"/>
    </w:rPr>
  </w:style>
  <w:style w:type="character" w:customStyle="1" w:styleId="caps">
    <w:name w:val="caps"/>
    <w:basedOn w:val="DefaultParagraphFont"/>
    <w:rsid w:val="00E8794F"/>
    <w:rPr>
      <w:rFonts w:cs="Times New Roman"/>
      <w:rtl w:val="0"/>
      <w:cs w:val="0"/>
    </w:rPr>
  </w:style>
  <w:style w:type="character" w:styleId="CommentReference">
    <w:name w:val="annotation reference"/>
    <w:uiPriority w:val="99"/>
    <w:semiHidden/>
    <w:unhideWhenUsed/>
    <w:rsid w:val="00E8794F"/>
    <w:rPr>
      <w:sz w:val="16"/>
    </w:rPr>
  </w:style>
  <w:style w:type="paragraph" w:styleId="CommentText">
    <w:name w:val="annotation text"/>
    <w:basedOn w:val="Normal"/>
    <w:link w:val="CommentTextChar"/>
    <w:uiPriority w:val="99"/>
    <w:unhideWhenUsed/>
    <w:rsid w:val="00E8794F"/>
    <w:pPr>
      <w:jc w:val="both"/>
    </w:pPr>
    <w:rPr>
      <w:rFonts w:ascii="Calibri" w:hAnsi="Calibri"/>
      <w:sz w:val="20"/>
    </w:rPr>
  </w:style>
  <w:style w:type="character" w:customStyle="1" w:styleId="CommentTextChar">
    <w:name w:val="Comment Text Char"/>
    <w:link w:val="CommentText"/>
    <w:uiPriority w:val="99"/>
    <w:locked/>
    <w:rsid w:val="00E8794F"/>
    <w:rPr>
      <w:rFonts w:ascii="Calibri" w:hAnsi="Calibri" w:cs="Calibri"/>
      <w:lang w:val="sk-SK" w:eastAsia="x-none"/>
    </w:rPr>
  </w:style>
  <w:style w:type="paragraph" w:customStyle="1" w:styleId="mesgcontent">
    <w:name w:val="mesg_content"/>
    <w:basedOn w:val="Normal"/>
    <w:rsid w:val="00E8794F"/>
    <w:pPr>
      <w:spacing w:before="144" w:after="144"/>
      <w:ind w:firstLine="480"/>
      <w:jc w:val="both"/>
    </w:pPr>
    <w:rPr>
      <w:szCs w:val="24"/>
      <w:lang w:eastAsia="sk-SK"/>
    </w:rPr>
  </w:style>
  <w:style w:type="paragraph" w:styleId="Footer">
    <w:name w:val="footer"/>
    <w:basedOn w:val="Normal"/>
    <w:link w:val="FooterChar"/>
    <w:uiPriority w:val="99"/>
    <w:unhideWhenUsed/>
    <w:rsid w:val="00E8794F"/>
    <w:pPr>
      <w:tabs>
        <w:tab w:val="center" w:pos="4536"/>
        <w:tab w:val="right" w:pos="9072"/>
      </w:tabs>
      <w:jc w:val="both"/>
    </w:pPr>
    <w:rPr>
      <w:rFonts w:ascii="Calibri" w:hAnsi="Calibri"/>
      <w:sz w:val="20"/>
    </w:rPr>
  </w:style>
  <w:style w:type="character" w:customStyle="1" w:styleId="FooterChar">
    <w:name w:val="Footer Char"/>
    <w:link w:val="Footer"/>
    <w:uiPriority w:val="99"/>
    <w:locked/>
    <w:rsid w:val="00E8794F"/>
    <w:rPr>
      <w:rFonts w:ascii="Calibri" w:hAnsi="Calibri" w:cs="Calibri"/>
      <w:lang w:val="sk-SK" w:eastAsia="x-none"/>
    </w:rPr>
  </w:style>
  <w:style w:type="paragraph" w:customStyle="1" w:styleId="vvptextprispevku0">
    <w:name w:val="vvptextprispevku"/>
    <w:basedOn w:val="Normal"/>
    <w:uiPriority w:val="99"/>
    <w:semiHidden/>
    <w:rsid w:val="00E8794F"/>
    <w:pPr>
      <w:jc w:val="both"/>
    </w:pPr>
    <w:rPr>
      <w:szCs w:val="24"/>
      <w:lang w:eastAsia="sk-SK"/>
    </w:rPr>
  </w:style>
  <w:style w:type="paragraph" w:customStyle="1" w:styleId="Vchodzie0">
    <w:name w:val="Východzie"/>
    <w:basedOn w:val="Normal"/>
    <w:uiPriority w:val="99"/>
    <w:rsid w:val="00E8794F"/>
    <w:pPr>
      <w:autoSpaceDE w:val="0"/>
      <w:autoSpaceDN w:val="0"/>
      <w:jc w:val="both"/>
    </w:pPr>
    <w:rPr>
      <w:szCs w:val="24"/>
      <w:lang w:eastAsia="sk-SK"/>
    </w:rPr>
  </w:style>
  <w:style w:type="paragraph" w:styleId="ListBullet">
    <w:name w:val="List Bullet"/>
    <w:basedOn w:val="Normal"/>
    <w:autoRedefine/>
    <w:rsid w:val="00E8794F"/>
    <w:pPr>
      <w:tabs>
        <w:tab w:val="left" w:pos="0"/>
      </w:tabs>
      <w:ind w:right="1"/>
      <w:jc w:val="both"/>
    </w:pPr>
    <w:rPr>
      <w:szCs w:val="24"/>
      <w:lang w:eastAsia="sk-SK"/>
    </w:rPr>
  </w:style>
  <w:style w:type="paragraph" w:styleId="CommentSubject">
    <w:name w:val="annotation subject"/>
    <w:basedOn w:val="CommentText"/>
    <w:next w:val="CommentText"/>
    <w:link w:val="CommentSubjectChar"/>
    <w:uiPriority w:val="99"/>
    <w:semiHidden/>
    <w:unhideWhenUsed/>
    <w:rsid w:val="00E8794F"/>
    <w:pPr>
      <w:spacing w:after="0"/>
      <w:jc w:val="both"/>
    </w:pPr>
    <w:rPr>
      <w:b/>
      <w:bCs/>
    </w:rPr>
  </w:style>
  <w:style w:type="character" w:customStyle="1" w:styleId="CommentSubjectChar">
    <w:name w:val="Comment Subject Char"/>
    <w:link w:val="CommentSubject"/>
    <w:uiPriority w:val="99"/>
    <w:semiHidden/>
    <w:locked/>
    <w:rsid w:val="00E8794F"/>
    <w:rPr>
      <w:rFonts w:ascii="Calibri" w:hAnsi="Calibri" w:cs="Calibri"/>
      <w:b/>
      <w:lang w:val="sk-SK" w:eastAsia="x-none"/>
    </w:rPr>
  </w:style>
  <w:style w:type="paragraph" w:styleId="Title">
    <w:name w:val="Title"/>
    <w:basedOn w:val="Normal"/>
    <w:next w:val="Normal"/>
    <w:link w:val="TitleChar"/>
    <w:uiPriority w:val="10"/>
    <w:rsid w:val="00E8794F"/>
    <w:pPr>
      <w:spacing w:before="720"/>
      <w:jc w:val="both"/>
    </w:pPr>
    <w:rPr>
      <w:rFonts w:ascii="Calibri" w:hAnsi="Calibri"/>
      <w:caps/>
      <w:color w:val="4F81BD"/>
      <w:spacing w:val="10"/>
      <w:kern w:val="28"/>
      <w:sz w:val="52"/>
      <w:szCs w:val="52"/>
    </w:rPr>
  </w:style>
  <w:style w:type="character" w:customStyle="1" w:styleId="TitleChar">
    <w:name w:val="Title Char"/>
    <w:link w:val="Title"/>
    <w:uiPriority w:val="10"/>
    <w:locked/>
    <w:rsid w:val="00E8794F"/>
    <w:rPr>
      <w:rFonts w:ascii="Calibri" w:hAnsi="Calibri" w:cs="Calibri"/>
      <w:caps/>
      <w:color w:val="4F81BD"/>
      <w:spacing w:val="10"/>
      <w:kern w:val="28"/>
      <w:sz w:val="52"/>
      <w:lang w:val="sk-SK" w:eastAsia="x-none"/>
    </w:rPr>
  </w:style>
  <w:style w:type="paragraph" w:styleId="Subtitle">
    <w:name w:val="Subtitle"/>
    <w:basedOn w:val="Normal"/>
    <w:next w:val="Normal"/>
    <w:link w:val="SubtitleChar"/>
    <w:uiPriority w:val="11"/>
    <w:rsid w:val="00E8794F"/>
    <w:pPr>
      <w:spacing w:after="1000"/>
      <w:jc w:val="both"/>
    </w:pPr>
    <w:rPr>
      <w:rFonts w:ascii="Calibri" w:hAnsi="Calibri"/>
      <w:caps/>
      <w:color w:val="595959"/>
      <w:spacing w:val="10"/>
      <w:szCs w:val="24"/>
    </w:rPr>
  </w:style>
  <w:style w:type="character" w:customStyle="1" w:styleId="SubtitleChar">
    <w:name w:val="Subtitle Char"/>
    <w:link w:val="Subtitle"/>
    <w:uiPriority w:val="11"/>
    <w:locked/>
    <w:rsid w:val="00E8794F"/>
    <w:rPr>
      <w:rFonts w:ascii="Calibri" w:hAnsi="Calibri" w:cs="Calibri"/>
      <w:caps/>
      <w:color w:val="595959"/>
      <w:spacing w:val="10"/>
      <w:sz w:val="24"/>
      <w:lang w:val="sk-SK" w:eastAsia="x-none"/>
    </w:rPr>
  </w:style>
  <w:style w:type="character" w:styleId="Emphasis">
    <w:name w:val="Emphasis"/>
    <w:uiPriority w:val="20"/>
    <w:qFormat/>
    <w:rsid w:val="00E8794F"/>
    <w:rPr>
      <w:caps/>
      <w:color w:val="243F60"/>
      <w:spacing w:val="5"/>
    </w:rPr>
  </w:style>
  <w:style w:type="paragraph" w:styleId="Quote">
    <w:name w:val="Quote"/>
    <w:basedOn w:val="Normal"/>
    <w:next w:val="Normal"/>
    <w:link w:val="QuoteChar"/>
    <w:uiPriority w:val="29"/>
    <w:rsid w:val="00E8794F"/>
    <w:pPr>
      <w:jc w:val="both"/>
    </w:pPr>
    <w:rPr>
      <w:rFonts w:ascii="Calibri" w:hAnsi="Calibri"/>
      <w:i/>
      <w:iCs/>
      <w:sz w:val="20"/>
    </w:rPr>
  </w:style>
  <w:style w:type="character" w:customStyle="1" w:styleId="QuoteChar">
    <w:name w:val="Quote Char"/>
    <w:link w:val="Quote"/>
    <w:uiPriority w:val="29"/>
    <w:locked/>
    <w:rsid w:val="00E8794F"/>
    <w:rPr>
      <w:rFonts w:ascii="Calibri" w:hAnsi="Calibri" w:cs="Calibri"/>
      <w:i/>
      <w:lang w:val="sk-SK" w:eastAsia="x-none"/>
    </w:rPr>
  </w:style>
  <w:style w:type="paragraph" w:styleId="IntenseQuote">
    <w:name w:val="Intense Quote"/>
    <w:basedOn w:val="Normal"/>
    <w:next w:val="Normal"/>
    <w:link w:val="IntenseQuoteChar"/>
    <w:uiPriority w:val="30"/>
    <w:rsid w:val="00E8794F"/>
    <w:pPr>
      <w:pBdr>
        <w:top w:val="single" w:sz="4" w:space="10" w:color="4F81BD"/>
        <w:left w:val="single" w:sz="4" w:space="10" w:color="4F81BD"/>
      </w:pBdr>
      <w:spacing w:after="0"/>
      <w:ind w:left="1296" w:right="1152"/>
      <w:jc w:val="both"/>
    </w:pPr>
    <w:rPr>
      <w:rFonts w:ascii="Calibri" w:hAnsi="Calibri"/>
      <w:i/>
      <w:iCs/>
      <w:color w:val="4F81BD"/>
      <w:sz w:val="20"/>
    </w:rPr>
  </w:style>
  <w:style w:type="character" w:customStyle="1" w:styleId="IntenseQuoteChar">
    <w:name w:val="Intense Quote Char"/>
    <w:link w:val="IntenseQuote"/>
    <w:uiPriority w:val="30"/>
    <w:locked/>
    <w:rsid w:val="00E8794F"/>
    <w:rPr>
      <w:rFonts w:ascii="Calibri" w:hAnsi="Calibri" w:cs="Calibri"/>
      <w:i/>
      <w:color w:val="4F81BD"/>
      <w:lang w:val="sk-SK" w:eastAsia="x-none"/>
    </w:rPr>
  </w:style>
  <w:style w:type="character" w:styleId="SubtleEmphasis">
    <w:name w:val="Subtle Emphasis"/>
    <w:uiPriority w:val="19"/>
    <w:rsid w:val="00E8794F"/>
    <w:rPr>
      <w:i/>
      <w:color w:val="243F60"/>
    </w:rPr>
  </w:style>
  <w:style w:type="character" w:styleId="IntenseEmphasis">
    <w:name w:val="Intense Emphasis"/>
    <w:uiPriority w:val="21"/>
    <w:rsid w:val="00E8794F"/>
    <w:rPr>
      <w:b/>
      <w:caps/>
      <w:color w:val="243F60"/>
      <w:spacing w:val="10"/>
    </w:rPr>
  </w:style>
  <w:style w:type="character" w:styleId="SubtleReference">
    <w:name w:val="Subtle Reference"/>
    <w:uiPriority w:val="31"/>
    <w:rsid w:val="00E8794F"/>
    <w:rPr>
      <w:b/>
      <w:color w:val="4F81BD"/>
    </w:rPr>
  </w:style>
  <w:style w:type="character" w:styleId="IntenseReference">
    <w:name w:val="Intense Reference"/>
    <w:uiPriority w:val="32"/>
    <w:rsid w:val="00E8794F"/>
    <w:rPr>
      <w:b/>
      <w:i/>
      <w:caps/>
      <w:color w:val="4F81BD"/>
    </w:rPr>
  </w:style>
  <w:style w:type="character" w:styleId="BookTitle">
    <w:name w:val="Book Title"/>
    <w:uiPriority w:val="33"/>
    <w:rsid w:val="00E8794F"/>
    <w:rPr>
      <w:b/>
      <w:i/>
      <w:spacing w:val="9"/>
    </w:rPr>
  </w:style>
  <w:style w:type="paragraph" w:styleId="TOCHeading">
    <w:name w:val="TOC Heading"/>
    <w:basedOn w:val="Heading1"/>
    <w:next w:val="Normal"/>
    <w:uiPriority w:val="39"/>
    <w:semiHidden/>
    <w:unhideWhenUsed/>
    <w:qFormat/>
    <w:rsid w:val="00E8794F"/>
    <w:pPr>
      <w:keepLines/>
      <w:spacing w:before="480" w:after="0"/>
      <w:jc w:val="both"/>
      <w:outlineLvl w:val="9"/>
    </w:pPr>
    <w:rPr>
      <w:rFonts w:ascii="Cambria" w:hAnsi="Cambria"/>
      <w:color w:val="365F91"/>
      <w:szCs w:val="28"/>
    </w:rPr>
  </w:style>
  <w:style w:type="paragraph" w:styleId="TOC1">
    <w:name w:val="toc 1"/>
    <w:basedOn w:val="Normal"/>
    <w:next w:val="Normal"/>
    <w:autoRedefine/>
    <w:uiPriority w:val="39"/>
    <w:unhideWhenUsed/>
    <w:rsid w:val="0052070C"/>
    <w:pPr>
      <w:tabs>
        <w:tab w:val="left" w:pos="426"/>
        <w:tab w:val="right" w:leader="dot" w:pos="9072"/>
      </w:tabs>
      <w:spacing w:before="120"/>
      <w:jc w:val="left"/>
    </w:pPr>
    <w:rPr>
      <w:b/>
      <w:bCs/>
      <w:caps/>
    </w:rPr>
  </w:style>
  <w:style w:type="paragraph" w:styleId="TOC2">
    <w:name w:val="toc 2"/>
    <w:basedOn w:val="Normal"/>
    <w:next w:val="Normal"/>
    <w:autoRedefine/>
    <w:uiPriority w:val="39"/>
    <w:unhideWhenUsed/>
    <w:rsid w:val="00E8794F"/>
    <w:pPr>
      <w:spacing w:after="0"/>
      <w:ind w:left="200"/>
      <w:jc w:val="both"/>
    </w:pPr>
    <w:rPr>
      <w:smallCaps/>
    </w:rPr>
  </w:style>
  <w:style w:type="paragraph" w:styleId="TOC3">
    <w:name w:val="toc 3"/>
    <w:basedOn w:val="Normal"/>
    <w:next w:val="Normal"/>
    <w:autoRedefine/>
    <w:uiPriority w:val="39"/>
    <w:unhideWhenUsed/>
    <w:rsid w:val="00E8794F"/>
    <w:pPr>
      <w:spacing w:after="0"/>
      <w:ind w:left="400"/>
      <w:jc w:val="both"/>
    </w:pPr>
    <w:rPr>
      <w:i/>
      <w:iCs/>
    </w:rPr>
  </w:style>
  <w:style w:type="table" w:customStyle="1" w:styleId="Mriekatabuky1">
    <w:name w:val="Mriežka tabuľky1"/>
    <w:basedOn w:val="TableNormal"/>
    <w:next w:val="TableGrid"/>
    <w:uiPriority w:val="59"/>
    <w:rsid w:val="00E8794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
    <w:name w:val="Mriežka tabuľky2"/>
    <w:basedOn w:val="TableNormal"/>
    <w:next w:val="TableGrid"/>
    <w:uiPriority w:val="59"/>
    <w:rsid w:val="00E8794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
    <w:name w:val="Mriežka tabuľky3"/>
    <w:basedOn w:val="TableNormal"/>
    <w:next w:val="TableGrid"/>
    <w:uiPriority w:val="59"/>
    <w:rsid w:val="00E8794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
    <w:name w:val="Mriežka tabuľky4"/>
    <w:basedOn w:val="TableNormal"/>
    <w:next w:val="TableGrid"/>
    <w:uiPriority w:val="59"/>
    <w:rsid w:val="00E8794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xmsonormal">
    <w:name w:val="ecxmsonormal"/>
    <w:basedOn w:val="Normal"/>
    <w:rsid w:val="00E8794F"/>
    <w:pPr>
      <w:spacing w:after="324"/>
      <w:jc w:val="both"/>
    </w:pPr>
    <w:rPr>
      <w:rFonts w:ascii="Arial Unicode MS" w:eastAsia="Arial Unicode MS" w:hAnsi="Arial Unicode MS" w:cs="Arial Unicode MS"/>
      <w:szCs w:val="24"/>
      <w:lang w:val="cs-CZ" w:eastAsia="cs-CZ"/>
    </w:rPr>
  </w:style>
  <w:style w:type="paragraph" w:customStyle="1" w:styleId="ecxmsobodytextindent">
    <w:name w:val="ecxmsobodytextindent"/>
    <w:basedOn w:val="Normal"/>
    <w:rsid w:val="00E8794F"/>
    <w:pPr>
      <w:spacing w:after="324"/>
      <w:jc w:val="both"/>
    </w:pPr>
    <w:rPr>
      <w:rFonts w:ascii="Arial Unicode MS" w:eastAsia="Arial Unicode MS" w:hAnsi="Arial Unicode MS" w:cs="Arial Unicode MS"/>
      <w:szCs w:val="24"/>
      <w:lang w:val="cs-CZ" w:eastAsia="cs-CZ"/>
    </w:rPr>
  </w:style>
  <w:style w:type="paragraph" w:customStyle="1" w:styleId="ecxmsobodytext">
    <w:name w:val="ecxmsobodytext"/>
    <w:basedOn w:val="Normal"/>
    <w:rsid w:val="00E8794F"/>
    <w:pPr>
      <w:spacing w:after="324"/>
      <w:jc w:val="both"/>
    </w:pPr>
    <w:rPr>
      <w:rFonts w:ascii="Arial Unicode MS" w:eastAsia="Arial Unicode MS" w:hAnsi="Arial Unicode MS" w:cs="Arial Unicode MS"/>
      <w:szCs w:val="24"/>
      <w:lang w:val="cs-CZ" w:eastAsia="cs-CZ"/>
    </w:rPr>
  </w:style>
  <w:style w:type="paragraph" w:customStyle="1" w:styleId="ecxnormlny1">
    <w:name w:val="ecxnormlny1"/>
    <w:basedOn w:val="Normal"/>
    <w:rsid w:val="00E8794F"/>
    <w:pPr>
      <w:spacing w:after="324"/>
      <w:jc w:val="both"/>
    </w:pPr>
    <w:rPr>
      <w:rFonts w:ascii="Arial Unicode MS" w:eastAsia="Arial Unicode MS" w:hAnsi="Arial Unicode MS" w:cs="Arial Unicode MS"/>
      <w:szCs w:val="24"/>
      <w:lang w:val="cs-CZ" w:eastAsia="cs-CZ"/>
    </w:rPr>
  </w:style>
  <w:style w:type="table" w:customStyle="1" w:styleId="TableGrid1">
    <w:name w:val="Table Grid1"/>
    <w:basedOn w:val="TableNormal"/>
    <w:next w:val="TableGrid"/>
    <w:uiPriority w:val="59"/>
    <w:rsid w:val="00E879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Title"/>
    <w:rsid w:val="00E8794F"/>
    <w:pPr>
      <w:jc w:val="both"/>
    </w:pPr>
    <w:rPr>
      <w:b/>
      <w:caps w:val="0"/>
      <w:color w:val="000000"/>
      <w:sz w:val="28"/>
      <w:szCs w:val="28"/>
    </w:rPr>
  </w:style>
  <w:style w:type="paragraph" w:styleId="TOC4">
    <w:name w:val="toc 4"/>
    <w:basedOn w:val="Normal"/>
    <w:next w:val="Normal"/>
    <w:autoRedefine/>
    <w:uiPriority w:val="39"/>
    <w:unhideWhenUsed/>
    <w:rsid w:val="00E8794F"/>
    <w:pPr>
      <w:spacing w:after="0"/>
      <w:ind w:left="600"/>
      <w:jc w:val="both"/>
    </w:pPr>
    <w:rPr>
      <w:sz w:val="18"/>
      <w:szCs w:val="18"/>
    </w:rPr>
  </w:style>
  <w:style w:type="paragraph" w:styleId="TOC5">
    <w:name w:val="toc 5"/>
    <w:basedOn w:val="Normal"/>
    <w:next w:val="Normal"/>
    <w:autoRedefine/>
    <w:uiPriority w:val="39"/>
    <w:unhideWhenUsed/>
    <w:rsid w:val="00E8794F"/>
    <w:pPr>
      <w:spacing w:after="0"/>
      <w:ind w:left="800"/>
      <w:jc w:val="both"/>
    </w:pPr>
    <w:rPr>
      <w:sz w:val="18"/>
      <w:szCs w:val="18"/>
    </w:rPr>
  </w:style>
  <w:style w:type="paragraph" w:styleId="TOC6">
    <w:name w:val="toc 6"/>
    <w:basedOn w:val="Normal"/>
    <w:next w:val="Normal"/>
    <w:autoRedefine/>
    <w:uiPriority w:val="39"/>
    <w:unhideWhenUsed/>
    <w:rsid w:val="00E8794F"/>
    <w:pPr>
      <w:spacing w:after="0"/>
      <w:ind w:left="1000"/>
      <w:jc w:val="both"/>
    </w:pPr>
    <w:rPr>
      <w:sz w:val="18"/>
      <w:szCs w:val="18"/>
    </w:rPr>
  </w:style>
  <w:style w:type="paragraph" w:styleId="TOC7">
    <w:name w:val="toc 7"/>
    <w:basedOn w:val="Normal"/>
    <w:next w:val="Normal"/>
    <w:autoRedefine/>
    <w:uiPriority w:val="39"/>
    <w:unhideWhenUsed/>
    <w:rsid w:val="00E8794F"/>
    <w:pPr>
      <w:spacing w:after="0"/>
      <w:ind w:left="1200"/>
      <w:jc w:val="both"/>
    </w:pPr>
    <w:rPr>
      <w:sz w:val="18"/>
      <w:szCs w:val="18"/>
    </w:rPr>
  </w:style>
  <w:style w:type="paragraph" w:styleId="TOC8">
    <w:name w:val="toc 8"/>
    <w:basedOn w:val="Normal"/>
    <w:next w:val="Normal"/>
    <w:autoRedefine/>
    <w:uiPriority w:val="39"/>
    <w:unhideWhenUsed/>
    <w:rsid w:val="00E8794F"/>
    <w:pPr>
      <w:spacing w:after="0"/>
      <w:ind w:left="1400"/>
      <w:jc w:val="both"/>
    </w:pPr>
    <w:rPr>
      <w:sz w:val="18"/>
      <w:szCs w:val="18"/>
    </w:rPr>
  </w:style>
  <w:style w:type="paragraph" w:styleId="TOC9">
    <w:name w:val="toc 9"/>
    <w:basedOn w:val="Normal"/>
    <w:next w:val="Normal"/>
    <w:autoRedefine/>
    <w:uiPriority w:val="39"/>
    <w:unhideWhenUsed/>
    <w:rsid w:val="00E8794F"/>
    <w:pPr>
      <w:spacing w:after="0"/>
      <w:ind w:left="1600"/>
      <w:jc w:val="both"/>
    </w:pPr>
    <w:rPr>
      <w:sz w:val="18"/>
      <w:szCs w:val="18"/>
    </w:rPr>
  </w:style>
  <w:style w:type="table" w:customStyle="1" w:styleId="Mriekatabuky31">
    <w:name w:val="Mriežka tabuľky31"/>
    <w:basedOn w:val="TableNormal"/>
    <w:next w:val="TableGrid"/>
    <w:uiPriority w:val="59"/>
    <w:rsid w:val="00E8794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2">
    <w:name w:val="Mriežka tabuľky32"/>
    <w:basedOn w:val="TableNormal"/>
    <w:next w:val="TableGrid"/>
    <w:uiPriority w:val="59"/>
    <w:rsid w:val="00E8794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
    <w:name w:val="Mriežka tabuľky21"/>
    <w:basedOn w:val="TableNormal"/>
    <w:next w:val="TableGrid"/>
    <w:uiPriority w:val="59"/>
    <w:rsid w:val="00E8794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
    <w:name w:val="Mriežka tabuľky5"/>
    <w:basedOn w:val="TableNormal"/>
    <w:next w:val="TableGrid"/>
    <w:uiPriority w:val="59"/>
    <w:rsid w:val="00E8794F"/>
    <w:pPr>
      <w:spacing w:before="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3220datep18">
    <w:name w:val="a__32__20_date_p18"/>
    <w:basedOn w:val="Normal"/>
    <w:rsid w:val="00E8794F"/>
    <w:pPr>
      <w:spacing w:after="480"/>
      <w:ind w:right="57"/>
      <w:jc w:val="right"/>
    </w:pPr>
    <w:rPr>
      <w:szCs w:val="24"/>
      <w:lang w:eastAsia="sk-SK"/>
    </w:rPr>
  </w:style>
  <w:style w:type="paragraph" w:customStyle="1" w:styleId="Nazovgrafu">
    <w:name w:val="Nazov grafu"/>
    <w:basedOn w:val="Normal"/>
    <w:next w:val="Normal"/>
    <w:rsid w:val="00E8794F"/>
    <w:pPr>
      <w:spacing w:after="0"/>
      <w:jc w:val="both"/>
    </w:pPr>
    <w:rPr>
      <w:rFonts w:ascii="Times New Roman" w:eastAsia="Calibri" w:hAnsi="Times New Roman"/>
      <w:b/>
      <w:szCs w:val="22"/>
    </w:rPr>
  </w:style>
  <w:style w:type="paragraph" w:customStyle="1" w:styleId="zdroj">
    <w:name w:val="zdroj"/>
    <w:basedOn w:val="Nazovgrafu"/>
    <w:rsid w:val="00E8794F"/>
    <w:pPr>
      <w:spacing w:after="0"/>
      <w:jc w:val="both"/>
    </w:pPr>
  </w:style>
  <w:style w:type="character" w:styleId="PageNumber">
    <w:name w:val="page number"/>
    <w:basedOn w:val="DefaultParagraphFont"/>
    <w:uiPriority w:val="99"/>
    <w:semiHidden/>
    <w:unhideWhenUsed/>
    <w:rsid w:val="00E8794F"/>
    <w:rPr>
      <w:rFonts w:cs="Times New Roman"/>
      <w:rtl w:val="0"/>
      <w:cs w:val="0"/>
    </w:rPr>
  </w:style>
  <w:style w:type="table" w:customStyle="1" w:styleId="Svetlpodfarbeniezvraznenie11">
    <w:name w:val="Svetlé podfarbenie – zvýraznenie 11"/>
    <w:basedOn w:val="TableNormal"/>
    <w:uiPriority w:val="60"/>
    <w:rsid w:val="00E8794F"/>
    <w:rPr>
      <w:rFonts w:ascii="Calibri" w:hAnsi="Calibri"/>
      <w:color w:val="365F91"/>
      <w:sz w:val="22"/>
      <w:szCs w:val="22"/>
      <w:lang w:eastAsia="zh-TW"/>
    </w:rPr>
    <w:tblPr>
      <w:tblStyleRowBandSize w:val="1"/>
      <w:tblStyleColBandSize w:val="1"/>
      <w:tblBorders>
        <w:top w:val="single" w:sz="8" w:space="0" w:color="4F81BD"/>
        <w:bottom w:val="single" w:sz="8" w:space="0" w:color="4F81BD"/>
      </w:tblBorders>
    </w:tblPr>
    <w:tblStylePr w:type="firstRow">
      <w:pPr>
        <w:widowControl w:val="0"/>
        <w:autoSpaceDE w:val="0"/>
        <w:autoSpaceDN w:val="0"/>
        <w:adjustRightInd w:val="0"/>
        <w:spacing w:before="0" w:after="0"/>
      </w:pPr>
      <w:rPr>
        <w:rFonts w:cs="Times New Roman"/>
        <w:b/>
        <w:bCs/>
        <w:rtl w:val="0"/>
        <w:cs w:val="0"/>
      </w:rPr>
      <w:tblPr/>
      <w:tcPr>
        <w:tcBorders>
          <w:top w:val="single" w:sz="8" w:space="0" w:color="4F81BD"/>
          <w:left w:val="nil"/>
          <w:bottom w:val="single" w:sz="8" w:space="0" w:color="4F81BD"/>
          <w:right w:val="nil"/>
          <w:insideH w:val="nil"/>
          <w:insideV w:val="nil"/>
        </w:tcBorders>
      </w:tcPr>
    </w:tblStylePr>
    <w:tblStylePr w:type="lastRow">
      <w:pPr>
        <w:widowControl w:val="0"/>
        <w:autoSpaceDE w:val="0"/>
        <w:autoSpaceDN w:val="0"/>
        <w:adjustRightInd w:val="0"/>
        <w:spacing w:before="0" w:after="0"/>
      </w:pPr>
      <w:rPr>
        <w:rFonts w:cs="Times New Roman"/>
        <w:b/>
        <w:bCs/>
        <w:rtl w:val="0"/>
        <w:cs w:val="0"/>
      </w:rPr>
      <w:tblPr/>
      <w:tcPr>
        <w:tcBorders>
          <w:top w:val="single" w:sz="8" w:space="0" w:color="4F81BD"/>
          <w:left w:val="nil"/>
          <w:bottom w:val="single" w:sz="8" w:space="0" w:color="4F81BD"/>
          <w:right w:val="nil"/>
          <w:insideH w:val="nil"/>
          <w:insideV w:val="nil"/>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left w:val="nil"/>
          <w:right w:val="nil"/>
          <w:insideH w:val="nil"/>
          <w:insideV w:val="nil"/>
        </w:tcBorders>
        <w:shd w:val="clear" w:color="auto" w:fill="D3DFEE"/>
      </w:tcPr>
    </w:tblStylePr>
    <w:tblStylePr w:type="band1Horz">
      <w:pPr>
        <w:widowControl w:val="0"/>
        <w:autoSpaceDE w:val="0"/>
        <w:autoSpaceDN w:val="0"/>
        <w:adjustRightInd w:val="0"/>
      </w:pPr>
      <w:rPr>
        <w:rFonts w:cs="Times New Roman"/>
        <w:rtl w:val="0"/>
        <w:cs w:val="0"/>
      </w:rPr>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E8794F"/>
    <w:rPr>
      <w:color w:val="800080"/>
      <w:u w:val="single"/>
    </w:rPr>
  </w:style>
  <w:style w:type="table" w:customStyle="1" w:styleId="Mriekatabuky6">
    <w:name w:val="Mriežka tabuľky6"/>
    <w:basedOn w:val="TableNormal"/>
    <w:next w:val="TableGrid"/>
    <w:uiPriority w:val="59"/>
    <w:rsid w:val="00E879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TableNormal"/>
    <w:next w:val="TableGrid"/>
    <w:uiPriority w:val="59"/>
    <w:rsid w:val="00E8794F"/>
    <w:pPr>
      <w:spacing w:before="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
    <w:name w:val="Mriežka tabuľky8"/>
    <w:basedOn w:val="TableNormal"/>
    <w:next w:val="TableGrid"/>
    <w:uiPriority w:val="59"/>
    <w:rsid w:val="00E8794F"/>
    <w:pPr>
      <w:spacing w:before="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9">
    <w:name w:val="Mriežka tabuľky9"/>
    <w:basedOn w:val="TableNormal"/>
    <w:next w:val="TableGrid"/>
    <w:uiPriority w:val="59"/>
    <w:rsid w:val="00E8794F"/>
    <w:pPr>
      <w:spacing w:before="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0">
    <w:name w:val="Mriežka tabuľky10"/>
    <w:basedOn w:val="TableNormal"/>
    <w:next w:val="TableGrid"/>
    <w:uiPriority w:val="59"/>
    <w:rsid w:val="00E8794F"/>
    <w:pPr>
      <w:spacing w:before="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TableNormal"/>
    <w:next w:val="TableGrid"/>
    <w:uiPriority w:val="59"/>
    <w:rsid w:val="00E8794F"/>
    <w:pPr>
      <w:spacing w:before="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oznamPSBodyText">
    <w:name w:val="Zoznam P.S. (BodyText)"/>
    <w:basedOn w:val="Normal"/>
    <w:uiPriority w:val="99"/>
    <w:rsid w:val="00E8794F"/>
    <w:pPr>
      <w:widowControl w:val="0"/>
      <w:suppressAutoHyphens/>
      <w:autoSpaceDE w:val="0"/>
      <w:autoSpaceDN w:val="0"/>
      <w:adjustRightInd w:val="0"/>
      <w:spacing w:before="283" w:after="283" w:line="600" w:lineRule="atLeast"/>
      <w:jc w:val="center"/>
      <w:textAlignment w:val="center"/>
    </w:pPr>
    <w:rPr>
      <w:rFonts w:ascii="Adobe Garamond Pro Bold" w:hAnsi="Adobe Garamond Pro Bold" w:cs="Adobe Garamond Pro Bold"/>
      <w:b/>
      <w:bCs/>
      <w:smallCaps/>
      <w:color w:val="000000"/>
      <w:sz w:val="60"/>
      <w:szCs w:val="60"/>
      <w:u w:color="000000"/>
      <w:lang w:val="en-GB" w:eastAsia="sk-SK"/>
    </w:rPr>
  </w:style>
  <w:style w:type="paragraph" w:customStyle="1" w:styleId="BulletParagraphBodyText">
    <w:name w:val="BulletParagraph (BodyText)"/>
    <w:basedOn w:val="Normal"/>
    <w:uiPriority w:val="99"/>
    <w:rsid w:val="00E8794F"/>
    <w:pPr>
      <w:widowControl w:val="0"/>
      <w:suppressAutoHyphens/>
      <w:autoSpaceDE w:val="0"/>
      <w:autoSpaceDN w:val="0"/>
      <w:adjustRightInd w:val="0"/>
      <w:spacing w:before="11" w:after="28" w:line="260" w:lineRule="atLeast"/>
      <w:ind w:left="567" w:hanging="340"/>
      <w:jc w:val="both"/>
      <w:textAlignment w:val="center"/>
    </w:pPr>
    <w:rPr>
      <w:rFonts w:ascii="Adobe Garamond Pro" w:hAnsi="Adobe Garamond Pro" w:cs="Adobe Garamond Pro"/>
      <w:color w:val="000000"/>
      <w:sz w:val="22"/>
      <w:szCs w:val="22"/>
      <w:lang w:eastAsia="sk-SK"/>
    </w:rPr>
  </w:style>
  <w:style w:type="paragraph" w:styleId="TableofFigures">
    <w:name w:val="table of figures"/>
    <w:basedOn w:val="Normal"/>
    <w:next w:val="Normal"/>
    <w:uiPriority w:val="99"/>
    <w:unhideWhenUsed/>
    <w:rsid w:val="00E8794F"/>
    <w:pPr>
      <w:spacing w:after="0"/>
      <w:ind w:left="400" w:hanging="400"/>
      <w:jc w:val="both"/>
    </w:pPr>
    <w:rPr>
      <w:smallCaps/>
    </w:rPr>
  </w:style>
  <w:style w:type="paragraph" w:customStyle="1" w:styleId="CharCharCharCharCharCharCharCharCharCharChar">
    <w:name w:val="Char Char Char Char Char Char Char Char Char Char Char"/>
    <w:basedOn w:val="Normal"/>
    <w:rsid w:val="00313CEC"/>
    <w:pPr>
      <w:spacing w:after="160" w:line="240" w:lineRule="exact"/>
      <w:jc w:val="left"/>
    </w:pPr>
    <w:rPr>
      <w:rFonts w:ascii="Tahoma" w:hAnsi="Tahoma" w:cs="Tahoma"/>
      <w:sz w:val="20"/>
      <w:lang w:val="en-US"/>
    </w:rPr>
  </w:style>
  <w:style w:type="paragraph" w:customStyle="1" w:styleId="N2">
    <w:name w:val="N2"/>
    <w:basedOn w:val="Normal"/>
    <w:link w:val="N2Char"/>
    <w:qFormat/>
    <w:rsid w:val="00975C52"/>
    <w:pPr>
      <w:numPr>
        <w:numId w:val="3"/>
      </w:numPr>
      <w:tabs>
        <w:tab w:val="left" w:pos="284"/>
      </w:tabs>
      <w:spacing w:before="240" w:after="240"/>
      <w:ind w:left="360" w:hanging="360"/>
      <w:jc w:val="both"/>
    </w:pPr>
    <w:rPr>
      <w:b/>
      <w:color w:val="381FD1"/>
      <w:sz w:val="26"/>
      <w:szCs w:val="26"/>
    </w:rPr>
  </w:style>
  <w:style w:type="paragraph" w:customStyle="1" w:styleId="N3">
    <w:name w:val="N3"/>
    <w:basedOn w:val="Normal"/>
    <w:link w:val="N3Char"/>
    <w:qFormat/>
    <w:rsid w:val="00456F3B"/>
    <w:pPr>
      <w:numPr>
        <w:ilvl w:val="1"/>
        <w:numId w:val="3"/>
      </w:numPr>
      <w:spacing w:before="240" w:after="240"/>
      <w:ind w:left="567" w:hanging="567"/>
      <w:jc w:val="both"/>
    </w:pPr>
    <w:rPr>
      <w:b/>
      <w:color w:val="381FD1"/>
    </w:rPr>
  </w:style>
  <w:style w:type="character" w:customStyle="1" w:styleId="N2Char">
    <w:name w:val="N2 Char"/>
    <w:link w:val="N2"/>
    <w:locked/>
    <w:rsid w:val="00975C52"/>
    <w:rPr>
      <w:b/>
      <w:color w:val="381FD1"/>
      <w:sz w:val="26"/>
      <w:lang w:val="x-none" w:eastAsia="en-US"/>
    </w:rPr>
  </w:style>
  <w:style w:type="paragraph" w:customStyle="1" w:styleId="N4">
    <w:name w:val="N4"/>
    <w:basedOn w:val="Normal"/>
    <w:link w:val="N4Char"/>
    <w:qFormat/>
    <w:rsid w:val="009D19F4"/>
    <w:pPr>
      <w:numPr>
        <w:ilvl w:val="2"/>
        <w:numId w:val="3"/>
      </w:numPr>
      <w:tabs>
        <w:tab w:val="left" w:pos="851"/>
      </w:tabs>
      <w:spacing w:before="240" w:after="240"/>
      <w:ind w:left="851" w:hanging="851"/>
      <w:jc w:val="both"/>
    </w:pPr>
    <w:rPr>
      <w:b/>
      <w:color w:val="381FD1"/>
      <w:lang w:eastAsia="zh-CN"/>
    </w:rPr>
  </w:style>
  <w:style w:type="character" w:customStyle="1" w:styleId="N3Char">
    <w:name w:val="N3 Char"/>
    <w:link w:val="N3"/>
    <w:locked/>
    <w:rsid w:val="00456F3B"/>
    <w:rPr>
      <w:b/>
      <w:color w:val="381FD1"/>
      <w:sz w:val="24"/>
      <w:lang w:val="x-none" w:eastAsia="en-US"/>
    </w:rPr>
  </w:style>
  <w:style w:type="paragraph" w:customStyle="1" w:styleId="N5">
    <w:name w:val="N5"/>
    <w:basedOn w:val="Normal"/>
    <w:link w:val="N5Char"/>
    <w:qFormat/>
    <w:rsid w:val="00C653F7"/>
    <w:pPr>
      <w:numPr>
        <w:ilvl w:val="3"/>
        <w:numId w:val="3"/>
      </w:numPr>
      <w:tabs>
        <w:tab w:val="left" w:pos="851"/>
      </w:tabs>
      <w:spacing w:before="240" w:after="240"/>
      <w:ind w:left="851" w:hanging="851"/>
      <w:jc w:val="both"/>
    </w:pPr>
    <w:rPr>
      <w:b/>
      <w:i/>
      <w:color w:val="381FD1"/>
    </w:rPr>
  </w:style>
  <w:style w:type="character" w:customStyle="1" w:styleId="N4Char">
    <w:name w:val="N4 Char"/>
    <w:link w:val="N4"/>
    <w:locked/>
    <w:rsid w:val="009D19F4"/>
    <w:rPr>
      <w:b/>
      <w:color w:val="381FD1"/>
      <w:sz w:val="24"/>
      <w:lang w:val="x-none" w:eastAsia="zh-CN"/>
    </w:rPr>
  </w:style>
  <w:style w:type="character" w:customStyle="1" w:styleId="N5Char">
    <w:name w:val="N5 Char"/>
    <w:link w:val="N5"/>
    <w:locked/>
    <w:rsid w:val="00C653F7"/>
    <w:rPr>
      <w:b/>
      <w:i/>
      <w:color w:val="381FD1"/>
      <w:sz w:val="24"/>
      <w:lang w:val="x-none" w:eastAsia="en-US"/>
    </w:rPr>
  </w:style>
  <w:style w:type="table" w:customStyle="1" w:styleId="Mriekatabuky12">
    <w:name w:val="Mriežka tabuľky12"/>
    <w:basedOn w:val="TableNormal"/>
    <w:next w:val="TableGrid"/>
    <w:uiPriority w:val="59"/>
    <w:rsid w:val="00CF42E6"/>
    <w:pPr>
      <w:spacing w:before="200"/>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TableNormal"/>
    <w:next w:val="TableGrid"/>
    <w:uiPriority w:val="59"/>
    <w:rsid w:val="00CF42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2">
    <w:name w:val="Mriežka tabuľky22"/>
    <w:basedOn w:val="TableNormal"/>
    <w:next w:val="TableGrid"/>
    <w:uiPriority w:val="59"/>
    <w:rsid w:val="00CF42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3">
    <w:name w:val="Mriežka tabuľky33"/>
    <w:basedOn w:val="TableNormal"/>
    <w:next w:val="TableGrid"/>
    <w:uiPriority w:val="59"/>
    <w:rsid w:val="00CF42E6"/>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41">
    <w:name w:val="Mriežka tabuľky41"/>
    <w:basedOn w:val="TableNormal"/>
    <w:next w:val="TableGrid"/>
    <w:uiPriority w:val="59"/>
    <w:rsid w:val="00CF42E6"/>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F42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TableNormal"/>
    <w:next w:val="TableGrid"/>
    <w:uiPriority w:val="59"/>
    <w:rsid w:val="00CF42E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321">
    <w:name w:val="Mriežka tabuľky321"/>
    <w:basedOn w:val="TableNormal"/>
    <w:next w:val="TableGrid"/>
    <w:uiPriority w:val="59"/>
    <w:rsid w:val="00CF42E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TableNormal"/>
    <w:next w:val="TableGrid"/>
    <w:uiPriority w:val="59"/>
    <w:rsid w:val="00CF42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51">
    <w:name w:val="Mriežka tabuľky51"/>
    <w:basedOn w:val="TableNormal"/>
    <w:next w:val="TableGrid"/>
    <w:uiPriority w:val="59"/>
    <w:rsid w:val="00CF42E6"/>
    <w:pPr>
      <w:spacing w:before="200"/>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rsid w:val="00CF42E6"/>
    <w:rPr>
      <w:rFonts w:ascii="Calibri" w:hAnsi="Calibri"/>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widowControl w:val="0"/>
        <w:autoSpaceDE w:val="0"/>
        <w:autoSpaceDN w:val="0"/>
        <w:adjustRightInd w:val="0"/>
        <w:spacing w:before="0" w:after="0"/>
      </w:pPr>
      <w:rPr>
        <w:rFonts w:cs="Times New Roman"/>
        <w:b/>
        <w:bCs/>
        <w:rtl w:val="0"/>
        <w:cs w:val="0"/>
      </w:rPr>
      <w:tblPr/>
      <w:tcPr>
        <w:tcBorders>
          <w:top w:val="single" w:sz="8" w:space="0" w:color="4F81BD"/>
          <w:left w:val="nil"/>
          <w:bottom w:val="single" w:sz="8" w:space="0" w:color="4F81BD"/>
          <w:right w:val="nil"/>
          <w:insideH w:val="nil"/>
          <w:insideV w:val="nil"/>
        </w:tcBorders>
      </w:tcPr>
    </w:tblStylePr>
    <w:tblStylePr w:type="lastRow">
      <w:pPr>
        <w:widowControl w:val="0"/>
        <w:autoSpaceDE w:val="0"/>
        <w:autoSpaceDN w:val="0"/>
        <w:adjustRightInd w:val="0"/>
        <w:spacing w:before="0" w:after="0"/>
      </w:pPr>
      <w:rPr>
        <w:rFonts w:cs="Times New Roman"/>
        <w:b/>
        <w:bCs/>
        <w:rtl w:val="0"/>
        <w:cs w:val="0"/>
      </w:rPr>
      <w:tblPr/>
      <w:tcPr>
        <w:tcBorders>
          <w:top w:val="single" w:sz="8" w:space="0" w:color="4F81BD"/>
          <w:left w:val="nil"/>
          <w:bottom w:val="single" w:sz="8" w:space="0" w:color="4F81BD"/>
          <w:right w:val="nil"/>
          <w:insideH w:val="nil"/>
          <w:insideV w:val="nil"/>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left w:val="nil"/>
          <w:right w:val="nil"/>
          <w:insideH w:val="nil"/>
          <w:insideV w:val="nil"/>
        </w:tcBorders>
        <w:shd w:val="clear" w:color="auto" w:fill="D3DFEE"/>
      </w:tcPr>
    </w:tblStylePr>
    <w:tblStylePr w:type="band1Horz">
      <w:pPr>
        <w:widowControl w:val="0"/>
        <w:autoSpaceDE w:val="0"/>
        <w:autoSpaceDN w:val="0"/>
        <w:adjustRightInd w:val="0"/>
      </w:pPr>
      <w:rPr>
        <w:rFonts w:cs="Times New Roman"/>
        <w:rtl w:val="0"/>
        <w:cs w:val="0"/>
      </w:rPr>
      <w:tblPr/>
      <w:tcPr>
        <w:tcBorders>
          <w:left w:val="nil"/>
          <w:right w:val="nil"/>
          <w:insideH w:val="nil"/>
          <w:insideV w:val="nil"/>
        </w:tcBorders>
        <w:shd w:val="clear" w:color="auto" w:fill="D3DFEE"/>
      </w:tcPr>
    </w:tblStylePr>
  </w:style>
  <w:style w:type="table" w:customStyle="1" w:styleId="Mriekatabuky61">
    <w:name w:val="Mriežka tabuľky61"/>
    <w:basedOn w:val="TableNormal"/>
    <w:next w:val="TableGrid"/>
    <w:uiPriority w:val="59"/>
    <w:rsid w:val="00CF42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1">
    <w:name w:val="Mriežka tabuľky71"/>
    <w:basedOn w:val="TableNormal"/>
    <w:next w:val="TableGrid"/>
    <w:uiPriority w:val="59"/>
    <w:rsid w:val="00CF42E6"/>
    <w:pPr>
      <w:spacing w:before="200"/>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81"/>
    <w:basedOn w:val="TableNormal"/>
    <w:next w:val="TableGrid"/>
    <w:uiPriority w:val="59"/>
    <w:rsid w:val="00CF42E6"/>
    <w:pPr>
      <w:spacing w:before="200"/>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91">
    <w:name w:val="Mriežka tabuľky91"/>
    <w:basedOn w:val="TableNormal"/>
    <w:next w:val="TableGrid"/>
    <w:uiPriority w:val="59"/>
    <w:rsid w:val="00CF42E6"/>
    <w:pPr>
      <w:spacing w:before="200"/>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01">
    <w:name w:val="Mriežka tabuľky101"/>
    <w:basedOn w:val="TableNormal"/>
    <w:next w:val="TableGrid"/>
    <w:uiPriority w:val="59"/>
    <w:rsid w:val="00CF42E6"/>
    <w:pPr>
      <w:spacing w:before="200"/>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TableNormal"/>
    <w:next w:val="TableGrid"/>
    <w:uiPriority w:val="59"/>
    <w:rsid w:val="00CF42E6"/>
    <w:pPr>
      <w:spacing w:before="200"/>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ChapParagraph">
    <w:name w:val="Num-Chap Paragraph"/>
    <w:basedOn w:val="BodyText"/>
    <w:rsid w:val="0005642A"/>
    <w:pPr>
      <w:tabs>
        <w:tab w:val="left" w:pos="850"/>
        <w:tab w:val="left" w:pos="1191"/>
        <w:tab w:val="left" w:pos="1531"/>
      </w:tabs>
      <w:spacing w:after="240"/>
      <w:jc w:val="both"/>
    </w:pPr>
    <w:rPr>
      <w:b w:val="0"/>
      <w:bCs w:val="0"/>
      <w:sz w:val="22"/>
      <w:szCs w:val="22"/>
      <w:lang w:val="en-GB" w:eastAsia="zh-CN"/>
    </w:rPr>
  </w:style>
  <w:style w:type="character" w:styleId="EndnoteReference">
    <w:name w:val="endnote reference"/>
    <w:uiPriority w:val="99"/>
    <w:unhideWhenUsed/>
    <w:rsid w:val="00451C87"/>
    <w:rPr>
      <w:vertAlign w:val="superscript"/>
    </w:rPr>
  </w:style>
  <w:style w:type="paragraph" w:customStyle="1" w:styleId="Biblio-Entry">
    <w:name w:val="Biblio-Entry"/>
    <w:basedOn w:val="BodyText"/>
    <w:rsid w:val="00451C87"/>
    <w:pPr>
      <w:tabs>
        <w:tab w:val="left" w:pos="850"/>
        <w:tab w:val="left" w:pos="1191"/>
        <w:tab w:val="left" w:pos="1531"/>
      </w:tabs>
      <w:spacing w:after="240"/>
      <w:ind w:left="567" w:hanging="567"/>
      <w:jc w:val="left"/>
    </w:pPr>
    <w:rPr>
      <w:b w:val="0"/>
      <w:bCs w:val="0"/>
      <w:sz w:val="22"/>
      <w:szCs w:val="22"/>
      <w:lang w:val="en-GB" w:eastAsia="zh-CN"/>
    </w:rPr>
  </w:style>
  <w:style w:type="paragraph" w:customStyle="1" w:styleId="Nadpis">
    <w:name w:val="Nadpis"/>
    <w:basedOn w:val="Heading1"/>
    <w:link w:val="NadpisChar"/>
    <w:qFormat/>
    <w:rsid w:val="00451C87"/>
    <w:pPr>
      <w:spacing w:before="240" w:after="60"/>
      <w:jc w:val="center"/>
    </w:pPr>
    <w:rPr>
      <w:rFonts w:ascii="Arial Narrow" w:hAnsi="Arial Narrow"/>
      <w:i/>
      <w:color w:val="auto"/>
      <w:kern w:val="32"/>
      <w:sz w:val="32"/>
      <w:szCs w:val="32"/>
    </w:rPr>
  </w:style>
  <w:style w:type="character" w:customStyle="1" w:styleId="NadpisChar">
    <w:name w:val="Nadpis Char"/>
    <w:link w:val="Nadpis"/>
    <w:locked/>
    <w:rsid w:val="00451C87"/>
    <w:rPr>
      <w:rFonts w:ascii="Arial Narrow" w:hAnsi="Arial Narrow" w:cs="Arial Narrow"/>
      <w:b/>
      <w:i/>
      <w:kern w:val="32"/>
      <w:sz w:val="32"/>
      <w:lang w:val="x-none" w:eastAsia="x-none"/>
    </w:rPr>
  </w:style>
  <w:style w:type="table" w:customStyle="1" w:styleId="Mriekatabuky14">
    <w:name w:val="Mriežka tabuľky14"/>
    <w:basedOn w:val="TableNormal"/>
    <w:next w:val="TableGrid"/>
    <w:uiPriority w:val="59"/>
    <w:rsid w:val="00451C87"/>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51C87"/>
  </w:style>
  <w:style w:type="paragraph" w:styleId="EndnoteText">
    <w:name w:val="endnote text"/>
    <w:basedOn w:val="Normal"/>
    <w:link w:val="EndnoteTextChar"/>
    <w:uiPriority w:val="99"/>
    <w:rsid w:val="00451C87"/>
    <w:pPr>
      <w:spacing w:after="0"/>
      <w:jc w:val="left"/>
    </w:pPr>
    <w:rPr>
      <w:sz w:val="20"/>
      <w:lang w:val="cs-CZ" w:eastAsia="cs-CZ"/>
    </w:rPr>
  </w:style>
  <w:style w:type="character" w:customStyle="1" w:styleId="EndnoteTextChar">
    <w:name w:val="Endnote Text Char"/>
    <w:link w:val="EndnoteText"/>
    <w:uiPriority w:val="99"/>
    <w:locked/>
    <w:rsid w:val="00451C87"/>
    <w:rPr>
      <w:lang w:val="cs-CZ" w:eastAsia="cs-CZ"/>
    </w:rPr>
  </w:style>
  <w:style w:type="table" w:styleId="LightGridAccent1">
    <w:name w:val="Light Grid Accent 1"/>
    <w:basedOn w:val="TableNormal"/>
    <w:uiPriority w:val="62"/>
    <w:rsid w:val="00451C87"/>
    <w:rPr>
      <w:rFonts w:ascii="Arial Narrow" w:eastAsia="Calibri" w:hAnsi="Arial Narrow"/>
      <w:sz w:val="22"/>
      <w:szCs w:val="36"/>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widowControl w:val="0"/>
        <w:autoSpaceDE w:val="0"/>
        <w:autoSpaceDN w:val="0"/>
        <w:adjustRightInd w:val="0"/>
        <w:spacing w:before="0" w:after="0"/>
      </w:pPr>
      <w:rPr>
        <w:rFonts w:ascii="Cambria" w:eastAsia="Times New Roman" w:hAnsi="Cambria" w:cs="Times New Roman"/>
        <w:b/>
        <w:bCs/>
        <w:rtl w:val="0"/>
        <w:cs w:val="0"/>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widowControl w:val="0"/>
        <w:autoSpaceDE w:val="0"/>
        <w:autoSpaceDN w:val="0"/>
        <w:adjustRightInd w:val="0"/>
        <w:spacing w:before="0" w:after="0"/>
      </w:pPr>
      <w:rPr>
        <w:rFonts w:ascii="Cambria" w:eastAsia="Times New Roman" w:hAnsi="Cambria" w:cs="Times New Roman"/>
        <w:b/>
        <w:bCs/>
        <w:rtl w:val="0"/>
        <w:cs w:val="0"/>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pPr>
        <w:widowControl w:val="0"/>
        <w:autoSpaceDE w:val="0"/>
        <w:autoSpaceDN w:val="0"/>
        <w:adjustRightInd w:val="0"/>
      </w:pPr>
      <w:rPr>
        <w:rFonts w:ascii="Cambria" w:eastAsia="Times New Roman" w:hAnsi="Cambria" w:cs="Times New Roman"/>
        <w:b/>
        <w:bCs/>
        <w:rtl w:val="0"/>
        <w:cs w:val="0"/>
      </w:rPr>
      <w:tblPr/>
    </w:tblStylePr>
    <w:tblStylePr w:type="lastCol">
      <w:pPr>
        <w:widowControl w:val="0"/>
        <w:autoSpaceDE w:val="0"/>
        <w:autoSpaceDN w:val="0"/>
        <w:adjustRightInd w:val="0"/>
      </w:pPr>
      <w:rPr>
        <w:rFonts w:ascii="Cambria" w:eastAsia="Times New Roman" w:hAnsi="Cambria" w:cs="Times New Roman"/>
        <w:b/>
        <w:bCs/>
        <w:rtl w:val="0"/>
        <w:cs w:val="0"/>
      </w:rPr>
      <w:tblPr/>
      <w:tcPr>
        <w:tcBorders>
          <w:top w:val="single" w:sz="8" w:space="0" w:color="4F81BD"/>
          <w:left w:val="single" w:sz="8" w:space="0" w:color="4F81BD"/>
          <w:bottom w:val="single" w:sz="8" w:space="0" w:color="4F81BD"/>
          <w:right w:val="single" w:sz="8" w:space="0" w:color="4F81BD"/>
        </w:tcBorders>
      </w:tcPr>
    </w:tblStylePr>
    <w:tblStylePr w:type="band1Vert">
      <w:pPr>
        <w:widowControl w:val="0"/>
        <w:autoSpaceDE w:val="0"/>
        <w:autoSpaceDN w:val="0"/>
        <w:adjustRightInd w:val="0"/>
      </w:pPr>
      <w:rPr>
        <w:rFonts w:cs="Times New Roman"/>
        <w:rtl w:val="0"/>
        <w:cs w:val="0"/>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pPr>
        <w:widowControl w:val="0"/>
        <w:autoSpaceDE w:val="0"/>
        <w:autoSpaceDN w:val="0"/>
        <w:adjustRightInd w:val="0"/>
      </w:pPr>
      <w:rPr>
        <w:rFonts w:cs="Times New Roman"/>
        <w:rtl w:val="0"/>
        <w:cs w:val="0"/>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widowControl w:val="0"/>
        <w:autoSpaceDE w:val="0"/>
        <w:autoSpaceDN w:val="0"/>
        <w:adjustRightInd w:val="0"/>
      </w:pPr>
      <w:rPr>
        <w:rFonts w:cs="Times New Roman"/>
        <w:rtl w:val="0"/>
        <w:cs w:val="0"/>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rsid w:val="00451C87"/>
  </w:style>
  <w:style w:type="paragraph" w:styleId="Revision">
    <w:name w:val="Revision"/>
    <w:hidden/>
    <w:uiPriority w:val="99"/>
    <w:semiHidden/>
    <w:rsid w:val="00451C87"/>
    <w:pPr>
      <w:framePr w:wrap="auto"/>
      <w:widowControl/>
      <w:autoSpaceDE/>
      <w:autoSpaceDN/>
      <w:adjustRightInd/>
      <w:ind w:left="0" w:right="0"/>
      <w:jc w:val="left"/>
      <w:textAlignment w:val="auto"/>
    </w:pPr>
    <w:rPr>
      <w:rFonts w:ascii="Arial Narrow" w:eastAsia="Calibri" w:hAnsi="Arial Narrow" w:cs="Times New Roman"/>
      <w:sz w:val="22"/>
      <w:szCs w:val="36"/>
      <w:rtl w:val="0"/>
      <w:cs w:val="0"/>
      <w:lang w:val="sk-SK" w:eastAsia="en-US" w:bidi="ar-SA"/>
    </w:rPr>
  </w:style>
  <w:style w:type="numbering" w:customStyle="1" w:styleId="NumericNote">
    <w:name w:val="Numeric Note"/>
    <w:basedOn w:val="NoList"/>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image" Target="media/image4.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C2DED-400F-4C3E-BD1A-2B13AE42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Pages>
  <Words>3598</Words>
  <Characters>20512</Characters>
  <Application>Microsoft Office Word</Application>
  <DocSecurity>0</DocSecurity>
  <Lines>0</Lines>
  <Paragraphs>0</Paragraphs>
  <ScaleCrop>false</ScaleCrop>
  <Company>Hewlett-Packard Company</Company>
  <LinksUpToDate>false</LinksUpToDate>
  <CharactersWithSpaces>24062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c:creator>
  <cp:lastModifiedBy>Gašparíková, Jarmila</cp:lastModifiedBy>
  <cp:revision>2</cp:revision>
  <cp:lastPrinted>2013-02-26T09:47:00Z</cp:lastPrinted>
  <dcterms:created xsi:type="dcterms:W3CDTF">2013-04-10T15:27:00Z</dcterms:created>
  <dcterms:modified xsi:type="dcterms:W3CDTF">2013-04-10T15:27:00Z</dcterms:modified>
</cp:coreProperties>
</file>