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1702" w:rsidRPr="003A1702" w:rsidP="003A1702">
      <w:pPr>
        <w:bidi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  <w:lang w:eastAsia="sk-SK"/>
        </w:rPr>
      </w:pPr>
      <w:r w:rsidRPr="003A170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Dôvodová správa </w:t>
      </w:r>
    </w:p>
    <w:p w:rsidR="003A1702" w:rsidRPr="003A1702" w:rsidP="003A1702">
      <w:pPr>
        <w:bidi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sk-SK"/>
        </w:rPr>
      </w:pPr>
      <w:r w:rsidRPr="003A170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 </w:t>
      </w:r>
    </w:p>
    <w:p w:rsidR="003A1702" w:rsidRPr="003A1702" w:rsidP="003A1702">
      <w:pPr>
        <w:bidi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  <w:lang w:eastAsia="sk-SK"/>
        </w:rPr>
      </w:pPr>
      <w:r w:rsidR="000D799E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A </w:t>
      </w:r>
      <w:r w:rsidRPr="003A170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Všeobecná časť</w:t>
      </w:r>
    </w:p>
    <w:p w:rsidR="003A1702" w:rsidRPr="003A1702" w:rsidP="003A1702">
      <w:pPr>
        <w:bidi w:val="0"/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  <w:lang w:eastAsia="sk-SK"/>
        </w:rPr>
      </w:pPr>
      <w:r w:rsidRPr="003A1702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</w:p>
    <w:p w:rsidR="0092609B" w:rsidP="00723518">
      <w:pPr>
        <w:bidi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92609B" w:rsidR="003A17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Návrh zákona má za cieľ </w:t>
      </w:r>
      <w:r w:rsidR="00723518">
        <w:rPr>
          <w:rFonts w:ascii="Times New Roman" w:hAnsi="Times New Roman"/>
          <w:color w:val="000000"/>
          <w:sz w:val="24"/>
          <w:szCs w:val="24"/>
          <w:lang w:eastAsia="sk-SK"/>
        </w:rPr>
        <w:t>jednoznačne špecifikovať tok finančných prostriedkov na činnosť centier voľného času a zabezpečiť adresnosť ich poskytovania na účel na ktorý boli pridelené.</w:t>
      </w:r>
      <w:r w:rsidRPr="0092609B" w:rsidR="006752D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</w:p>
    <w:p w:rsidR="00590D0E" w:rsidP="00723518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základe legislatívnych zmien sa zmenil tok  finančných prostriedkov na činnosť centier voľného času. Do 31.12.2012 im boli prideľované dotácie na mzdy a prevádzku na všetkých členov záujmových útvarov tak, ako ich vykázali k 15. septembru predchádzajúceho roka.  Miesto  trvalého bydliska ich členov bolo vymedzené podľa okresu, v ktorom CVČ sídlilo, resp. na priľahlé okresy; ich vek mohol byť do 30 rokov veku.  Finančné prostriedky z výnosu dane z príjmov fyzických osôb im prideľovala obec, v ktorej mali sídlo.</w:t>
      </w:r>
    </w:p>
    <w:p w:rsidR="00590D0E" w:rsidP="00723518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Novelou zák. 596/2003 Z.z. z znení neskorších predpisov, zák. 597/2003 Z.z. v znení neskorších predpisov  a NV SR č. 668/2004 Z.z. sú od 1.1.2013 obci prideľované len finančné prostriedky na deti 5-15 ročné, s trvalým pobytom na území danej obce.</w:t>
      </w:r>
    </w:p>
    <w:p w:rsidR="00590D0E" w:rsidP="00723518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Každá obec má právo rozhodnúť ako bude záujmové vzdelávanie v centrách voľného času financovať. Môže rozhodnúť o pridelení financií aj  inej vekovej kategórii  (napr. do 25 resp. do 30 rokov veku – problémom však je zväčša tá skutočnosť, že zo štátneho rozpočtu dostane finančné prostriedky iba na deti od 5 do 15 rokov veku). Taktiež môže prideliť prostriedky aj na CVČ, ktoré nemajú sídlo v jej obci (nie však formou normatívu stanoveného vo VZN o určení výšky dotácie na prevádzku a mzdy škôl a školských zariadení, ale inou formou – napr. poskytnutím dotácie z rozpočtu mesta), resp. môže  rozhodnúť, že nepridelí prostriedky žiadnemu CVČ sídliacemu v inej obci. </w:t>
      </w:r>
    </w:p>
    <w:p w:rsidR="00590D0E" w:rsidP="00723518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Zmena financovania CVČ každému centru, ktoré poskytuje výchovu pre deti z iných obcí prináša finančnú neistotu a obavu, ako a kedy sa jednotlivé obce rozhodnú prispieť na ich činnosť za deti z iných obcí. Problém nastáva aj vtedy, ak si centrá susediacich obcí vzájomne poskytujú výchovnú činnosť (napr. Martin-Vrútky)</w:t>
      </w:r>
      <w:r w:rsidR="00CC67D2">
        <w:rPr>
          <w:rFonts w:ascii="Times New Roman" w:hAnsi="Times New Roman"/>
          <w:sz w:val="24"/>
          <w:szCs w:val="24"/>
        </w:rPr>
        <w:t>, resp. ak obec na svojom území nemá zriadené CVČ a túto funkciu zabezpečuje mesto resp. iná obec</w:t>
      </w:r>
      <w:r>
        <w:rPr>
          <w:rFonts w:ascii="Times New Roman" w:hAnsi="Times New Roman"/>
          <w:sz w:val="24"/>
          <w:szCs w:val="24"/>
        </w:rPr>
        <w:t>.</w:t>
      </w:r>
    </w:p>
    <w:p w:rsidR="00723518" w:rsidP="00723518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723518" w:rsidR="00590D0E">
        <w:rPr>
          <w:rFonts w:ascii="Times New Roman" w:hAnsi="Times New Roman"/>
          <w:sz w:val="24"/>
          <w:szCs w:val="24"/>
        </w:rPr>
        <w:t xml:space="preserve">Situácia by sa čiastočne vyriešila zmenou legislatívy tak, že každá obec by bola </w:t>
      </w:r>
      <w:r w:rsidRPr="00DF6DF9" w:rsidR="00590D0E">
        <w:rPr>
          <w:rFonts w:ascii="Times New Roman" w:hAnsi="Times New Roman"/>
          <w:sz w:val="24"/>
          <w:szCs w:val="24"/>
        </w:rPr>
        <w:t xml:space="preserve">povinná </w:t>
      </w:r>
      <w:r w:rsidRPr="00723518" w:rsidR="00590D0E">
        <w:rPr>
          <w:rFonts w:ascii="Times New Roman" w:hAnsi="Times New Roman"/>
          <w:sz w:val="24"/>
          <w:szCs w:val="24"/>
        </w:rPr>
        <w:t xml:space="preserve">poskytnúť získané podielové dane na CVČ, ak preukazne poskytujú výchovu pre jej obyvateľov 5-15 ročných. </w:t>
      </w:r>
    </w:p>
    <w:p w:rsidR="000D799E" w:rsidP="00723518">
      <w:pPr>
        <w:bidi w:val="0"/>
        <w:jc w:val="both"/>
        <w:rPr>
          <w:rFonts w:ascii="Times New Roman" w:hAnsi="Times New Roman"/>
          <w:sz w:val="24"/>
          <w:szCs w:val="24"/>
        </w:rPr>
      </w:pPr>
      <w:r w:rsidR="00DF6DF9">
        <w:rPr>
          <w:rFonts w:ascii="Times New Roman" w:hAnsi="Times New Roman"/>
          <w:sz w:val="24"/>
          <w:szCs w:val="24"/>
        </w:rPr>
        <w:t>Legislatívnou úpravou stanovenia povinnosti obce zasielať finančné zdroje do centra voľného času sa zabezpečí účel, na ktorý štát finančné zdroje obci prideľuje. Zasielan</w:t>
      </w:r>
      <w:r w:rsidR="001B2877">
        <w:rPr>
          <w:rFonts w:ascii="Times New Roman" w:hAnsi="Times New Roman"/>
          <w:sz w:val="24"/>
          <w:szCs w:val="24"/>
        </w:rPr>
        <w:t>ím</w:t>
      </w:r>
      <w:r w:rsidR="00DF6DF9">
        <w:rPr>
          <w:rFonts w:ascii="Times New Roman" w:hAnsi="Times New Roman"/>
          <w:sz w:val="24"/>
          <w:szCs w:val="24"/>
        </w:rPr>
        <w:t xml:space="preserve"> </w:t>
      </w:r>
      <w:r w:rsidR="001B2877">
        <w:rPr>
          <w:rFonts w:ascii="Times New Roman" w:hAnsi="Times New Roman"/>
          <w:sz w:val="24"/>
          <w:szCs w:val="24"/>
        </w:rPr>
        <w:t xml:space="preserve">finančných </w:t>
      </w:r>
      <w:r w:rsidR="00DF6DF9">
        <w:rPr>
          <w:rFonts w:ascii="Times New Roman" w:hAnsi="Times New Roman"/>
          <w:sz w:val="24"/>
          <w:szCs w:val="24"/>
        </w:rPr>
        <w:t xml:space="preserve">zdrojov centru voľného času na základe čestného prehlásenia zákonného zástupcu dieťaťa sa zabezpečí adresnosť toku financií. Nebudú prideľované na vôli obce, ktoré centrum voľného času chce podporovať, ale </w:t>
      </w:r>
      <w:r w:rsidR="001B2877">
        <w:rPr>
          <w:rFonts w:ascii="Times New Roman" w:hAnsi="Times New Roman"/>
          <w:sz w:val="24"/>
          <w:szCs w:val="24"/>
        </w:rPr>
        <w:t xml:space="preserve">bude povinné financovať to, </w:t>
      </w:r>
      <w:r w:rsidR="00DF6DF9">
        <w:rPr>
          <w:rFonts w:ascii="Times New Roman" w:hAnsi="Times New Roman"/>
          <w:sz w:val="24"/>
          <w:szCs w:val="24"/>
        </w:rPr>
        <w:t>ktoré dieťa reálne navštevuje</w:t>
      </w:r>
      <w:r w:rsidR="001B2877">
        <w:rPr>
          <w:rFonts w:ascii="Times New Roman" w:hAnsi="Times New Roman"/>
          <w:sz w:val="24"/>
          <w:szCs w:val="24"/>
        </w:rPr>
        <w:t>.</w:t>
      </w:r>
      <w:r w:rsidR="00DF6DF9">
        <w:rPr>
          <w:rFonts w:ascii="Times New Roman" w:hAnsi="Times New Roman"/>
          <w:sz w:val="24"/>
          <w:szCs w:val="24"/>
        </w:rPr>
        <w:t xml:space="preserve"> </w:t>
      </w:r>
    </w:p>
    <w:p w:rsidR="001B2877" w:rsidP="00723518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1B2877" w:rsidP="00723518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590D0E" w:rsidP="003A170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3A1702" w:rsidRPr="003A1702" w:rsidP="003A1702">
      <w:pPr>
        <w:bidi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A170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D O L O Ž K A</w:t>
      </w:r>
    </w:p>
    <w:p w:rsidR="003A1702" w:rsidRPr="003A1702" w:rsidP="003A1702">
      <w:pPr>
        <w:bidi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A170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finančných, ekonomických, environmentálnych vplyvov, vplyvov na zamestnanosť</w:t>
      </w:r>
    </w:p>
    <w:p w:rsidR="003A1702" w:rsidRPr="003A1702" w:rsidP="003A1702">
      <w:pPr>
        <w:bidi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A170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a podnikateľské prostredie</w:t>
      </w:r>
    </w:p>
    <w:p w:rsidR="003A1702" w:rsidRPr="003A1702" w:rsidP="003A17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A1702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</w:p>
    <w:p w:rsidR="003A1702" w:rsidRPr="003A1702" w:rsidP="003A1702">
      <w:pPr>
        <w:bidi w:val="0"/>
        <w:spacing w:after="0" w:line="240" w:lineRule="auto"/>
        <w:ind w:left="435" w:hanging="36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A170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1.</w:t>
      </w:r>
      <w:r w:rsidRPr="003A1702">
        <w:rPr>
          <w:rFonts w:ascii="Times New Roman" w:hAnsi="Times New Roman"/>
          <w:b/>
          <w:bCs/>
          <w:color w:val="000000"/>
          <w:sz w:val="14"/>
          <w:szCs w:val="14"/>
          <w:lang w:eastAsia="sk-SK"/>
        </w:rPr>
        <w:t xml:space="preserve">      </w:t>
      </w:r>
      <w:r w:rsidRPr="003A170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Vplyvy na verejné financie:</w:t>
      </w:r>
    </w:p>
    <w:p w:rsidR="003A1702" w:rsidRPr="003A1702" w:rsidP="003A1702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A17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Návrh zákona nemá vplyv na verejné financie. </w:t>
      </w:r>
    </w:p>
    <w:p w:rsidR="003A1702" w:rsidRPr="003A1702" w:rsidP="003A17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A1702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</w:p>
    <w:p w:rsidR="003A1702" w:rsidRPr="003A1702" w:rsidP="003A1702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A170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2. Vplyvy na obyvateľov, hospodárenie podnikateľskej sféry a iných právnických osôb:</w:t>
      </w:r>
    </w:p>
    <w:p w:rsidR="003A1702" w:rsidRPr="003A1702" w:rsidP="003A1702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A17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Realizáciou predloženého návrhu zákona sa nepredpokladá negatívny vplyv na obyvateľov a na hospodárenie iných právnických osôb. </w:t>
      </w:r>
    </w:p>
    <w:p w:rsidR="003A1702" w:rsidRPr="003A1702" w:rsidP="003A17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A1702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</w:p>
    <w:p w:rsidR="003A1702" w:rsidRPr="003A1702" w:rsidP="003A17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A170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3. Vplyvy na životné prostredie:</w:t>
      </w:r>
    </w:p>
    <w:p w:rsidR="003A1702" w:rsidRPr="003A1702" w:rsidP="003A1702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A825ED">
        <w:rPr>
          <w:rFonts w:ascii="Times New Roman" w:hAnsi="Times New Roman"/>
          <w:color w:val="000000"/>
          <w:sz w:val="24"/>
          <w:szCs w:val="24"/>
          <w:lang w:eastAsia="sk-SK"/>
        </w:rPr>
        <w:t>Návrh zákona nemá vplyv na životné prostredie</w:t>
      </w:r>
    </w:p>
    <w:p w:rsidR="003A1702" w:rsidRPr="003A1702" w:rsidP="003A17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A1702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</w:p>
    <w:p w:rsidR="003A1702" w:rsidRPr="003A1702" w:rsidP="003A17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A170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4. Vplyvy na zamestnanosť:</w:t>
      </w:r>
    </w:p>
    <w:p w:rsidR="003A1702" w:rsidRPr="003A1702" w:rsidP="003A1702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3C523A">
        <w:rPr>
          <w:rFonts w:ascii="Times New Roman" w:hAnsi="Times New Roman"/>
          <w:color w:val="000000"/>
          <w:sz w:val="24"/>
          <w:szCs w:val="24"/>
          <w:lang w:eastAsia="sk-SK"/>
        </w:rPr>
        <w:t>Návrh zákona nemá vplyv na zamestnanosť.</w:t>
      </w:r>
    </w:p>
    <w:p w:rsidR="003A1702" w:rsidRPr="003A1702" w:rsidP="003A17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A1702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</w:p>
    <w:p w:rsidR="003A1702" w:rsidRPr="003A1702" w:rsidP="003A17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A1702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5. Vplyvy na podnikateľské prostredie:</w:t>
      </w:r>
    </w:p>
    <w:p w:rsidR="003A1702" w:rsidRPr="003A1702" w:rsidP="003A1702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A1702">
        <w:rPr>
          <w:rFonts w:ascii="Times New Roman" w:hAnsi="Times New Roman"/>
          <w:color w:val="000000"/>
          <w:sz w:val="24"/>
          <w:szCs w:val="24"/>
          <w:lang w:eastAsia="sk-SK"/>
        </w:rPr>
        <w:t>Realizáciou predloženého návrhu zákona sa nepredpokladá negatívny vplyv na podnikateľské prostredie.</w:t>
      </w:r>
    </w:p>
    <w:p w:rsidR="003A1702" w:rsidP="003A17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A1702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</w:p>
    <w:p w:rsidR="000D799E" w:rsidP="003A17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D799E" w:rsidP="003A17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D799E" w:rsidP="003A17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D799E" w:rsidP="003A17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D799E" w:rsidP="003A17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D799E" w:rsidP="003A17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D799E" w:rsidP="003A17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D799E" w:rsidP="003A17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D799E" w:rsidP="003A17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D799E" w:rsidP="003A17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D799E" w:rsidP="003A17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D799E" w:rsidP="003A17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D799E" w:rsidP="003A17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D799E" w:rsidP="003A17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D799E" w:rsidP="003A17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D799E" w:rsidP="003A17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D799E" w:rsidP="003A17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D799E" w:rsidP="003A17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D799E" w:rsidP="003A17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D799E" w:rsidP="003A17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D799E" w:rsidP="003A17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D799E" w:rsidP="003A17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D799E" w:rsidP="003A17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D799E" w:rsidP="003A17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D799E" w:rsidP="003A17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D799E" w:rsidP="003A17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D799E" w:rsidP="003A17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9007AD" w:rsidP="003A17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9007AD" w:rsidP="003A17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D799E" w:rsidP="000D799E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right="420"/>
        <w:rPr>
          <w:rFonts w:ascii="TimesNewRomanPSMT" w:hAnsi="TimesNewRomanPSMT" w:cs="TimesNewRomanPSMT"/>
          <w:kern w:val="1"/>
        </w:rPr>
      </w:pPr>
      <w:r>
        <w:rPr>
          <w:rFonts w:ascii="TimesNewRomanPSMT" w:hAnsi="TimesNewRomanPSMT" w:cs="TimesNewRomanPSMT"/>
          <w:b/>
          <w:bCs/>
          <w:kern w:val="1"/>
        </w:rPr>
        <w:t>B. Osobitná časť</w:t>
      </w:r>
    </w:p>
    <w:p w:rsidR="0084348C" w:rsidP="0084348C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</w:rPr>
      </w:pPr>
      <w:r>
        <w:rPr>
          <w:rFonts w:ascii="TimesNewRomanPSMT" w:hAnsi="TimesNewRomanPSMT" w:cs="TimesNewRomanPSMT"/>
          <w:kern w:val="1"/>
        </w:rPr>
        <w:t>K čl. I</w:t>
      </w:r>
    </w:p>
    <w:p w:rsidR="0084348C" w:rsidP="0084348C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</w:rPr>
      </w:pPr>
      <w:r>
        <w:rPr>
          <w:rFonts w:ascii="TimesNewRomanPSMT" w:hAnsi="TimesNewRomanPSMT" w:cs="TimesNewRomanPSMT"/>
          <w:kern w:val="1"/>
        </w:rPr>
        <w:t>K bodu 1:</w:t>
      </w:r>
    </w:p>
    <w:p w:rsidR="0084348C" w:rsidP="0084348C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</w:rPr>
      </w:pPr>
      <w:r>
        <w:rPr>
          <w:rFonts w:ascii="TimesNewRomanPSMT" w:hAnsi="TimesNewRomanPSMT" w:cs="TimesNewRomanPSMT"/>
          <w:kern w:val="1"/>
        </w:rPr>
        <w:t>Doplnenie predmetného ustanovenia je viazané na ukladanú povinnosť obcí v bode 2 poskytovať finančné prostriedky na záujmové vzdelávanie detí. Nakoľko sa možnosť mení na povinnosť, je nevyhnutné dať obci právomoc schváliť všeobecne záväzným nariadením procesné podmienky poskytovania finančných zdrojov.</w:t>
      </w:r>
    </w:p>
    <w:p w:rsidR="0084348C" w:rsidP="0084348C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</w:rPr>
      </w:pPr>
    </w:p>
    <w:p w:rsidR="0084348C" w:rsidP="0084348C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</w:rPr>
      </w:pPr>
      <w:r>
        <w:rPr>
          <w:rFonts w:ascii="TimesNewRomanPSMT" w:hAnsi="TimesNewRomanPSMT" w:cs="TimesNewRomanPSMT"/>
          <w:kern w:val="1"/>
        </w:rPr>
        <w:t>K bodu 2:</w:t>
      </w:r>
    </w:p>
    <w:p w:rsidR="0084348C" w:rsidP="0084348C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</w:rPr>
      </w:pPr>
      <w:r>
        <w:rPr>
          <w:rFonts w:ascii="TimesNewRomanPSMT" w:hAnsi="TimesNewRomanPSMT" w:cs="TimesNewRomanPSMT"/>
          <w:kern w:val="1"/>
        </w:rPr>
        <w:t xml:space="preserve">Zmena dikcie ust. § 6ods. 12 písm. d) zákona zavedie povinnosť obce uhradiť zdroje na záujmové vzdelávanie detí s trvalým pobytom na území obce a to na základe čestného prehlásenia zákonného zástupcu maloletého dieťaťa. </w:t>
      </w:r>
      <w:r w:rsidR="00DF6DF9">
        <w:rPr>
          <w:rFonts w:ascii="TimesNewRomanPSMT" w:hAnsi="TimesNewRomanPSMT" w:cs="TimesNewRomanPSMT"/>
          <w:kern w:val="1"/>
        </w:rPr>
        <w:t>Novelizáciou sa odníme právomoc rozhodovať o financiách obci a bude na vôli zákonného zástupcu dieťaťa určiť do ktorého centra voľného času postúpi obec financie, ktoré získala od štátu na aktivity dieťaťa. Tok finančných zdrojov bude preukázateľný, adresný a identifikovateľný.</w:t>
      </w:r>
    </w:p>
    <w:p w:rsidR="0084348C" w:rsidP="0084348C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</w:rPr>
      </w:pPr>
    </w:p>
    <w:p w:rsidR="000D799E" w:rsidRPr="003A1702" w:rsidP="003A17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sectPr w:rsidSect="0073783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43A8A"/>
    <w:multiLevelType w:val="hybridMultilevel"/>
    <w:tmpl w:val="C470ACE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A1702"/>
    <w:rsid w:val="000365E0"/>
    <w:rsid w:val="00070E00"/>
    <w:rsid w:val="00081904"/>
    <w:rsid w:val="000B7607"/>
    <w:rsid w:val="000D799E"/>
    <w:rsid w:val="000F14D5"/>
    <w:rsid w:val="000F6EE9"/>
    <w:rsid w:val="001B2877"/>
    <w:rsid w:val="002174C7"/>
    <w:rsid w:val="002853C7"/>
    <w:rsid w:val="002B5329"/>
    <w:rsid w:val="00357586"/>
    <w:rsid w:val="00392ADC"/>
    <w:rsid w:val="003A1702"/>
    <w:rsid w:val="003B6B8C"/>
    <w:rsid w:val="003C523A"/>
    <w:rsid w:val="003D0ABA"/>
    <w:rsid w:val="003D113C"/>
    <w:rsid w:val="00425558"/>
    <w:rsid w:val="004513D9"/>
    <w:rsid w:val="00471B41"/>
    <w:rsid w:val="004C5A10"/>
    <w:rsid w:val="00502CEF"/>
    <w:rsid w:val="005563BC"/>
    <w:rsid w:val="00590D0E"/>
    <w:rsid w:val="00626C0D"/>
    <w:rsid w:val="0064566D"/>
    <w:rsid w:val="00666305"/>
    <w:rsid w:val="006752D3"/>
    <w:rsid w:val="006C22C7"/>
    <w:rsid w:val="006C37DD"/>
    <w:rsid w:val="006E4EB5"/>
    <w:rsid w:val="006F17B9"/>
    <w:rsid w:val="00723518"/>
    <w:rsid w:val="0073783B"/>
    <w:rsid w:val="0084348C"/>
    <w:rsid w:val="009007AD"/>
    <w:rsid w:val="0090493B"/>
    <w:rsid w:val="009123CB"/>
    <w:rsid w:val="00922B5C"/>
    <w:rsid w:val="0092609B"/>
    <w:rsid w:val="009D5416"/>
    <w:rsid w:val="009E4996"/>
    <w:rsid w:val="009E753B"/>
    <w:rsid w:val="009E79E8"/>
    <w:rsid w:val="009F1352"/>
    <w:rsid w:val="00A44351"/>
    <w:rsid w:val="00A825ED"/>
    <w:rsid w:val="00A857AC"/>
    <w:rsid w:val="00A91732"/>
    <w:rsid w:val="00B4014C"/>
    <w:rsid w:val="00B761E8"/>
    <w:rsid w:val="00BC571A"/>
    <w:rsid w:val="00C53A1D"/>
    <w:rsid w:val="00CB5348"/>
    <w:rsid w:val="00CC67D2"/>
    <w:rsid w:val="00DF6DF9"/>
    <w:rsid w:val="00E204EF"/>
    <w:rsid w:val="00E2663A"/>
    <w:rsid w:val="00E53CC2"/>
    <w:rsid w:val="00EA659B"/>
    <w:rsid w:val="00EA77E1"/>
    <w:rsid w:val="00EF05AE"/>
    <w:rsid w:val="00F130AC"/>
    <w:rsid w:val="00FB3374"/>
    <w:rsid w:val="00FE237C"/>
    <w:rsid w:val="00FF600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83B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A1702"/>
    <w:pPr>
      <w:spacing w:after="0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customStyle="1" w:styleId="titulok">
    <w:name w:val="titulok"/>
    <w:basedOn w:val="Normal"/>
    <w:rsid w:val="003A1702"/>
    <w:pPr>
      <w:spacing w:after="0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customStyle="1" w:styleId="zkladntext0">
    <w:name w:val="zkladntext0"/>
    <w:basedOn w:val="Normal"/>
    <w:rsid w:val="003A1702"/>
    <w:pPr>
      <w:spacing w:after="0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A1702"/>
    <w:pPr>
      <w:spacing w:after="0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styleId="Strong">
    <w:name w:val="Strong"/>
    <w:basedOn w:val="DefaultParagraphFont"/>
    <w:uiPriority w:val="22"/>
    <w:qFormat/>
    <w:rsid w:val="003A1702"/>
    <w:rPr>
      <w:rFonts w:cs="Times New Roman"/>
      <w:b/>
      <w:bCs/>
      <w:rtl w:val="0"/>
      <w:cs w:val="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A170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3A1702"/>
    <w:rPr>
      <w:rFonts w:cs="Times New Roman"/>
      <w:i/>
      <w:iCs/>
      <w:rtl w:val="0"/>
      <w:cs w:val="0"/>
    </w:rPr>
  </w:style>
  <w:style w:type="paragraph" w:styleId="BodyText">
    <w:name w:val="Body Text"/>
    <w:basedOn w:val="Normal"/>
    <w:link w:val="BodyTextChar"/>
    <w:uiPriority w:val="99"/>
    <w:semiHidden/>
    <w:unhideWhenUsed/>
    <w:rsid w:val="003A1702"/>
    <w:pPr>
      <w:spacing w:after="0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customStyle="1" w:styleId="zkladntext">
    <w:name w:val="zkladntext"/>
    <w:basedOn w:val="Normal"/>
    <w:rsid w:val="003A1702"/>
    <w:pPr>
      <w:spacing w:after="0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170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6752D3"/>
    <w:pPr>
      <w:ind w:left="720"/>
      <w:contextualSpacing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752D3"/>
    <w:pPr>
      <w:spacing w:after="0" w:line="360" w:lineRule="auto"/>
      <w:jc w:val="left"/>
    </w:pPr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52D3"/>
    <w:rPr>
      <w:rFonts w:cs="Times New Roman"/>
      <w:vertAlign w:val="superscript"/>
      <w:rtl w:val="0"/>
      <w:cs w:val="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752D3"/>
    <w:rPr>
      <w:rFonts w:ascii="Times New Roman" w:hAnsi="Times New Roman" w:cs="Times New Roman"/>
      <w:sz w:val="20"/>
      <w:szCs w:val="2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F1864-5829-486D-B573-0C7A10DA5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643</Words>
  <Characters>3670</Characters>
  <Application>Microsoft Office Word</Application>
  <DocSecurity>0</DocSecurity>
  <Lines>0</Lines>
  <Paragraphs>0</Paragraphs>
  <ScaleCrop>false</ScaleCrop>
  <Company>Kancelaria NR SR</Company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Štefány</dc:creator>
  <cp:lastModifiedBy>Gašparíková, Jarmila</cp:lastModifiedBy>
  <cp:revision>2</cp:revision>
  <dcterms:created xsi:type="dcterms:W3CDTF">2013-03-22T11:04:00Z</dcterms:created>
  <dcterms:modified xsi:type="dcterms:W3CDTF">2013-03-22T11:04:00Z</dcterms:modified>
</cp:coreProperties>
</file>