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1EB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180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465D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0511" w:rsidR="00006180">
        <w:rPr>
          <w:rFonts w:ascii="Times New Roman" w:hAnsi="Times New Roman"/>
          <w:sz w:val="24"/>
          <w:szCs w:val="24"/>
        </w:rPr>
        <w:t>z 19. marca</w:t>
      </w:r>
      <w:r w:rsidRPr="00840511" w:rsidR="00EA1BD4">
        <w:rPr>
          <w:rFonts w:ascii="Times New Roman" w:hAnsi="Times New Roman"/>
          <w:sz w:val="24"/>
          <w:szCs w:val="24"/>
        </w:rPr>
        <w:t xml:space="preserve"> 201</w:t>
      </w:r>
      <w:r w:rsidRPr="00840511" w:rsidR="00EA2816">
        <w:rPr>
          <w:rFonts w:ascii="Times New Roman" w:hAnsi="Times New Roman"/>
          <w:sz w:val="24"/>
          <w:szCs w:val="24"/>
        </w:rPr>
        <w:t>3</w:t>
      </w:r>
      <w:r w:rsidRPr="00840511" w:rsidR="00C72CF3">
        <w:rPr>
          <w:rFonts w:ascii="Times New Roman" w:hAnsi="Times New Roman"/>
          <w:sz w:val="24"/>
          <w:szCs w:val="24"/>
        </w:rPr>
        <w:t>,</w:t>
      </w:r>
    </w:p>
    <w:p w:rsidR="0013465D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FC8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465D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511">
        <w:rPr>
          <w:rFonts w:ascii="Times New Roman" w:hAnsi="Times New Roman"/>
          <w:b/>
          <w:sz w:val="24"/>
          <w:szCs w:val="24"/>
        </w:rPr>
        <w:t xml:space="preserve">ktorým sa mení a dopĺňa zákon č. 476/2008 Z. z. o efektívnosti pri používaní energie (zákon o energetickej efektívnosti) a o zmene a doplnení zákona č. 555/2005 Z. z. </w:t>
      </w:r>
    </w:p>
    <w:p w:rsidR="0013465D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511">
        <w:rPr>
          <w:rFonts w:ascii="Times New Roman" w:hAnsi="Times New Roman"/>
          <w:b/>
          <w:sz w:val="24"/>
          <w:szCs w:val="24"/>
        </w:rPr>
        <w:t xml:space="preserve">o energetickej hospodárnosti budov a o zmene a doplnení niektorých zákonov v znení </w:t>
      </w:r>
    </w:p>
    <w:p w:rsidR="0013465D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511">
        <w:rPr>
          <w:rFonts w:ascii="Times New Roman" w:hAnsi="Times New Roman"/>
          <w:b/>
          <w:sz w:val="24"/>
          <w:szCs w:val="24"/>
        </w:rPr>
        <w:t>zákona č. 17/2007 Z. z.</w:t>
      </w:r>
      <w:r w:rsidRPr="00840511" w:rsidR="001B65BC">
        <w:rPr>
          <w:rFonts w:ascii="Times New Roman" w:hAnsi="Times New Roman"/>
          <w:b/>
          <w:sz w:val="24"/>
          <w:szCs w:val="24"/>
        </w:rPr>
        <w:t xml:space="preserve"> v znení zákona č. 136/2010 Z. z.</w:t>
      </w:r>
    </w:p>
    <w:p w:rsidR="0013465D" w:rsidP="002358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511" w:rsidRPr="00840511" w:rsidP="002358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65D" w:rsidRPr="00840511" w:rsidP="002358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65D" w:rsidRPr="00840511" w:rsidP="002358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13465D" w:rsidRPr="00840511" w:rsidP="002358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52B" w:rsidRPr="00840511" w:rsidP="002358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65D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511" w:rsidR="00DA33DC">
        <w:rPr>
          <w:rFonts w:ascii="Times New Roman" w:hAnsi="Times New Roman"/>
          <w:b/>
          <w:sz w:val="24"/>
          <w:szCs w:val="24"/>
        </w:rPr>
        <w:t>Čl. I</w:t>
      </w:r>
    </w:p>
    <w:p w:rsidR="00DA33DC" w:rsidRPr="00840511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3DC" w:rsidRPr="00840511" w:rsidP="00747BA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Zákon č. 476/2008 Z. z. o efektívnosti pri používaní energie (zákon o energetickej efektívnosti) a o zmene a doplnení zákona č. 555/2005 Z. z. o energetickej hospodárnosti budov a o zmene a doplnení niektorých zákonov v znení zákona č. 17/2007 Z. z. </w:t>
      </w:r>
      <w:r w:rsidRPr="00840511" w:rsidR="001B65BC">
        <w:rPr>
          <w:rFonts w:ascii="Times New Roman" w:hAnsi="Times New Roman"/>
          <w:sz w:val="24"/>
          <w:szCs w:val="24"/>
        </w:rPr>
        <w:t xml:space="preserve">v znení zákona č. 136/2010 Z. z. </w:t>
      </w:r>
      <w:r w:rsidRPr="00840511">
        <w:rPr>
          <w:rFonts w:ascii="Times New Roman" w:hAnsi="Times New Roman"/>
          <w:sz w:val="24"/>
          <w:szCs w:val="24"/>
        </w:rPr>
        <w:t>sa mení a dopĺňa takto:</w:t>
      </w:r>
    </w:p>
    <w:p w:rsidR="00DE7FE0" w:rsidRPr="00840511" w:rsidP="00747BA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FE0" w:rsidRPr="00840511" w:rsidP="00DE7FE0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Poznámky pod čiarou k odkazom 1, 3 až 7 a 18 znejú:</w:t>
      </w: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 </w:t>
      </w: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 „</w:t>
      </w:r>
      <w:r w:rsidRPr="00840511">
        <w:rPr>
          <w:rFonts w:ascii="Times New Roman" w:hAnsi="Times New Roman"/>
          <w:sz w:val="24"/>
          <w:szCs w:val="24"/>
          <w:vertAlign w:val="superscript"/>
        </w:rPr>
        <w:t>1</w:t>
      </w:r>
      <w:r w:rsidRPr="00840511" w:rsidR="00F93804">
        <w:rPr>
          <w:rFonts w:ascii="Times New Roman" w:hAnsi="Times New Roman"/>
          <w:sz w:val="24"/>
          <w:szCs w:val="24"/>
        </w:rPr>
        <w:t xml:space="preserve">) § 3 písm. b) bod 1 zákona č. 251/2012 Z. z. </w:t>
      </w:r>
      <w:r w:rsidRPr="00840511" w:rsidR="00F93804">
        <w:rPr>
          <w:rFonts w:ascii="Times New Roman" w:hAnsi="Times New Roman"/>
          <w:bCs/>
          <w:sz w:val="24"/>
          <w:szCs w:val="24"/>
        </w:rPr>
        <w:t>o energetike a o zmene a doplnení niektorých zákonov</w:t>
      </w:r>
      <w:r w:rsidRPr="00840511" w:rsidR="004E0BC0">
        <w:rPr>
          <w:rFonts w:ascii="Times New Roman" w:hAnsi="Times New Roman"/>
          <w:bCs/>
          <w:sz w:val="24"/>
          <w:szCs w:val="24"/>
        </w:rPr>
        <w:t>.</w:t>
      </w: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  </w:t>
      </w:r>
      <w:r w:rsidRPr="00840511">
        <w:rPr>
          <w:rFonts w:ascii="Times New Roman" w:hAnsi="Times New Roman"/>
          <w:sz w:val="24"/>
          <w:szCs w:val="24"/>
          <w:vertAlign w:val="superscript"/>
        </w:rPr>
        <w:t>3</w:t>
      </w:r>
      <w:r w:rsidRPr="00840511">
        <w:rPr>
          <w:rFonts w:ascii="Times New Roman" w:hAnsi="Times New Roman"/>
          <w:sz w:val="24"/>
          <w:szCs w:val="24"/>
        </w:rPr>
        <w:t>)</w:t>
      </w:r>
      <w:r w:rsidRPr="00840511" w:rsidR="00F93804">
        <w:rPr>
          <w:rFonts w:ascii="Times New Roman" w:hAnsi="Times New Roman"/>
          <w:sz w:val="24"/>
          <w:szCs w:val="24"/>
        </w:rPr>
        <w:t xml:space="preserve"> § 3 písm. b) bod 2 zákona č. 251/2012 Z. z.</w:t>
      </w: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  </w:t>
      </w: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  </w:t>
      </w:r>
      <w:r w:rsidRPr="00840511">
        <w:rPr>
          <w:rFonts w:ascii="Times New Roman" w:hAnsi="Times New Roman"/>
          <w:sz w:val="24"/>
          <w:szCs w:val="24"/>
          <w:vertAlign w:val="superscript"/>
        </w:rPr>
        <w:t>4</w:t>
      </w:r>
      <w:r w:rsidRPr="00840511" w:rsidR="00F93804">
        <w:rPr>
          <w:rFonts w:ascii="Times New Roman" w:hAnsi="Times New Roman"/>
          <w:sz w:val="24"/>
          <w:szCs w:val="24"/>
        </w:rPr>
        <w:t>) § 3 písm. b) bod 3 zákona č. 251/2012 Z. z.</w:t>
      </w: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  </w:t>
      </w:r>
      <w:r w:rsidRPr="00840511">
        <w:rPr>
          <w:rFonts w:ascii="Times New Roman" w:hAnsi="Times New Roman"/>
          <w:sz w:val="24"/>
          <w:szCs w:val="24"/>
          <w:vertAlign w:val="superscript"/>
        </w:rPr>
        <w:t>5</w:t>
      </w:r>
      <w:r w:rsidRPr="00840511">
        <w:rPr>
          <w:rFonts w:ascii="Times New Roman" w:hAnsi="Times New Roman"/>
          <w:sz w:val="24"/>
          <w:szCs w:val="24"/>
        </w:rPr>
        <w:t>)</w:t>
      </w:r>
      <w:r w:rsidRPr="00840511" w:rsidR="00F93804">
        <w:rPr>
          <w:rFonts w:ascii="Times New Roman" w:hAnsi="Times New Roman"/>
          <w:sz w:val="24"/>
          <w:szCs w:val="24"/>
        </w:rPr>
        <w:t xml:space="preserve"> § 3 písm. c) bod 4 zákona č. 251/2012 Z. z.</w:t>
      </w: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  </w:t>
      </w: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  </w:t>
      </w:r>
      <w:r w:rsidRPr="00840511">
        <w:rPr>
          <w:rFonts w:ascii="Times New Roman" w:hAnsi="Times New Roman"/>
          <w:sz w:val="24"/>
          <w:szCs w:val="24"/>
          <w:vertAlign w:val="superscript"/>
        </w:rPr>
        <w:t>6</w:t>
      </w:r>
      <w:r w:rsidRPr="00840511" w:rsidR="00F93804">
        <w:rPr>
          <w:rFonts w:ascii="Times New Roman" w:hAnsi="Times New Roman"/>
          <w:sz w:val="24"/>
          <w:szCs w:val="24"/>
        </w:rPr>
        <w:t>) § 3 písm. c) bod 5 zákona č. 251/2012 Z. z.</w:t>
      </w: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744" w:rsidRPr="00840511" w:rsidP="001A274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 w:rsidR="00DE7FE0">
        <w:rPr>
          <w:rFonts w:ascii="Times New Roman" w:hAnsi="Times New Roman"/>
          <w:sz w:val="24"/>
          <w:szCs w:val="24"/>
        </w:rPr>
        <w:t xml:space="preserve">  </w:t>
      </w:r>
      <w:r w:rsidRPr="00840511" w:rsidR="00DE7FE0">
        <w:rPr>
          <w:rFonts w:ascii="Times New Roman" w:hAnsi="Times New Roman"/>
          <w:sz w:val="24"/>
          <w:szCs w:val="24"/>
          <w:vertAlign w:val="superscript"/>
        </w:rPr>
        <w:t>7</w:t>
      </w:r>
      <w:r w:rsidRPr="00840511">
        <w:rPr>
          <w:rFonts w:ascii="Times New Roman" w:hAnsi="Times New Roman"/>
          <w:sz w:val="24"/>
          <w:szCs w:val="24"/>
        </w:rPr>
        <w:t>) § 84</w:t>
      </w:r>
      <w:r w:rsidRPr="00840511" w:rsidR="00D83B4B">
        <w:rPr>
          <w:rFonts w:ascii="Times New Roman" w:hAnsi="Times New Roman"/>
          <w:sz w:val="24"/>
          <w:szCs w:val="24"/>
        </w:rPr>
        <w:t xml:space="preserve"> ods. 1</w:t>
      </w:r>
      <w:r w:rsidRPr="00840511">
        <w:rPr>
          <w:rFonts w:ascii="Times New Roman" w:hAnsi="Times New Roman"/>
          <w:sz w:val="24"/>
          <w:szCs w:val="24"/>
        </w:rPr>
        <w:t xml:space="preserve"> zákona č. 251/2012 Z. z.</w:t>
      </w: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  </w:t>
      </w:r>
      <w:r w:rsidRPr="00840511">
        <w:rPr>
          <w:rFonts w:ascii="Times New Roman" w:hAnsi="Times New Roman"/>
          <w:sz w:val="24"/>
          <w:szCs w:val="24"/>
          <w:vertAlign w:val="superscript"/>
        </w:rPr>
        <w:t>18</w:t>
      </w:r>
      <w:r w:rsidRPr="00840511">
        <w:rPr>
          <w:rFonts w:ascii="Times New Roman" w:hAnsi="Times New Roman"/>
          <w:sz w:val="24"/>
          <w:szCs w:val="24"/>
        </w:rPr>
        <w:t>)</w:t>
      </w:r>
      <w:r w:rsidRPr="00840511" w:rsidR="001A2744">
        <w:rPr>
          <w:rFonts w:ascii="Times New Roman" w:hAnsi="Times New Roman"/>
          <w:sz w:val="24"/>
          <w:szCs w:val="24"/>
        </w:rPr>
        <w:t xml:space="preserve"> § 89 zákona č. 251/2012 Z. z.</w:t>
      </w:r>
      <w:r w:rsidRPr="00840511">
        <w:rPr>
          <w:rFonts w:ascii="Times New Roman" w:hAnsi="Times New Roman"/>
          <w:sz w:val="24"/>
          <w:szCs w:val="24"/>
        </w:rPr>
        <w:t>“.</w:t>
      </w:r>
    </w:p>
    <w:p w:rsidR="00DE7FE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 </w:t>
      </w:r>
    </w:p>
    <w:p w:rsidR="00006180" w:rsidRPr="00840511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3DC" w:rsidRPr="00840511" w:rsidP="004310F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 w:rsidR="00DD1C57">
        <w:rPr>
          <w:rFonts w:ascii="Times New Roman" w:hAnsi="Times New Roman"/>
          <w:sz w:val="24"/>
          <w:szCs w:val="24"/>
        </w:rPr>
        <w:t xml:space="preserve">§ 2 </w:t>
      </w:r>
      <w:r w:rsidRPr="00840511" w:rsidR="001B65BC">
        <w:rPr>
          <w:rFonts w:ascii="Times New Roman" w:hAnsi="Times New Roman"/>
          <w:sz w:val="24"/>
          <w:szCs w:val="24"/>
        </w:rPr>
        <w:t>sa dopĺňa písmen</w:t>
      </w:r>
      <w:r w:rsidRPr="00840511" w:rsidR="007536A8">
        <w:rPr>
          <w:rFonts w:ascii="Times New Roman" w:hAnsi="Times New Roman"/>
          <w:sz w:val="24"/>
          <w:szCs w:val="24"/>
        </w:rPr>
        <w:t>om</w:t>
      </w:r>
      <w:r w:rsidRPr="00840511" w:rsidR="001B65BC">
        <w:rPr>
          <w:rFonts w:ascii="Times New Roman" w:hAnsi="Times New Roman"/>
          <w:sz w:val="24"/>
          <w:szCs w:val="24"/>
        </w:rPr>
        <w:t xml:space="preserve"> </w:t>
      </w:r>
      <w:r w:rsidRPr="00840511" w:rsidR="007536A8">
        <w:rPr>
          <w:rFonts w:ascii="Times New Roman" w:hAnsi="Times New Roman"/>
          <w:sz w:val="24"/>
          <w:szCs w:val="24"/>
        </w:rPr>
        <w:t>k), ktoré znie</w:t>
      </w:r>
      <w:r w:rsidRPr="00840511" w:rsidR="00DD1C57">
        <w:rPr>
          <w:rFonts w:ascii="Times New Roman" w:hAnsi="Times New Roman"/>
          <w:sz w:val="24"/>
          <w:szCs w:val="24"/>
        </w:rPr>
        <w:t>:</w:t>
      </w:r>
    </w:p>
    <w:p w:rsidR="007536A8" w:rsidRPr="00840511" w:rsidP="00747BA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511" w:rsidR="00FF77C0">
        <w:rPr>
          <w:rFonts w:ascii="Times New Roman" w:hAnsi="Times New Roman"/>
          <w:sz w:val="24"/>
          <w:szCs w:val="24"/>
        </w:rPr>
        <w:t>„</w:t>
      </w:r>
      <w:r w:rsidRPr="00840511" w:rsidR="00DD1C57">
        <w:rPr>
          <w:rFonts w:ascii="Times New Roman" w:hAnsi="Times New Roman"/>
          <w:sz w:val="24"/>
          <w:szCs w:val="24"/>
        </w:rPr>
        <w:t xml:space="preserve">k) </w:t>
      </w:r>
      <w:r w:rsidRPr="00840511">
        <w:rPr>
          <w:rFonts w:ascii="Times New Roman" w:hAnsi="Times New Roman"/>
          <w:sz w:val="24"/>
          <w:szCs w:val="24"/>
        </w:rPr>
        <w:t xml:space="preserve">montážnou prístupnosťou </w:t>
      </w:r>
      <w:r w:rsidRPr="00840511" w:rsidR="00540AB4">
        <w:rPr>
          <w:rFonts w:ascii="Times New Roman" w:hAnsi="Times New Roman"/>
          <w:sz w:val="24"/>
          <w:szCs w:val="24"/>
        </w:rPr>
        <w:t xml:space="preserve">možnosť nainštalovať </w:t>
      </w:r>
      <w:r w:rsidRPr="00840511" w:rsidR="00AA0321">
        <w:rPr>
          <w:rFonts w:ascii="Times New Roman" w:hAnsi="Times New Roman"/>
          <w:sz w:val="24"/>
          <w:szCs w:val="24"/>
        </w:rPr>
        <w:t xml:space="preserve">tepelnú </w:t>
      </w:r>
      <w:r w:rsidRPr="00840511" w:rsidR="00540AB4">
        <w:rPr>
          <w:rFonts w:ascii="Times New Roman" w:hAnsi="Times New Roman"/>
          <w:sz w:val="24"/>
          <w:szCs w:val="24"/>
        </w:rPr>
        <w:t>izoláciu rozvodov tepla a teplej vody bez zásahov do stavebnej konštrukcie</w:t>
      </w:r>
      <w:r w:rsidRPr="00840511">
        <w:rPr>
          <w:rFonts w:ascii="Times New Roman" w:hAnsi="Times New Roman"/>
          <w:sz w:val="24"/>
          <w:szCs w:val="24"/>
        </w:rPr>
        <w:t>.“.</w:t>
      </w:r>
    </w:p>
    <w:p w:rsidR="0021352B" w:rsidRPr="00840511" w:rsidP="00747BA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36A8" w:rsidRPr="00840511" w:rsidP="007536A8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Doterajší text § 2 sa označuje ako odsek 1 a dopĺňa sa odsekmi 2 a 3, ktoré znejú:</w:t>
      </w:r>
    </w:p>
    <w:p w:rsidR="007536A8" w:rsidRPr="00840511" w:rsidP="007536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36A8" w:rsidRPr="00840511" w:rsidP="007536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„(2) Spotrebiteľom energie sa rozumie koncový odberateľ energie, ktorý nakupuje energiu pre vlastnú spotrebu.</w:t>
      </w:r>
    </w:p>
    <w:p w:rsidR="007536A8" w:rsidRPr="00840511" w:rsidP="007536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1C57" w:rsidRPr="00840511" w:rsidP="00747BA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511" w:rsidR="007536A8">
        <w:rPr>
          <w:rFonts w:ascii="Times New Roman" w:hAnsi="Times New Roman"/>
          <w:sz w:val="24"/>
          <w:szCs w:val="24"/>
        </w:rPr>
        <w:t>(3) O</w:t>
      </w:r>
      <w:r w:rsidRPr="00840511">
        <w:rPr>
          <w:rFonts w:ascii="Times New Roman" w:hAnsi="Times New Roman"/>
          <w:sz w:val="24"/>
          <w:szCs w:val="24"/>
        </w:rPr>
        <w:t xml:space="preserve">bchodnou energetickou spoločnosťou </w:t>
      </w:r>
      <w:r w:rsidRPr="00840511" w:rsidR="007536A8">
        <w:rPr>
          <w:rFonts w:ascii="Times New Roman" w:hAnsi="Times New Roman"/>
          <w:sz w:val="24"/>
          <w:szCs w:val="24"/>
        </w:rPr>
        <w:t xml:space="preserve">sa rozumie </w:t>
      </w:r>
      <w:r w:rsidRPr="00840511">
        <w:rPr>
          <w:rFonts w:ascii="Times New Roman" w:hAnsi="Times New Roman"/>
          <w:sz w:val="24"/>
          <w:szCs w:val="24"/>
        </w:rPr>
        <w:t xml:space="preserve">právnická osoba alebo fyzická osoba - podnikateľ, ktorá nakupuje energiu na účely ďalšieho predaja </w:t>
      </w:r>
      <w:r w:rsidRPr="00840511" w:rsidR="007835E8">
        <w:rPr>
          <w:rFonts w:ascii="Times New Roman" w:hAnsi="Times New Roman"/>
          <w:sz w:val="24"/>
          <w:szCs w:val="24"/>
        </w:rPr>
        <w:t xml:space="preserve">bez jej premeny na inú formu energie </w:t>
      </w:r>
      <w:r w:rsidRPr="00840511">
        <w:rPr>
          <w:rFonts w:ascii="Times New Roman" w:hAnsi="Times New Roman"/>
          <w:sz w:val="24"/>
          <w:szCs w:val="24"/>
        </w:rPr>
        <w:t xml:space="preserve">alebo </w:t>
      </w:r>
      <w:r w:rsidRPr="00840511" w:rsidR="00ED1708">
        <w:rPr>
          <w:rFonts w:ascii="Times New Roman" w:hAnsi="Times New Roman"/>
          <w:sz w:val="24"/>
          <w:szCs w:val="24"/>
        </w:rPr>
        <w:t xml:space="preserve">po </w:t>
      </w:r>
      <w:r w:rsidRPr="00840511" w:rsidR="007835E8">
        <w:rPr>
          <w:rFonts w:ascii="Times New Roman" w:hAnsi="Times New Roman"/>
          <w:sz w:val="24"/>
          <w:szCs w:val="24"/>
        </w:rPr>
        <w:t xml:space="preserve">jej </w:t>
      </w:r>
      <w:r w:rsidRPr="00840511" w:rsidR="007536A8">
        <w:rPr>
          <w:rFonts w:ascii="Times New Roman" w:hAnsi="Times New Roman"/>
          <w:sz w:val="24"/>
          <w:szCs w:val="24"/>
        </w:rPr>
        <w:t>premene na inú formu energie.“.</w:t>
      </w:r>
    </w:p>
    <w:p w:rsidR="007835E8" w:rsidRPr="00840511" w:rsidP="007835E8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E83CD5" w:rsidRPr="00840511" w:rsidP="00162DA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V § 6 ods. 1 sa slová „Vlastník veľkej budovy</w:t>
      </w:r>
      <w:r w:rsidRPr="00840511" w:rsidR="00162DA7">
        <w:rPr>
          <w:rFonts w:ascii="Times New Roman" w:hAnsi="Times New Roman"/>
          <w:sz w:val="24"/>
          <w:szCs w:val="24"/>
          <w:vertAlign w:val="superscript"/>
        </w:rPr>
        <w:t>10</w:t>
      </w:r>
      <w:r w:rsidRPr="00840511" w:rsidR="00162DA7">
        <w:rPr>
          <w:rFonts w:ascii="Times New Roman" w:hAnsi="Times New Roman"/>
          <w:sz w:val="24"/>
          <w:szCs w:val="24"/>
        </w:rPr>
        <w:t>)</w:t>
      </w:r>
      <w:r w:rsidRPr="00840511">
        <w:rPr>
          <w:rFonts w:ascii="Times New Roman" w:hAnsi="Times New Roman"/>
          <w:sz w:val="24"/>
          <w:szCs w:val="24"/>
        </w:rPr>
        <w:t xml:space="preserve">“ </w:t>
      </w:r>
      <w:r w:rsidRPr="00840511" w:rsidR="00162DA7">
        <w:rPr>
          <w:rFonts w:ascii="Times New Roman" w:hAnsi="Times New Roman"/>
          <w:sz w:val="24"/>
          <w:szCs w:val="24"/>
        </w:rPr>
        <w:t xml:space="preserve">nahrádzajú </w:t>
      </w:r>
      <w:r w:rsidRPr="00840511">
        <w:rPr>
          <w:rFonts w:ascii="Times New Roman" w:hAnsi="Times New Roman"/>
          <w:sz w:val="24"/>
          <w:szCs w:val="24"/>
        </w:rPr>
        <w:t>slov</w:t>
      </w:r>
      <w:r w:rsidRPr="00840511" w:rsidR="00162DA7">
        <w:rPr>
          <w:rFonts w:ascii="Times New Roman" w:hAnsi="Times New Roman"/>
          <w:sz w:val="24"/>
          <w:szCs w:val="24"/>
        </w:rPr>
        <w:t>ami</w:t>
      </w:r>
      <w:r w:rsidRPr="00840511">
        <w:rPr>
          <w:rFonts w:ascii="Times New Roman" w:hAnsi="Times New Roman"/>
          <w:sz w:val="24"/>
          <w:szCs w:val="24"/>
        </w:rPr>
        <w:t xml:space="preserve"> „</w:t>
      </w:r>
      <w:r w:rsidRPr="00840511" w:rsidR="00162DA7">
        <w:rPr>
          <w:rFonts w:ascii="Times New Roman" w:hAnsi="Times New Roman"/>
          <w:sz w:val="24"/>
          <w:szCs w:val="24"/>
        </w:rPr>
        <w:t>Vlastník veľkej budovy</w:t>
      </w:r>
      <w:r w:rsidRPr="00840511">
        <w:rPr>
          <w:rFonts w:ascii="Times New Roman" w:hAnsi="Times New Roman"/>
          <w:sz w:val="24"/>
          <w:szCs w:val="24"/>
        </w:rPr>
        <w:t>,</w:t>
      </w:r>
      <w:r w:rsidRPr="00840511" w:rsidR="00162DA7">
        <w:rPr>
          <w:rFonts w:ascii="Times New Roman" w:hAnsi="Times New Roman"/>
          <w:sz w:val="24"/>
          <w:szCs w:val="24"/>
        </w:rPr>
        <w:t xml:space="preserve"> </w:t>
      </w:r>
      <w:r w:rsidRPr="00840511">
        <w:rPr>
          <w:rFonts w:ascii="Times New Roman" w:hAnsi="Times New Roman"/>
          <w:sz w:val="24"/>
          <w:szCs w:val="24"/>
        </w:rPr>
        <w:t>ktorej celková podlahová plocha je väčšia ako 1 000 m</w:t>
      </w:r>
      <w:r w:rsidRPr="0084051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840511">
        <w:rPr>
          <w:rFonts w:ascii="Times New Roman" w:hAnsi="Times New Roman"/>
          <w:sz w:val="24"/>
          <w:szCs w:val="24"/>
        </w:rPr>
        <w:t>(ďalej len „</w:t>
      </w:r>
      <w:r w:rsidRPr="00840511" w:rsidR="00A9487F">
        <w:rPr>
          <w:rFonts w:ascii="Times New Roman" w:hAnsi="Times New Roman"/>
          <w:sz w:val="24"/>
          <w:szCs w:val="24"/>
        </w:rPr>
        <w:t xml:space="preserve">veľká </w:t>
      </w:r>
      <w:r w:rsidRPr="00840511">
        <w:rPr>
          <w:rFonts w:ascii="Times New Roman" w:hAnsi="Times New Roman"/>
          <w:sz w:val="24"/>
          <w:szCs w:val="24"/>
        </w:rPr>
        <w:t>budova“)</w:t>
      </w:r>
      <w:r w:rsidRPr="00840511" w:rsidR="00162DA7">
        <w:rPr>
          <w:rFonts w:ascii="Times New Roman" w:hAnsi="Times New Roman"/>
          <w:sz w:val="24"/>
          <w:szCs w:val="24"/>
        </w:rPr>
        <w:t>,</w:t>
      </w:r>
      <w:r w:rsidRPr="00840511">
        <w:rPr>
          <w:rFonts w:ascii="Times New Roman" w:hAnsi="Times New Roman"/>
          <w:sz w:val="24"/>
          <w:szCs w:val="24"/>
        </w:rPr>
        <w:t>“.</w:t>
      </w:r>
    </w:p>
    <w:p w:rsidR="003A1655" w:rsidRPr="00840511" w:rsidP="00AA0321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83B4B" w:rsidRPr="00840511" w:rsidP="00AA0321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Poznámka pod čiarou k odkazu 10 sa vypúšťa.</w:t>
      </w:r>
    </w:p>
    <w:p w:rsidR="00D83B4B" w:rsidRPr="00840511" w:rsidP="00AA0321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3A1655" w:rsidRPr="00840511" w:rsidP="004310F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V § 6 sa ods</w:t>
      </w:r>
      <w:r w:rsidRPr="00840511" w:rsidR="008F69C7">
        <w:rPr>
          <w:rFonts w:ascii="Times New Roman" w:hAnsi="Times New Roman"/>
          <w:sz w:val="24"/>
          <w:szCs w:val="24"/>
        </w:rPr>
        <w:t>ek</w:t>
      </w:r>
      <w:r w:rsidRPr="00840511">
        <w:rPr>
          <w:rFonts w:ascii="Times New Roman" w:hAnsi="Times New Roman"/>
          <w:sz w:val="24"/>
          <w:szCs w:val="24"/>
        </w:rPr>
        <w:t xml:space="preserve"> 1</w:t>
      </w:r>
      <w:r w:rsidRPr="00840511" w:rsidR="008F69C7">
        <w:rPr>
          <w:rFonts w:ascii="Times New Roman" w:hAnsi="Times New Roman"/>
          <w:sz w:val="24"/>
          <w:szCs w:val="24"/>
        </w:rPr>
        <w:t xml:space="preserve"> dopĺňa písmenom</w:t>
      </w:r>
      <w:r w:rsidRPr="00840511">
        <w:rPr>
          <w:rFonts w:ascii="Times New Roman" w:hAnsi="Times New Roman"/>
          <w:sz w:val="24"/>
          <w:szCs w:val="24"/>
        </w:rPr>
        <w:t xml:space="preserve"> d), ktoré znie:</w:t>
      </w:r>
    </w:p>
    <w:p w:rsidR="003A1655" w:rsidRPr="00840511" w:rsidP="003A165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„d) je povinný </w:t>
      </w:r>
      <w:r w:rsidRPr="00840511" w:rsidR="00383F56">
        <w:rPr>
          <w:rFonts w:ascii="Times New Roman" w:hAnsi="Times New Roman"/>
          <w:sz w:val="24"/>
          <w:szCs w:val="24"/>
        </w:rPr>
        <w:t>zabezpečiť</w:t>
      </w:r>
      <w:r w:rsidRPr="00840511">
        <w:rPr>
          <w:rFonts w:ascii="Times New Roman" w:hAnsi="Times New Roman"/>
          <w:sz w:val="24"/>
          <w:szCs w:val="24"/>
        </w:rPr>
        <w:t xml:space="preserve"> rozvody tepla a teplej vody vhodnou tepelnou izoláciou.“.</w:t>
      </w:r>
    </w:p>
    <w:p w:rsidR="00BB24E9" w:rsidRPr="00840511" w:rsidP="003A165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4B8B" w:rsidRPr="00840511" w:rsidP="00747BA3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 w:rsidR="00BB24E9">
        <w:rPr>
          <w:rFonts w:ascii="Times New Roman" w:hAnsi="Times New Roman"/>
          <w:sz w:val="24"/>
          <w:szCs w:val="24"/>
        </w:rPr>
        <w:t>V § 6 ods. 2 sa nad slovom „budovy“ vypúšťa odkaz 10</w:t>
      </w:r>
      <w:r w:rsidRPr="00840511" w:rsidR="00D3089A">
        <w:rPr>
          <w:rFonts w:ascii="Times New Roman" w:hAnsi="Times New Roman"/>
          <w:sz w:val="24"/>
          <w:szCs w:val="24"/>
        </w:rPr>
        <w:t xml:space="preserve">. </w:t>
      </w:r>
    </w:p>
    <w:p w:rsidR="000302C6" w:rsidRPr="00840511" w:rsidP="00AA0321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1655" w:rsidRPr="00840511" w:rsidP="000302C6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 w:rsidR="001172AC">
        <w:rPr>
          <w:rFonts w:ascii="Times New Roman" w:hAnsi="Times New Roman"/>
          <w:sz w:val="24"/>
          <w:szCs w:val="24"/>
        </w:rPr>
        <w:t xml:space="preserve">V </w:t>
      </w:r>
      <w:r w:rsidRPr="00840511">
        <w:rPr>
          <w:rFonts w:ascii="Times New Roman" w:hAnsi="Times New Roman"/>
          <w:sz w:val="24"/>
          <w:szCs w:val="24"/>
        </w:rPr>
        <w:t>§ 7 sa ods</w:t>
      </w:r>
      <w:r w:rsidRPr="00840511" w:rsidR="005918FB">
        <w:rPr>
          <w:rFonts w:ascii="Times New Roman" w:hAnsi="Times New Roman"/>
          <w:sz w:val="24"/>
          <w:szCs w:val="24"/>
        </w:rPr>
        <w:t>ek</w:t>
      </w:r>
      <w:r w:rsidRPr="00840511">
        <w:rPr>
          <w:rFonts w:ascii="Times New Roman" w:hAnsi="Times New Roman"/>
          <w:sz w:val="24"/>
          <w:szCs w:val="24"/>
        </w:rPr>
        <w:t xml:space="preserve"> 2 </w:t>
      </w:r>
      <w:r w:rsidRPr="00840511" w:rsidR="005918FB">
        <w:rPr>
          <w:rFonts w:ascii="Times New Roman" w:hAnsi="Times New Roman"/>
          <w:sz w:val="24"/>
          <w:szCs w:val="24"/>
        </w:rPr>
        <w:t xml:space="preserve">dopĺňa </w:t>
      </w:r>
      <w:r w:rsidRPr="00840511">
        <w:rPr>
          <w:rFonts w:ascii="Times New Roman" w:hAnsi="Times New Roman"/>
          <w:sz w:val="24"/>
          <w:szCs w:val="24"/>
        </w:rPr>
        <w:t>písm</w:t>
      </w:r>
      <w:r w:rsidRPr="00840511" w:rsidR="005918FB">
        <w:rPr>
          <w:rFonts w:ascii="Times New Roman" w:hAnsi="Times New Roman"/>
          <w:sz w:val="24"/>
          <w:szCs w:val="24"/>
        </w:rPr>
        <w:t>enom</w:t>
      </w:r>
      <w:r w:rsidRPr="00840511">
        <w:rPr>
          <w:rFonts w:ascii="Times New Roman" w:hAnsi="Times New Roman"/>
          <w:sz w:val="24"/>
          <w:szCs w:val="24"/>
        </w:rPr>
        <w:t xml:space="preserve"> d), ktoré znie:</w:t>
      </w:r>
    </w:p>
    <w:p w:rsidR="003A1655" w:rsidRPr="00840511" w:rsidP="00ED170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511" w:rsidR="00ED1708">
        <w:rPr>
          <w:rFonts w:ascii="Times New Roman" w:hAnsi="Times New Roman"/>
          <w:sz w:val="24"/>
          <w:szCs w:val="24"/>
        </w:rPr>
        <w:t>„d) nie je zabezpečená montážna prístupnosť.“.</w:t>
      </w:r>
    </w:p>
    <w:p w:rsidR="003A1655" w:rsidRPr="00840511" w:rsidP="003A1655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655" w:rsidRPr="00840511" w:rsidP="00886A0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V § 8 ods. 1 </w:t>
      </w:r>
      <w:r w:rsidRPr="00840511" w:rsidR="00886A0A">
        <w:rPr>
          <w:rFonts w:ascii="Times New Roman" w:hAnsi="Times New Roman"/>
          <w:sz w:val="24"/>
          <w:szCs w:val="24"/>
        </w:rPr>
        <w:t xml:space="preserve">a 3 </w:t>
      </w:r>
      <w:r w:rsidRPr="00840511">
        <w:rPr>
          <w:rFonts w:ascii="Times New Roman" w:hAnsi="Times New Roman"/>
          <w:sz w:val="24"/>
          <w:szCs w:val="24"/>
        </w:rPr>
        <w:t xml:space="preserve">sa </w:t>
      </w:r>
      <w:r w:rsidRPr="00840511" w:rsidR="005918FB">
        <w:rPr>
          <w:rFonts w:ascii="Times New Roman" w:hAnsi="Times New Roman"/>
          <w:sz w:val="24"/>
          <w:szCs w:val="24"/>
        </w:rPr>
        <w:t xml:space="preserve">nad slovom „energie“ </w:t>
      </w:r>
      <w:r w:rsidRPr="00840511">
        <w:rPr>
          <w:rFonts w:ascii="Times New Roman" w:hAnsi="Times New Roman"/>
          <w:sz w:val="24"/>
          <w:szCs w:val="24"/>
        </w:rPr>
        <w:t>vypúšťa odkaz 13.</w:t>
      </w:r>
      <w:r w:rsidRPr="00840511" w:rsidR="00886A0A">
        <w:rPr>
          <w:rFonts w:ascii="Times New Roman" w:hAnsi="Times New Roman"/>
          <w:sz w:val="24"/>
          <w:szCs w:val="24"/>
        </w:rPr>
        <w:t xml:space="preserve"> Súčasne sa vypúšťa poznámka pod čiarou k odkazu 13.</w:t>
      </w:r>
    </w:p>
    <w:p w:rsidR="00006180" w:rsidRPr="00840511" w:rsidP="00006180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180" w:rsidRPr="00840511" w:rsidP="00006180">
      <w:pPr>
        <w:numPr>
          <w:numId w:val="3"/>
        </w:numPr>
        <w:bidi w:val="0"/>
        <w:rPr>
          <w:rFonts w:ascii="Times New Roman" w:hAnsi="Times New Roman"/>
          <w:bCs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 V § 8 ods. 2 sa na konci pripája táto veta:</w:t>
      </w:r>
    </w:p>
    <w:p w:rsidR="00006180" w:rsidRPr="00840511" w:rsidP="0000618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„Do celkovej spotreby energie sa nezapočíta spotreba energie pre motorové vozidlo a  zvláštne motorové vozidlo.</w:t>
      </w:r>
      <w:r w:rsidRPr="00840511">
        <w:rPr>
          <w:rFonts w:ascii="Times New Roman" w:hAnsi="Times New Roman"/>
          <w:sz w:val="24"/>
          <w:szCs w:val="24"/>
          <w:vertAlign w:val="superscript"/>
        </w:rPr>
        <w:t>13</w:t>
      </w:r>
      <w:r w:rsidRPr="00840511">
        <w:rPr>
          <w:rFonts w:ascii="Times New Roman" w:hAnsi="Times New Roman"/>
          <w:sz w:val="24"/>
          <w:szCs w:val="24"/>
        </w:rPr>
        <w:t>)“.</w:t>
      </w:r>
    </w:p>
    <w:p w:rsidR="00006180" w:rsidRPr="00840511" w:rsidP="0000618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006180" w:rsidRPr="00840511" w:rsidP="0000618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Poznámka pod čiarou k odkazu 13 znie:</w:t>
      </w:r>
    </w:p>
    <w:p w:rsidR="00006180" w:rsidRPr="00840511" w:rsidP="0000618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„</w:t>
      </w:r>
      <w:r w:rsidRPr="00840511">
        <w:rPr>
          <w:rFonts w:ascii="Times New Roman" w:hAnsi="Times New Roman"/>
          <w:sz w:val="24"/>
          <w:szCs w:val="24"/>
          <w:vertAlign w:val="superscript"/>
        </w:rPr>
        <w:t>13</w:t>
      </w:r>
      <w:r w:rsidRPr="00840511">
        <w:rPr>
          <w:rFonts w:ascii="Times New Roman" w:hAnsi="Times New Roman"/>
          <w:sz w:val="24"/>
          <w:szCs w:val="24"/>
        </w:rPr>
        <w:t>) § 2 ods. 2 písm. l) a aa) zákona č. 8/2009 Z. z. o cestnej premávke a o zmene a doplnení niektorých zákonov v znení neskorších predpisov.“.“.</w:t>
      </w:r>
    </w:p>
    <w:p w:rsidR="00006180" w:rsidRPr="00840511" w:rsidP="00006180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3E1" w:rsidRPr="00840511" w:rsidP="00886A0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73E1" w:rsidRPr="00840511" w:rsidP="00886A0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V § 8 ods. </w:t>
      </w:r>
      <w:r w:rsidRPr="00840511" w:rsidR="00654792">
        <w:rPr>
          <w:rFonts w:ascii="Times New Roman" w:hAnsi="Times New Roman"/>
          <w:sz w:val="24"/>
          <w:szCs w:val="24"/>
        </w:rPr>
        <w:t>4</w:t>
      </w:r>
      <w:r w:rsidRPr="00840511">
        <w:rPr>
          <w:rFonts w:ascii="Times New Roman" w:hAnsi="Times New Roman"/>
          <w:sz w:val="24"/>
          <w:szCs w:val="24"/>
        </w:rPr>
        <w:t xml:space="preserve"> sa slová „na vyhodnotenie energetickej náročnosti výroby“ nahrádzajú slovami „podľa odseku </w:t>
      </w:r>
      <w:smartTag w:uri="urn:schemas-microsoft-com:office:smarttags" w:element="metricconverter">
        <w:smartTagPr>
          <w:attr w:name="ProductID" w:val="1 a"/>
        </w:smartTagPr>
        <w:r w:rsidRPr="00840511">
          <w:rPr>
            <w:rFonts w:ascii="Times New Roman" w:hAnsi="Times New Roman"/>
            <w:sz w:val="24"/>
            <w:szCs w:val="24"/>
          </w:rPr>
          <w:t>1 a</w:t>
        </w:r>
      </w:smartTag>
      <w:r w:rsidRPr="00840511">
        <w:rPr>
          <w:rFonts w:ascii="Times New Roman" w:hAnsi="Times New Roman"/>
          <w:sz w:val="24"/>
          <w:szCs w:val="24"/>
        </w:rPr>
        <w:t xml:space="preserve"> § 4 ods. 2“.</w:t>
      </w:r>
    </w:p>
    <w:p w:rsidR="00B773E1" w:rsidRPr="00840511" w:rsidP="00747BA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58C3" w:rsidRPr="00840511" w:rsidP="00886A0A">
      <w:pPr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§ 8 sa </w:t>
      </w:r>
      <w:r w:rsidRPr="00840511" w:rsidR="00C12790">
        <w:rPr>
          <w:rFonts w:ascii="Times New Roman" w:hAnsi="Times New Roman"/>
          <w:sz w:val="24"/>
          <w:szCs w:val="24"/>
        </w:rPr>
        <w:t xml:space="preserve">dopĺňa </w:t>
      </w:r>
      <w:r w:rsidRPr="00840511">
        <w:rPr>
          <w:rFonts w:ascii="Times New Roman" w:hAnsi="Times New Roman"/>
          <w:sz w:val="24"/>
          <w:szCs w:val="24"/>
        </w:rPr>
        <w:t>odsek</w:t>
      </w:r>
      <w:r w:rsidRPr="00840511" w:rsidR="00C12790">
        <w:rPr>
          <w:rFonts w:ascii="Times New Roman" w:hAnsi="Times New Roman"/>
          <w:sz w:val="24"/>
          <w:szCs w:val="24"/>
        </w:rPr>
        <w:t>om</w:t>
      </w:r>
      <w:r w:rsidRPr="00840511">
        <w:rPr>
          <w:rFonts w:ascii="Times New Roman" w:hAnsi="Times New Roman"/>
          <w:sz w:val="24"/>
          <w:szCs w:val="24"/>
        </w:rPr>
        <w:t xml:space="preserve"> </w:t>
      </w:r>
      <w:r w:rsidRPr="00840511" w:rsidR="008A5EF7">
        <w:rPr>
          <w:rFonts w:ascii="Times New Roman" w:hAnsi="Times New Roman"/>
          <w:sz w:val="24"/>
          <w:szCs w:val="24"/>
        </w:rPr>
        <w:t>8</w:t>
      </w:r>
      <w:r w:rsidRPr="00840511">
        <w:rPr>
          <w:rFonts w:ascii="Times New Roman" w:hAnsi="Times New Roman"/>
          <w:sz w:val="24"/>
          <w:szCs w:val="24"/>
        </w:rPr>
        <w:t>, ktorý znie:</w:t>
      </w:r>
    </w:p>
    <w:p w:rsidR="002358C3" w:rsidRPr="00840511" w:rsidP="0021352B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„(</w:t>
      </w:r>
      <w:r w:rsidRPr="00840511" w:rsidR="00795813">
        <w:rPr>
          <w:rFonts w:ascii="Times New Roman" w:hAnsi="Times New Roman"/>
          <w:sz w:val="24"/>
          <w:szCs w:val="24"/>
        </w:rPr>
        <w:t>8</w:t>
      </w:r>
      <w:r w:rsidRPr="00840511">
        <w:rPr>
          <w:rFonts w:ascii="Times New Roman" w:hAnsi="Times New Roman"/>
          <w:sz w:val="24"/>
          <w:szCs w:val="24"/>
        </w:rPr>
        <w:t>) Spotrebiteľ energie v</w:t>
      </w:r>
      <w:r w:rsidRPr="00840511" w:rsidR="00000C6D">
        <w:rPr>
          <w:rFonts w:ascii="Times New Roman" w:hAnsi="Times New Roman"/>
          <w:sz w:val="24"/>
          <w:szCs w:val="24"/>
        </w:rPr>
        <w:t> </w:t>
      </w:r>
      <w:r w:rsidRPr="00840511">
        <w:rPr>
          <w:rFonts w:ascii="Times New Roman" w:hAnsi="Times New Roman"/>
          <w:sz w:val="24"/>
          <w:szCs w:val="24"/>
        </w:rPr>
        <w:t>priemysle</w:t>
      </w:r>
      <w:r w:rsidRPr="00840511" w:rsidR="00000C6D">
        <w:rPr>
          <w:rFonts w:ascii="Times New Roman" w:hAnsi="Times New Roman"/>
          <w:sz w:val="24"/>
          <w:szCs w:val="24"/>
        </w:rPr>
        <w:t>, spotrebiteľ energie v </w:t>
      </w:r>
      <w:r w:rsidRPr="00840511">
        <w:rPr>
          <w:rFonts w:ascii="Times New Roman" w:hAnsi="Times New Roman"/>
          <w:sz w:val="24"/>
          <w:szCs w:val="24"/>
        </w:rPr>
        <w:t>pôdo</w:t>
      </w:r>
      <w:r w:rsidRPr="00840511" w:rsidR="00000C6D">
        <w:rPr>
          <w:rFonts w:ascii="Times New Roman" w:hAnsi="Times New Roman"/>
          <w:sz w:val="24"/>
          <w:szCs w:val="24"/>
        </w:rPr>
        <w:t>hospodárstve a</w:t>
      </w:r>
      <w:r w:rsidRPr="00840511">
        <w:rPr>
          <w:rFonts w:ascii="Times New Roman" w:hAnsi="Times New Roman"/>
          <w:sz w:val="24"/>
          <w:szCs w:val="24"/>
        </w:rPr>
        <w:t xml:space="preserve"> výrobca elektriny je povinný na účel overenia postupu pri výkone energetického au</w:t>
      </w:r>
      <w:r w:rsidRPr="00840511" w:rsidR="004975F0">
        <w:rPr>
          <w:rFonts w:ascii="Times New Roman" w:hAnsi="Times New Roman"/>
          <w:sz w:val="24"/>
          <w:szCs w:val="24"/>
        </w:rPr>
        <w:t xml:space="preserve">ditu podľa odseku </w:t>
      </w:r>
      <w:r w:rsidRPr="00840511" w:rsidR="008A5EF7">
        <w:rPr>
          <w:rFonts w:ascii="Times New Roman" w:hAnsi="Times New Roman"/>
          <w:sz w:val="24"/>
          <w:szCs w:val="24"/>
        </w:rPr>
        <w:t>6</w:t>
      </w:r>
      <w:r w:rsidRPr="00840511">
        <w:rPr>
          <w:rFonts w:ascii="Times New Roman" w:hAnsi="Times New Roman"/>
          <w:sz w:val="24"/>
          <w:szCs w:val="24"/>
        </w:rPr>
        <w:t xml:space="preserve"> poskytnúť prevádzkovateľovi monitorovacieho systému písomnú správu z energetického auditu najneskôr do 30 dní od doručenia písomnej žiadosti</w:t>
      </w:r>
      <w:r w:rsidRPr="00840511" w:rsidR="007835E8">
        <w:rPr>
          <w:rFonts w:ascii="Times New Roman" w:hAnsi="Times New Roman"/>
          <w:sz w:val="24"/>
          <w:szCs w:val="24"/>
        </w:rPr>
        <w:t xml:space="preserve"> prevádzkovateľa monitorovacieho systému</w:t>
      </w:r>
      <w:r w:rsidRPr="00840511" w:rsidR="00501E17">
        <w:rPr>
          <w:rFonts w:ascii="Times New Roman" w:hAnsi="Times New Roman"/>
          <w:sz w:val="24"/>
          <w:szCs w:val="24"/>
        </w:rPr>
        <w:t xml:space="preserve"> na obdobie troch mesiacov</w:t>
      </w:r>
      <w:r w:rsidRPr="00840511">
        <w:rPr>
          <w:rFonts w:ascii="Times New Roman" w:hAnsi="Times New Roman"/>
          <w:sz w:val="24"/>
          <w:szCs w:val="24"/>
        </w:rPr>
        <w:t>.“.</w:t>
      </w:r>
    </w:p>
    <w:p w:rsidR="002358C3" w:rsidRPr="00840511" w:rsidP="00747BA3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3D12" w:rsidRPr="00840511" w:rsidP="00886A0A">
      <w:pPr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V § 9 sa za odsek 11 vkladá nový odsek 12, ktorý znie:</w:t>
      </w:r>
    </w:p>
    <w:p w:rsidR="00DD3D12" w:rsidRPr="00840511" w:rsidP="0021352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„(12)</w:t>
      </w:r>
      <w:r w:rsidRPr="0084051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840511">
        <w:rPr>
          <w:rFonts w:ascii="Times New Roman" w:hAnsi="Times New Roman"/>
          <w:sz w:val="24"/>
          <w:szCs w:val="24"/>
        </w:rPr>
        <w:t>Ministerstvo zapíše fyzickú osobu</w:t>
      </w:r>
      <w:r w:rsidRPr="00840511" w:rsidR="00661E36">
        <w:rPr>
          <w:rFonts w:ascii="Times New Roman" w:hAnsi="Times New Roman"/>
          <w:sz w:val="24"/>
          <w:szCs w:val="24"/>
        </w:rPr>
        <w:t xml:space="preserve">, ktorá bola vyčiarknutá zo zoznamu energetických audítorov podľa </w:t>
      </w:r>
      <w:r w:rsidRPr="00840511" w:rsidR="00A856F2">
        <w:rPr>
          <w:rFonts w:ascii="Times New Roman" w:hAnsi="Times New Roman"/>
          <w:sz w:val="24"/>
          <w:szCs w:val="24"/>
        </w:rPr>
        <w:t>odseku</w:t>
      </w:r>
      <w:r w:rsidRPr="00840511" w:rsidR="00661E36">
        <w:rPr>
          <w:rFonts w:ascii="Times New Roman" w:hAnsi="Times New Roman"/>
          <w:sz w:val="24"/>
          <w:szCs w:val="24"/>
        </w:rPr>
        <w:t xml:space="preserve"> 11 písm. b) druhého </w:t>
      </w:r>
      <w:r w:rsidRPr="00840511" w:rsidR="00713298">
        <w:rPr>
          <w:rFonts w:ascii="Times New Roman" w:hAnsi="Times New Roman"/>
          <w:sz w:val="24"/>
          <w:szCs w:val="24"/>
        </w:rPr>
        <w:t xml:space="preserve">bodu </w:t>
      </w:r>
      <w:r w:rsidRPr="00840511" w:rsidR="00661E36">
        <w:rPr>
          <w:rFonts w:ascii="Times New Roman" w:hAnsi="Times New Roman"/>
          <w:sz w:val="24"/>
          <w:szCs w:val="24"/>
        </w:rPr>
        <w:t>a</w:t>
      </w:r>
      <w:r w:rsidRPr="00840511" w:rsidR="00A856F2">
        <w:rPr>
          <w:rFonts w:ascii="Times New Roman" w:hAnsi="Times New Roman"/>
          <w:sz w:val="24"/>
          <w:szCs w:val="24"/>
        </w:rPr>
        <w:t>lebo</w:t>
      </w:r>
      <w:r w:rsidRPr="00840511" w:rsidR="00E67FDA">
        <w:rPr>
          <w:rFonts w:ascii="Times New Roman" w:hAnsi="Times New Roman"/>
          <w:sz w:val="24"/>
          <w:szCs w:val="24"/>
        </w:rPr>
        <w:t xml:space="preserve"> </w:t>
      </w:r>
      <w:r w:rsidRPr="00840511" w:rsidR="00661E36">
        <w:rPr>
          <w:rFonts w:ascii="Times New Roman" w:hAnsi="Times New Roman"/>
          <w:sz w:val="24"/>
          <w:szCs w:val="24"/>
        </w:rPr>
        <w:t>tretieho bodu,</w:t>
      </w:r>
      <w:r w:rsidRPr="00840511">
        <w:rPr>
          <w:rFonts w:ascii="Times New Roman" w:hAnsi="Times New Roman"/>
          <w:sz w:val="24"/>
          <w:szCs w:val="24"/>
        </w:rPr>
        <w:t xml:space="preserve"> do zoznamu energetických audítorov po úspešnom </w:t>
      </w:r>
      <w:r w:rsidRPr="00840511" w:rsidR="00661E36">
        <w:rPr>
          <w:rFonts w:ascii="Times New Roman" w:hAnsi="Times New Roman"/>
          <w:sz w:val="24"/>
          <w:szCs w:val="24"/>
        </w:rPr>
        <w:t xml:space="preserve">opätovnom </w:t>
      </w:r>
      <w:r w:rsidRPr="00840511">
        <w:rPr>
          <w:rFonts w:ascii="Times New Roman" w:hAnsi="Times New Roman"/>
          <w:sz w:val="24"/>
          <w:szCs w:val="24"/>
        </w:rPr>
        <w:t>absolvovaní skúšky odbornej spôsobilosti.“.</w:t>
      </w:r>
    </w:p>
    <w:p w:rsidR="00DD3D12" w:rsidRPr="00840511" w:rsidP="00747BA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3D12" w:rsidRPr="00840511" w:rsidP="00747BA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Doterajší odsek 12 sa označuje ako odsek 13.</w:t>
      </w:r>
    </w:p>
    <w:p w:rsidR="00DD3D12" w:rsidRPr="00840511" w:rsidP="00747BA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8C3" w:rsidRPr="00840511" w:rsidP="0021352B">
      <w:pPr>
        <w:numPr>
          <w:numId w:val="3"/>
        </w:numPr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40511" w:rsidR="00DD3D12">
        <w:rPr>
          <w:rFonts w:ascii="Times New Roman" w:hAnsi="Times New Roman"/>
          <w:sz w:val="24"/>
          <w:szCs w:val="24"/>
        </w:rPr>
        <w:t xml:space="preserve">V § 11 ods. 2 sa slová „Právnická osoba alebo fyzická osoba - podnikateľ, ktorá nakupuje energiu na účely ďalšieho predaja (ďalej len </w:t>
      </w:r>
      <w:r w:rsidRPr="00840511" w:rsidR="000302C6">
        <w:rPr>
          <w:rFonts w:ascii="Times New Roman" w:hAnsi="Times New Roman"/>
          <w:sz w:val="24"/>
          <w:szCs w:val="24"/>
        </w:rPr>
        <w:t>„</w:t>
      </w:r>
      <w:r w:rsidRPr="00840511" w:rsidR="00DD3D12">
        <w:rPr>
          <w:rFonts w:ascii="Times New Roman" w:hAnsi="Times New Roman"/>
          <w:sz w:val="24"/>
          <w:szCs w:val="24"/>
        </w:rPr>
        <w:t>obchodná energetická spoločnosť</w:t>
      </w:r>
      <w:r w:rsidRPr="00840511" w:rsidR="000302C6">
        <w:rPr>
          <w:rFonts w:ascii="Times New Roman" w:hAnsi="Times New Roman"/>
          <w:sz w:val="24"/>
          <w:szCs w:val="24"/>
        </w:rPr>
        <w:t>“</w:t>
      </w:r>
      <w:r w:rsidRPr="00840511" w:rsidR="00DD3D12">
        <w:rPr>
          <w:rFonts w:ascii="Times New Roman" w:hAnsi="Times New Roman"/>
          <w:sz w:val="24"/>
          <w:szCs w:val="24"/>
        </w:rPr>
        <w:t>)“ nahrádzajú slovami „Obchodná energetická spoločnosť“.</w:t>
      </w:r>
    </w:p>
    <w:p w:rsidR="00DD3D12" w:rsidRPr="00840511" w:rsidP="00747BA3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83F56" w:rsidRPr="00840511" w:rsidP="00886A0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 xml:space="preserve">V § 14 ods. </w:t>
      </w:r>
      <w:r w:rsidRPr="00840511" w:rsidR="00A927D1">
        <w:rPr>
          <w:rFonts w:ascii="Times New Roman" w:hAnsi="Times New Roman"/>
          <w:sz w:val="24"/>
          <w:szCs w:val="24"/>
        </w:rPr>
        <w:t xml:space="preserve">1 písm. d) </w:t>
      </w:r>
      <w:r w:rsidRPr="00840511" w:rsidR="00705331">
        <w:rPr>
          <w:rFonts w:ascii="Times New Roman" w:hAnsi="Times New Roman"/>
          <w:sz w:val="24"/>
          <w:szCs w:val="24"/>
        </w:rPr>
        <w:t xml:space="preserve">treťom bode </w:t>
      </w:r>
      <w:r w:rsidRPr="00840511" w:rsidR="00F56FE0">
        <w:rPr>
          <w:rFonts w:ascii="Times New Roman" w:hAnsi="Times New Roman"/>
          <w:sz w:val="24"/>
          <w:szCs w:val="24"/>
        </w:rPr>
        <w:t xml:space="preserve">a § 14 ods. 2 písm. c) </w:t>
      </w:r>
      <w:r w:rsidRPr="00840511">
        <w:rPr>
          <w:rFonts w:ascii="Times New Roman" w:hAnsi="Times New Roman"/>
          <w:sz w:val="24"/>
          <w:szCs w:val="24"/>
        </w:rPr>
        <w:t>sa slovo „nevybaví“ nahrádza slovom „nezabezpečí“.</w:t>
      </w:r>
    </w:p>
    <w:p w:rsidR="00A20709" w:rsidRPr="00840511" w:rsidP="00747BA3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A20709" w:rsidRPr="00840511" w:rsidP="00886A0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511" w:rsidR="00B40F81">
        <w:rPr>
          <w:rFonts w:ascii="Times New Roman" w:hAnsi="Times New Roman"/>
          <w:sz w:val="24"/>
          <w:szCs w:val="24"/>
        </w:rPr>
        <w:t>V § 17 odsek</w:t>
      </w:r>
      <w:r w:rsidRPr="00840511" w:rsidR="001913C4">
        <w:rPr>
          <w:rFonts w:ascii="Times New Roman" w:hAnsi="Times New Roman"/>
          <w:sz w:val="24"/>
          <w:szCs w:val="24"/>
        </w:rPr>
        <w:t xml:space="preserve"> 4</w:t>
      </w:r>
      <w:r w:rsidRPr="00840511">
        <w:rPr>
          <w:rFonts w:ascii="Times New Roman" w:hAnsi="Times New Roman"/>
          <w:sz w:val="24"/>
          <w:szCs w:val="24"/>
        </w:rPr>
        <w:t xml:space="preserve"> znie:</w:t>
      </w:r>
    </w:p>
    <w:p w:rsidR="0021352B" w:rsidRPr="00840511" w:rsidP="0021352B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1019" w:rsidRPr="00840511" w:rsidP="0021352B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511" w:rsidR="00A20709">
        <w:rPr>
          <w:rFonts w:ascii="Times New Roman" w:hAnsi="Times New Roman"/>
          <w:sz w:val="24"/>
          <w:szCs w:val="24"/>
        </w:rPr>
        <w:t>„</w:t>
      </w:r>
      <w:r w:rsidRPr="00840511" w:rsidR="003E0611">
        <w:rPr>
          <w:rFonts w:ascii="Times New Roman" w:hAnsi="Times New Roman"/>
          <w:sz w:val="24"/>
          <w:szCs w:val="24"/>
        </w:rPr>
        <w:t xml:space="preserve">(4) </w:t>
      </w:r>
      <w:r w:rsidRPr="00840511" w:rsidR="00AB7A54">
        <w:rPr>
          <w:rFonts w:ascii="Times New Roman" w:hAnsi="Times New Roman"/>
          <w:sz w:val="24"/>
          <w:szCs w:val="24"/>
        </w:rPr>
        <w:t xml:space="preserve">Povinnosti podľa § 6 ods. 1 je vlastník </w:t>
      </w:r>
      <w:r w:rsidRPr="00840511" w:rsidR="00954516">
        <w:rPr>
          <w:rFonts w:ascii="Times New Roman" w:hAnsi="Times New Roman"/>
          <w:sz w:val="24"/>
          <w:szCs w:val="24"/>
        </w:rPr>
        <w:t xml:space="preserve">veľkej budovy </w:t>
      </w:r>
      <w:r w:rsidRPr="00840511" w:rsidR="00AB7A54">
        <w:rPr>
          <w:rFonts w:ascii="Times New Roman" w:hAnsi="Times New Roman"/>
          <w:sz w:val="24"/>
          <w:szCs w:val="24"/>
        </w:rPr>
        <w:t>alebo správca veľkej budovy</w:t>
      </w:r>
      <w:r w:rsidRPr="00840511" w:rsidR="00954516">
        <w:rPr>
          <w:rFonts w:ascii="Times New Roman" w:hAnsi="Times New Roman"/>
          <w:sz w:val="24"/>
          <w:szCs w:val="24"/>
        </w:rPr>
        <w:t xml:space="preserve"> podľa § 6 ods. 2</w:t>
      </w:r>
      <w:r w:rsidRPr="00840511" w:rsidR="007835E8">
        <w:rPr>
          <w:rFonts w:ascii="Times New Roman" w:hAnsi="Times New Roman"/>
          <w:sz w:val="24"/>
          <w:szCs w:val="24"/>
        </w:rPr>
        <w:t xml:space="preserve"> </w:t>
      </w:r>
      <w:r w:rsidRPr="00840511" w:rsidR="00AB7A54">
        <w:rPr>
          <w:rFonts w:ascii="Times New Roman" w:hAnsi="Times New Roman"/>
          <w:sz w:val="24"/>
          <w:szCs w:val="24"/>
        </w:rPr>
        <w:t xml:space="preserve">povinný splniť do 31. decembra 2015. </w:t>
      </w:r>
      <w:r w:rsidRPr="00840511" w:rsidR="00D9175A">
        <w:rPr>
          <w:rFonts w:ascii="Times New Roman" w:hAnsi="Times New Roman"/>
          <w:sz w:val="24"/>
          <w:szCs w:val="24"/>
        </w:rPr>
        <w:t>Ak</w:t>
      </w:r>
      <w:r w:rsidRPr="00840511" w:rsidR="004B066A">
        <w:rPr>
          <w:rFonts w:ascii="Times New Roman" w:hAnsi="Times New Roman"/>
          <w:sz w:val="24"/>
          <w:szCs w:val="24"/>
        </w:rPr>
        <w:t xml:space="preserve"> v</w:t>
      </w:r>
      <w:r w:rsidRPr="00840511" w:rsidR="00D9175A">
        <w:rPr>
          <w:rFonts w:ascii="Times New Roman" w:hAnsi="Times New Roman"/>
          <w:sz w:val="24"/>
          <w:szCs w:val="24"/>
        </w:rPr>
        <w:t xml:space="preserve">lastník </w:t>
      </w:r>
      <w:r w:rsidRPr="00840511" w:rsidR="00954516">
        <w:rPr>
          <w:rFonts w:ascii="Times New Roman" w:hAnsi="Times New Roman"/>
          <w:sz w:val="24"/>
          <w:szCs w:val="24"/>
        </w:rPr>
        <w:t xml:space="preserve">veľkej budovy </w:t>
      </w:r>
      <w:r w:rsidRPr="00840511" w:rsidR="002E14E5">
        <w:rPr>
          <w:rFonts w:ascii="Times New Roman" w:hAnsi="Times New Roman"/>
          <w:sz w:val="24"/>
          <w:szCs w:val="24"/>
        </w:rPr>
        <w:t xml:space="preserve">alebo správca </w:t>
      </w:r>
      <w:r w:rsidRPr="00840511" w:rsidR="00D9175A">
        <w:rPr>
          <w:rFonts w:ascii="Times New Roman" w:hAnsi="Times New Roman"/>
          <w:sz w:val="24"/>
          <w:szCs w:val="24"/>
        </w:rPr>
        <w:t xml:space="preserve">veľkej budovy </w:t>
      </w:r>
      <w:r w:rsidRPr="00840511" w:rsidR="00954516">
        <w:rPr>
          <w:rFonts w:ascii="Times New Roman" w:hAnsi="Times New Roman"/>
          <w:sz w:val="24"/>
          <w:szCs w:val="24"/>
        </w:rPr>
        <w:t xml:space="preserve">podľa § 6 ods. 2 </w:t>
      </w:r>
      <w:r w:rsidRPr="00840511" w:rsidR="00AB7A54">
        <w:rPr>
          <w:rFonts w:ascii="Times New Roman" w:hAnsi="Times New Roman"/>
          <w:sz w:val="24"/>
          <w:szCs w:val="24"/>
        </w:rPr>
        <w:t xml:space="preserve">realizuje projekt opatrení na dosiahnutie efektívnosti pri používaní energie vo väčšom rozsahu, ako ustanovuje tento zákon alebo </w:t>
      </w:r>
      <w:r w:rsidRPr="00840511" w:rsidR="00954516">
        <w:rPr>
          <w:rFonts w:ascii="Times New Roman" w:hAnsi="Times New Roman"/>
          <w:sz w:val="24"/>
          <w:szCs w:val="24"/>
        </w:rPr>
        <w:t>vymení</w:t>
      </w:r>
      <w:r w:rsidRPr="00840511" w:rsidR="00AB7A54">
        <w:rPr>
          <w:rFonts w:ascii="Times New Roman" w:hAnsi="Times New Roman"/>
          <w:sz w:val="24"/>
          <w:szCs w:val="24"/>
        </w:rPr>
        <w:t xml:space="preserve"> rozvody tepla a </w:t>
      </w:r>
      <w:r w:rsidRPr="00840511">
        <w:rPr>
          <w:rFonts w:ascii="Times New Roman" w:hAnsi="Times New Roman"/>
          <w:sz w:val="24"/>
          <w:szCs w:val="24"/>
        </w:rPr>
        <w:t>teplej vody po dobe životnosti</w:t>
      </w:r>
      <w:r w:rsidRPr="00840511" w:rsidR="00D9175A">
        <w:rPr>
          <w:rFonts w:ascii="Times New Roman" w:hAnsi="Times New Roman"/>
          <w:sz w:val="24"/>
          <w:szCs w:val="24"/>
        </w:rPr>
        <w:t>, je povinný splniť povinnosti podľa § 6 ods. 1 do 31. decembra 2017.</w:t>
      </w:r>
      <w:r w:rsidRPr="00840511">
        <w:rPr>
          <w:rFonts w:ascii="Times New Roman" w:hAnsi="Times New Roman"/>
          <w:sz w:val="24"/>
          <w:szCs w:val="24"/>
        </w:rPr>
        <w:t>“.</w:t>
      </w:r>
    </w:p>
    <w:p w:rsidR="00743501" w:rsidRPr="00840511" w:rsidP="00747BA3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743501" w:rsidRPr="00840511" w:rsidP="00886A0A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V § 18 sa slová „akty Európskych spoločenstiev a“ nahrádzajú slovami „záväzné akty“.</w:t>
      </w:r>
    </w:p>
    <w:p w:rsidR="00006180" w:rsidRPr="00840511" w:rsidP="0000618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006180" w:rsidRPr="00840511" w:rsidP="00006180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V prílohe č. 2 nadpis znie</w:t>
      </w:r>
      <w:r w:rsidRPr="00840511" w:rsidR="00840511">
        <w:rPr>
          <w:rFonts w:ascii="Times New Roman" w:hAnsi="Times New Roman"/>
          <w:sz w:val="24"/>
          <w:szCs w:val="24"/>
        </w:rPr>
        <w:t>:</w:t>
      </w:r>
      <w:r w:rsidRPr="00840511">
        <w:rPr>
          <w:rFonts w:ascii="Times New Roman" w:hAnsi="Times New Roman"/>
          <w:sz w:val="24"/>
          <w:szCs w:val="24"/>
        </w:rPr>
        <w:t xml:space="preserve"> „Zoznam preberaných právne záväzných aktov Európskej únie“.</w:t>
      </w:r>
    </w:p>
    <w:p w:rsidR="00CD246E" w:rsidRPr="00840511" w:rsidP="00CD246E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D246E" w:rsidRPr="00840511" w:rsidP="0021352B">
      <w:pPr>
        <w:pStyle w:val="ListParagraph"/>
        <w:numPr>
          <w:numId w:val="3"/>
        </w:numPr>
        <w:bidi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V prílohe č. 2 sa za slová „Rady 93/76/EHS (Ú. v. EÚ L 114, 27. 4. 2006)“ vkladajú slová „v znení nariadenia (ES) č. 1137/2008</w:t>
      </w:r>
      <w:r w:rsidRPr="00840511" w:rsidR="00A421C8">
        <w:rPr>
          <w:rFonts w:ascii="Times New Roman" w:hAnsi="Times New Roman"/>
          <w:sz w:val="24"/>
          <w:szCs w:val="24"/>
        </w:rPr>
        <w:t xml:space="preserve"> (Ú. v. EÚ L 311, 21.11.2008)</w:t>
      </w:r>
      <w:r w:rsidRPr="00840511" w:rsidR="00FC65B7">
        <w:rPr>
          <w:rFonts w:ascii="Times New Roman" w:hAnsi="Times New Roman"/>
          <w:sz w:val="24"/>
          <w:szCs w:val="24"/>
        </w:rPr>
        <w:t>“</w:t>
      </w:r>
      <w:r w:rsidRPr="00840511">
        <w:rPr>
          <w:rFonts w:ascii="Times New Roman" w:hAnsi="Times New Roman"/>
          <w:sz w:val="24"/>
          <w:szCs w:val="24"/>
        </w:rPr>
        <w:t>.</w:t>
      </w:r>
    </w:p>
    <w:p w:rsidR="00225553" w:rsidRPr="00840511" w:rsidP="0036669D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C0DD0" w:rsidRP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3E15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511" w:rsidR="00225553">
        <w:rPr>
          <w:rFonts w:ascii="Times New Roman" w:hAnsi="Times New Roman"/>
          <w:b/>
          <w:bCs/>
          <w:sz w:val="24"/>
          <w:szCs w:val="24"/>
        </w:rPr>
        <w:t>Čl. II</w:t>
      </w:r>
    </w:p>
    <w:p w:rsid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0511" w:rsidRP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553" w:rsidRPr="00840511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465D" w:rsidRPr="00840511" w:rsidP="00B751EB">
      <w:pPr>
        <w:pStyle w:val="ListParagraph"/>
        <w:bidi w:val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840511" w:rsidR="00225553">
        <w:rPr>
          <w:rFonts w:ascii="Times New Roman" w:hAnsi="Times New Roman"/>
          <w:bCs/>
          <w:sz w:val="24"/>
          <w:szCs w:val="24"/>
        </w:rPr>
        <w:t>Tento zákon nadobúda účinnosť</w:t>
      </w:r>
      <w:r w:rsidRPr="00840511" w:rsidR="00ED1708">
        <w:rPr>
          <w:rFonts w:ascii="Times New Roman" w:hAnsi="Times New Roman"/>
          <w:bCs/>
          <w:sz w:val="24"/>
          <w:szCs w:val="24"/>
        </w:rPr>
        <w:t xml:space="preserve"> </w:t>
      </w:r>
      <w:r w:rsidRPr="00840511" w:rsidR="00C12790">
        <w:rPr>
          <w:rFonts w:ascii="Times New Roman" w:hAnsi="Times New Roman"/>
          <w:bCs/>
          <w:sz w:val="24"/>
          <w:szCs w:val="24"/>
        </w:rPr>
        <w:t>1</w:t>
      </w:r>
      <w:r w:rsidRPr="00840511" w:rsidR="00FC0DD0">
        <w:rPr>
          <w:rFonts w:ascii="Times New Roman" w:hAnsi="Times New Roman"/>
          <w:bCs/>
          <w:sz w:val="24"/>
          <w:szCs w:val="24"/>
        </w:rPr>
        <w:t xml:space="preserve">. </w:t>
      </w:r>
      <w:r w:rsidRPr="00840511" w:rsidR="00840511">
        <w:rPr>
          <w:rFonts w:ascii="Times New Roman" w:hAnsi="Times New Roman"/>
          <w:bCs/>
          <w:sz w:val="24"/>
          <w:szCs w:val="24"/>
        </w:rPr>
        <w:t>júna</w:t>
      </w:r>
      <w:r w:rsidRPr="00840511" w:rsidR="00FC0DD0">
        <w:rPr>
          <w:rFonts w:ascii="Times New Roman" w:hAnsi="Times New Roman"/>
          <w:bCs/>
          <w:sz w:val="24"/>
          <w:szCs w:val="24"/>
        </w:rPr>
        <w:t xml:space="preserve"> 201</w:t>
      </w:r>
      <w:r w:rsidRPr="00840511" w:rsidR="00C12790">
        <w:rPr>
          <w:rFonts w:ascii="Times New Roman" w:hAnsi="Times New Roman"/>
          <w:bCs/>
          <w:sz w:val="24"/>
          <w:szCs w:val="24"/>
        </w:rPr>
        <w:t>3</w:t>
      </w:r>
      <w:r w:rsidRPr="00840511" w:rsidR="0051592F">
        <w:rPr>
          <w:rFonts w:ascii="Times New Roman" w:hAnsi="Times New Roman"/>
          <w:bCs/>
          <w:sz w:val="24"/>
          <w:szCs w:val="24"/>
        </w:rPr>
        <w:t>.</w:t>
      </w:r>
    </w:p>
    <w:p w:rsidR="00840511" w:rsidRPr="00840511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840511" w:rsidRPr="00840511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840511" w:rsidRPr="00840511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840511" w:rsidRPr="00840511" w:rsidP="00840511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840511" w:rsidRPr="00840511" w:rsidP="00840511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840511" w:rsidRPr="00840511" w:rsidP="00840511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840511" w:rsidRPr="00840511" w:rsidP="00840511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840511" w:rsidRPr="00840511" w:rsidP="00840511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840511" w:rsidRPr="00840511" w:rsidP="0084051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prezident Slovenskej republiky</w:t>
      </w:r>
    </w:p>
    <w:p w:rsidR="00840511" w:rsidRPr="00840511" w:rsidP="00840511">
      <w:pPr>
        <w:bidi w:val="0"/>
        <w:rPr>
          <w:rFonts w:ascii="Times New Roman" w:hAnsi="Times New Roman"/>
          <w:sz w:val="24"/>
          <w:szCs w:val="24"/>
        </w:rPr>
      </w:pPr>
    </w:p>
    <w:p w:rsidR="00840511" w:rsidRPr="00840511" w:rsidP="0084051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40511" w:rsidRPr="00840511" w:rsidP="0084051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40511" w:rsidRPr="00840511" w:rsidP="0084051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40511" w:rsidRPr="00840511" w:rsidP="0084051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predseda Národnej rady Slovenskej republiky</w:t>
      </w:r>
    </w:p>
    <w:p w:rsidR="00840511" w:rsidRPr="00840511" w:rsidP="0084051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40511" w:rsidRPr="00840511" w:rsidP="0084051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40511" w:rsidRPr="00840511" w:rsidP="0084051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40511" w:rsidRPr="00840511" w:rsidP="0084051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40511" w:rsidRPr="00840511" w:rsidP="0084051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0511">
        <w:rPr>
          <w:rFonts w:ascii="Times New Roman" w:hAnsi="Times New Roman"/>
          <w:sz w:val="24"/>
          <w:szCs w:val="24"/>
        </w:rPr>
        <w:t>predseda vlády Slovenskej republiky</w:t>
      </w:r>
    </w:p>
    <w:p w:rsidR="00840511" w:rsidRPr="00840511" w:rsidP="00840511">
      <w:pPr>
        <w:bidi w:val="0"/>
        <w:rPr>
          <w:rFonts w:ascii="Times New Roman" w:hAnsi="Times New Roman"/>
          <w:sz w:val="24"/>
          <w:szCs w:val="24"/>
        </w:rPr>
      </w:pPr>
    </w:p>
    <w:p w:rsidR="00840511" w:rsidRPr="00840511" w:rsidP="00840511">
      <w:pPr>
        <w:bidi w:val="0"/>
        <w:rPr>
          <w:rFonts w:ascii="Times New Roman" w:hAnsi="Times New Roman"/>
          <w:sz w:val="24"/>
          <w:szCs w:val="24"/>
        </w:rPr>
      </w:pPr>
    </w:p>
    <w:p w:rsidR="00840511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D0D98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D0D98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D0D98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D0D98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D0D98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D0D98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D0D98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D0D98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D0D98" w:rsidP="00FD0D98">
      <w:pPr>
        <w:pStyle w:val="ListParagraph"/>
        <w:bidi w:val="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FD0D98" w:rsidP="00FD0D98">
      <w:pPr>
        <w:pStyle w:val="ListParagraph"/>
        <w:bidi w:val="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sectPr w:rsidSect="0021352B">
      <w:footerReference w:type="default" r:id="rId4"/>
      <w:pgSz w:w="11906" w:h="16838"/>
      <w:pgMar w:top="1304" w:right="1361" w:bottom="1361" w:left="136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11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FD0D98">
      <w:rPr>
        <w:noProof/>
      </w:rPr>
      <w:t>4</w:t>
    </w:r>
    <w:r>
      <w:fldChar w:fldCharType="end"/>
    </w:r>
  </w:p>
  <w:p w:rsidR="0084051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FA4"/>
    <w:multiLevelType w:val="hybridMultilevel"/>
    <w:tmpl w:val="3600E5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982A2B"/>
    <w:multiLevelType w:val="hybridMultilevel"/>
    <w:tmpl w:val="603E86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67E4A0C"/>
    <w:multiLevelType w:val="hybridMultilevel"/>
    <w:tmpl w:val="E9585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DB56C4"/>
    <w:multiLevelType w:val="hybridMultilevel"/>
    <w:tmpl w:val="91F63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A442645"/>
    <w:multiLevelType w:val="hybridMultilevel"/>
    <w:tmpl w:val="E0827D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3465D"/>
    <w:rsid w:val="00000C6D"/>
    <w:rsid w:val="0000187A"/>
    <w:rsid w:val="00006180"/>
    <w:rsid w:val="00017D7F"/>
    <w:rsid w:val="000302C6"/>
    <w:rsid w:val="00081019"/>
    <w:rsid w:val="000C33C4"/>
    <w:rsid w:val="000D0FC8"/>
    <w:rsid w:val="00101EFE"/>
    <w:rsid w:val="001172AC"/>
    <w:rsid w:val="001174A3"/>
    <w:rsid w:val="0013465D"/>
    <w:rsid w:val="001509BC"/>
    <w:rsid w:val="00162DA7"/>
    <w:rsid w:val="00185D1E"/>
    <w:rsid w:val="001913C4"/>
    <w:rsid w:val="001A2744"/>
    <w:rsid w:val="001B3A1C"/>
    <w:rsid w:val="001B5017"/>
    <w:rsid w:val="001B65BC"/>
    <w:rsid w:val="001C6CA1"/>
    <w:rsid w:val="0021352B"/>
    <w:rsid w:val="00225553"/>
    <w:rsid w:val="0023554D"/>
    <w:rsid w:val="002358C3"/>
    <w:rsid w:val="0026195E"/>
    <w:rsid w:val="002C5696"/>
    <w:rsid w:val="002E14E5"/>
    <w:rsid w:val="002E48DC"/>
    <w:rsid w:val="00312792"/>
    <w:rsid w:val="00315AFE"/>
    <w:rsid w:val="003200BE"/>
    <w:rsid w:val="003262BB"/>
    <w:rsid w:val="003502ED"/>
    <w:rsid w:val="00354F6B"/>
    <w:rsid w:val="0036669D"/>
    <w:rsid w:val="00383F56"/>
    <w:rsid w:val="003979B8"/>
    <w:rsid w:val="003A1655"/>
    <w:rsid w:val="003B1687"/>
    <w:rsid w:val="003E0611"/>
    <w:rsid w:val="004310FA"/>
    <w:rsid w:val="004657DB"/>
    <w:rsid w:val="00492CA8"/>
    <w:rsid w:val="004962FF"/>
    <w:rsid w:val="004975F0"/>
    <w:rsid w:val="004A1CFD"/>
    <w:rsid w:val="004A3660"/>
    <w:rsid w:val="004B066A"/>
    <w:rsid w:val="004B2FF7"/>
    <w:rsid w:val="004C473D"/>
    <w:rsid w:val="004E0BC0"/>
    <w:rsid w:val="004F4927"/>
    <w:rsid w:val="00501E17"/>
    <w:rsid w:val="0051592F"/>
    <w:rsid w:val="00540AB4"/>
    <w:rsid w:val="005918FB"/>
    <w:rsid w:val="005A012D"/>
    <w:rsid w:val="005A5080"/>
    <w:rsid w:val="005B3264"/>
    <w:rsid w:val="005B34A0"/>
    <w:rsid w:val="005B668A"/>
    <w:rsid w:val="005B6CD0"/>
    <w:rsid w:val="005C7F43"/>
    <w:rsid w:val="005D2EF5"/>
    <w:rsid w:val="00631D23"/>
    <w:rsid w:val="00654792"/>
    <w:rsid w:val="00661E36"/>
    <w:rsid w:val="006672A0"/>
    <w:rsid w:val="00705331"/>
    <w:rsid w:val="00713298"/>
    <w:rsid w:val="0071633A"/>
    <w:rsid w:val="00743501"/>
    <w:rsid w:val="00747BA3"/>
    <w:rsid w:val="007536A8"/>
    <w:rsid w:val="007835E8"/>
    <w:rsid w:val="00795813"/>
    <w:rsid w:val="007D7426"/>
    <w:rsid w:val="007E63AB"/>
    <w:rsid w:val="007E6A44"/>
    <w:rsid w:val="007F0738"/>
    <w:rsid w:val="00823CD6"/>
    <w:rsid w:val="00840511"/>
    <w:rsid w:val="00855102"/>
    <w:rsid w:val="0086592E"/>
    <w:rsid w:val="00886A0A"/>
    <w:rsid w:val="008A5EF7"/>
    <w:rsid w:val="008F69C7"/>
    <w:rsid w:val="0090128A"/>
    <w:rsid w:val="0091488F"/>
    <w:rsid w:val="00931074"/>
    <w:rsid w:val="00954516"/>
    <w:rsid w:val="009A4EB9"/>
    <w:rsid w:val="009E33CB"/>
    <w:rsid w:val="009F1135"/>
    <w:rsid w:val="00A01ED4"/>
    <w:rsid w:val="00A052A2"/>
    <w:rsid w:val="00A20709"/>
    <w:rsid w:val="00A421C8"/>
    <w:rsid w:val="00A433C6"/>
    <w:rsid w:val="00A54B8B"/>
    <w:rsid w:val="00A57F57"/>
    <w:rsid w:val="00A856F2"/>
    <w:rsid w:val="00A876E1"/>
    <w:rsid w:val="00A927D1"/>
    <w:rsid w:val="00A9487F"/>
    <w:rsid w:val="00A949DE"/>
    <w:rsid w:val="00AA0321"/>
    <w:rsid w:val="00AA1860"/>
    <w:rsid w:val="00AA3009"/>
    <w:rsid w:val="00AA413D"/>
    <w:rsid w:val="00AA76E6"/>
    <w:rsid w:val="00AB3E15"/>
    <w:rsid w:val="00AB7A54"/>
    <w:rsid w:val="00AC2E05"/>
    <w:rsid w:val="00AD2917"/>
    <w:rsid w:val="00B17512"/>
    <w:rsid w:val="00B40F81"/>
    <w:rsid w:val="00B62854"/>
    <w:rsid w:val="00B751EB"/>
    <w:rsid w:val="00B7696E"/>
    <w:rsid w:val="00B773E1"/>
    <w:rsid w:val="00B80F40"/>
    <w:rsid w:val="00B9338C"/>
    <w:rsid w:val="00BB24E9"/>
    <w:rsid w:val="00BB2EE0"/>
    <w:rsid w:val="00C12790"/>
    <w:rsid w:val="00C12B00"/>
    <w:rsid w:val="00C3674B"/>
    <w:rsid w:val="00C41332"/>
    <w:rsid w:val="00C41599"/>
    <w:rsid w:val="00C607B5"/>
    <w:rsid w:val="00C65D27"/>
    <w:rsid w:val="00C72CF3"/>
    <w:rsid w:val="00C82FF9"/>
    <w:rsid w:val="00CA68A9"/>
    <w:rsid w:val="00CD246E"/>
    <w:rsid w:val="00CD683C"/>
    <w:rsid w:val="00CF0FB9"/>
    <w:rsid w:val="00D3089A"/>
    <w:rsid w:val="00D54918"/>
    <w:rsid w:val="00D83B4B"/>
    <w:rsid w:val="00D901B8"/>
    <w:rsid w:val="00D9175A"/>
    <w:rsid w:val="00DA33DC"/>
    <w:rsid w:val="00DB17D7"/>
    <w:rsid w:val="00DB2891"/>
    <w:rsid w:val="00DD1C57"/>
    <w:rsid w:val="00DD3D12"/>
    <w:rsid w:val="00DE7FE0"/>
    <w:rsid w:val="00E40E2C"/>
    <w:rsid w:val="00E67FDA"/>
    <w:rsid w:val="00E83CD5"/>
    <w:rsid w:val="00EA1BD4"/>
    <w:rsid w:val="00EA2816"/>
    <w:rsid w:val="00EB78A6"/>
    <w:rsid w:val="00ED1708"/>
    <w:rsid w:val="00EF06F9"/>
    <w:rsid w:val="00F2495F"/>
    <w:rsid w:val="00F24A9F"/>
    <w:rsid w:val="00F56FE0"/>
    <w:rsid w:val="00F62C83"/>
    <w:rsid w:val="00F93804"/>
    <w:rsid w:val="00FB6F97"/>
    <w:rsid w:val="00FC0DD0"/>
    <w:rsid w:val="00FC2C3D"/>
    <w:rsid w:val="00FC65B7"/>
    <w:rsid w:val="00FD0D98"/>
    <w:rsid w:val="00FD41EF"/>
    <w:rsid w:val="00FF77C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23554D"/>
    <w:pPr>
      <w:keepNext/>
      <w:spacing w:before="240" w:after="6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3554D"/>
    <w:rPr>
      <w:rFonts w:ascii="Cambria" w:hAnsi="Cambria" w:cs="Times New Roman"/>
      <w:b/>
      <w:i/>
      <w:sz w:val="28"/>
      <w:rtl w:val="0"/>
      <w:cs w:val="0"/>
    </w:rPr>
  </w:style>
  <w:style w:type="paragraph" w:styleId="ListParagraph">
    <w:name w:val="List Paragraph"/>
    <w:basedOn w:val="Normal"/>
    <w:uiPriority w:val="34"/>
    <w:qFormat/>
    <w:rsid w:val="00DA33DC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A5EF7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A5EF7"/>
    <w:rPr>
      <w:rFonts w:ascii="Tahoma" w:hAnsi="Tahoma" w:cs="Times New Roman"/>
      <w:sz w:val="16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76E6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A76E6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A76E6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A76E6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A76E6"/>
    <w:rPr>
      <w:b/>
    </w:rPr>
  </w:style>
  <w:style w:type="paragraph" w:customStyle="1" w:styleId="F3-Odsek">
    <w:name w:val="F3-Odsek"/>
    <w:basedOn w:val="Normal"/>
    <w:rsid w:val="00840511"/>
    <w:pPr>
      <w:spacing w:before="240" w:after="0" w:line="240" w:lineRule="auto"/>
      <w:ind w:firstLine="709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84051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0511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84051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0511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5</Pages>
  <Words>749</Words>
  <Characters>4275</Characters>
  <Application>Microsoft Office Word</Application>
  <DocSecurity>0</DocSecurity>
  <Lines>0</Lines>
  <Paragraphs>0</Paragraphs>
  <ScaleCrop>false</ScaleCrop>
  <Company>MH SR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DCH</dc:creator>
  <cp:lastModifiedBy>Hircová, Ružena</cp:lastModifiedBy>
  <cp:revision>7</cp:revision>
  <cp:lastPrinted>2013-03-19T10:49:00Z</cp:lastPrinted>
  <dcterms:created xsi:type="dcterms:W3CDTF">2013-03-19T10:21:00Z</dcterms:created>
  <dcterms:modified xsi:type="dcterms:W3CDTF">2013-03-19T10:51:00Z</dcterms:modified>
</cp:coreProperties>
</file>