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D425DB">
        <w:t>67</w:t>
      </w:r>
      <w:r w:rsidRPr="009F0EF1" w:rsidR="000C3652">
        <w:t>/20</w:t>
      </w:r>
      <w:r w:rsidRPr="009F0EF1" w:rsidR="00884628">
        <w:t>1</w:t>
      </w:r>
      <w:r w:rsidR="00D425DB">
        <w:t>3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D425DB">
        <w:rPr>
          <w:b/>
          <w:bCs/>
          <w:sz w:val="32"/>
          <w:szCs w:val="32"/>
        </w:rPr>
        <w:t>340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392540" w:rsidR="00CE169B">
        <w:t xml:space="preserve">vládneho návrhu </w:t>
      </w:r>
      <w:r w:rsidRPr="00D425DB" w:rsidR="00D425DB">
        <w:rPr>
          <w:szCs w:val="22"/>
        </w:rPr>
        <w:t xml:space="preserve">zákona, </w:t>
      </w:r>
      <w:r w:rsidRPr="00D425DB" w:rsidR="00D425DB">
        <w:rPr>
          <w:noProof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</w:t>
      </w:r>
      <w:r w:rsidRPr="009601BB" w:rsidR="00D425DB">
        <w:rPr>
          <w:noProof/>
        </w:rPr>
        <w:t xml:space="preserve"> </w:t>
      </w:r>
      <w:r w:rsidRPr="009601BB" w:rsidR="00D425DB">
        <w:t xml:space="preserve">(tlač </w:t>
      </w:r>
      <w:r w:rsidRPr="009601BB" w:rsidR="00D425DB">
        <w:rPr>
          <w:b/>
        </w:rPr>
        <w:t>340</w:t>
      </w:r>
      <w:r w:rsidRPr="009601BB" w:rsidR="00D425DB"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392540" w:rsidR="00CE169B">
        <w:t>vládne</w:t>
      </w:r>
      <w:r w:rsidR="00CE169B">
        <w:t>mu</w:t>
      </w:r>
      <w:r w:rsidRPr="00392540" w:rsidR="00CE169B">
        <w:t xml:space="preserve"> návrhu </w:t>
      </w:r>
      <w:r w:rsidRPr="00D425DB" w:rsidR="00D425DB">
        <w:rPr>
          <w:szCs w:val="22"/>
        </w:rPr>
        <w:t xml:space="preserve">zákona, </w:t>
      </w:r>
      <w:r w:rsidRPr="00D425DB" w:rsidR="00D425DB">
        <w:rPr>
          <w:noProof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</w:t>
      </w:r>
      <w:r w:rsidRPr="009601BB" w:rsidR="00D425DB">
        <w:rPr>
          <w:noProof/>
        </w:rPr>
        <w:t xml:space="preserve"> </w:t>
      </w:r>
      <w:r w:rsidRPr="009601BB" w:rsidR="00D425DB">
        <w:t xml:space="preserve">(tlač </w:t>
      </w:r>
      <w:r w:rsidRPr="009601BB" w:rsidR="00D425DB">
        <w:rPr>
          <w:b/>
        </w:rPr>
        <w:t>340</w:t>
      </w:r>
      <w:r w:rsidRPr="009601BB" w:rsidR="00D425DB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 xml:space="preserve"> </w:t>
      </w:r>
      <w:r w:rsidR="00401C7E">
        <w:t>29</w:t>
      </w:r>
      <w:r w:rsidRPr="009F0EF1" w:rsidR="00CD0504">
        <w:t xml:space="preserve">. </w:t>
      </w:r>
      <w:r w:rsidR="008C11DE">
        <w:t>januára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8C11DE">
        <w:t>3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401C7E">
        <w:t>40</w:t>
      </w:r>
      <w:r w:rsidR="00260BA4">
        <w:t>5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  <w:r w:rsidR="00401C7E">
        <w:t xml:space="preserve"> a</w:t>
      </w:r>
    </w:p>
    <w:p w:rsidR="003B1512" w:rsidRPr="009F0EF1" w:rsidP="00401C7E">
      <w:pPr>
        <w:tabs>
          <w:tab w:val="left" w:pos="1080"/>
        </w:tabs>
        <w:bidi w:val="0"/>
        <w:ind w:left="1080"/>
        <w:jc w:val="both"/>
      </w:pPr>
      <w:r w:rsidRPr="009F0EF1" w:rsidR="008C11DE">
        <w:t xml:space="preserve">Výboru Národnej rady Slovenskej republiky pre </w:t>
      </w:r>
      <w:r w:rsidR="00401C7E">
        <w:t>hospodárske záležitosti.</w:t>
      </w:r>
      <w:r w:rsidR="003F3369">
        <w:t xml:space="preserve">   </w:t>
      </w:r>
      <w:r w:rsidRPr="009F0EF1">
        <w:tab/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990B84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5F5F77" w:rsidRPr="009F0EF1">
      <w:pPr>
        <w:bidi w:val="0"/>
        <w:jc w:val="center"/>
        <w:rPr>
          <w:b/>
          <w:bCs/>
        </w:rPr>
      </w:pP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69691D" w:rsidRPr="000A2132" w:rsidP="00E62CB4">
      <w:pPr>
        <w:numPr>
          <w:numId w:val="10"/>
        </w:numPr>
        <w:bidi w:val="0"/>
        <w:jc w:val="both"/>
        <w:rPr>
          <w:bCs/>
        </w:rPr>
      </w:pPr>
      <w:r w:rsidRPr="003275A3">
        <w:t xml:space="preserve">Ústavnoprávny výbor Národnej rady Slovenskej republiky </w:t>
      </w:r>
      <w:r w:rsidRPr="003275A3">
        <w:rPr>
          <w:bCs/>
        </w:rPr>
        <w:t xml:space="preserve">uznesením z </w:t>
      </w:r>
      <w:r w:rsidR="00E62CB4">
        <w:rPr>
          <w:bCs/>
        </w:rPr>
        <w:t>26</w:t>
      </w:r>
      <w:r w:rsidRPr="003275A3">
        <w:rPr>
          <w:bCs/>
        </w:rPr>
        <w:t xml:space="preserve">. </w:t>
      </w:r>
      <w:r w:rsidR="00E62CB4">
        <w:rPr>
          <w:bCs/>
        </w:rPr>
        <w:t>februára</w:t>
      </w:r>
      <w:r w:rsidRPr="003275A3">
        <w:rPr>
          <w:bCs/>
        </w:rPr>
        <w:t xml:space="preserve"> 201</w:t>
      </w:r>
      <w:r w:rsidR="00E62CB4">
        <w:rPr>
          <w:bCs/>
        </w:rPr>
        <w:t>3</w:t>
      </w:r>
      <w:r w:rsidRPr="003275A3">
        <w:rPr>
          <w:bCs/>
        </w:rPr>
        <w:t xml:space="preserve"> </w:t>
      </w:r>
      <w:r w:rsidRPr="00C536C5">
        <w:rPr>
          <w:bCs/>
        </w:rPr>
        <w:t>č. </w:t>
      </w:r>
      <w:r w:rsidR="00260BA4">
        <w:rPr>
          <w:bCs/>
        </w:rPr>
        <w:t>178</w:t>
      </w:r>
      <w:r>
        <w:rPr>
          <w:bCs/>
        </w:rPr>
        <w:t>.</w:t>
      </w:r>
    </w:p>
    <w:p w:rsidR="0069691D" w:rsidRPr="00D33873" w:rsidP="00E62CB4">
      <w:pPr>
        <w:numPr>
          <w:numId w:val="10"/>
        </w:numPr>
        <w:bidi w:val="0"/>
        <w:jc w:val="both"/>
      </w:pPr>
      <w:r w:rsidRPr="003274EA">
        <w:rPr>
          <w:lang w:eastAsia="cs-CZ"/>
        </w:rPr>
        <w:t xml:space="preserve">Výbor NR SR pre hospodárske záležitosti </w:t>
      </w:r>
      <w:r w:rsidRPr="003275A3" w:rsidR="00E62CB4">
        <w:rPr>
          <w:bCs/>
        </w:rPr>
        <w:t xml:space="preserve">uznesením z </w:t>
      </w:r>
      <w:r w:rsidRPr="00E62CB4" w:rsidR="00E62CB4">
        <w:rPr>
          <w:bCs/>
        </w:rPr>
        <w:t xml:space="preserve">5. </w:t>
      </w:r>
      <w:r w:rsidR="00E62CB4">
        <w:rPr>
          <w:bCs/>
        </w:rPr>
        <w:t>marca</w:t>
      </w:r>
      <w:r w:rsidRPr="00E62CB4" w:rsidR="00E62CB4">
        <w:rPr>
          <w:bCs/>
        </w:rPr>
        <w:t xml:space="preserve"> 2013 č. 1</w:t>
      </w:r>
      <w:r w:rsidR="00401C7E">
        <w:rPr>
          <w:bCs/>
        </w:rPr>
        <w:t>2</w:t>
      </w:r>
      <w:r w:rsidR="00260BA4">
        <w:rPr>
          <w:bCs/>
        </w:rPr>
        <w:t>1</w:t>
      </w:r>
      <w:r w:rsidR="00E62CB4">
        <w:rPr>
          <w:bCs/>
        </w:rPr>
        <w:t>.</w:t>
      </w:r>
    </w:p>
    <w:p w:rsidR="00D33873" w:rsidP="00D33873">
      <w:pPr>
        <w:bidi w:val="0"/>
        <w:ind w:left="72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>
        <w:t>jú</w:t>
      </w:r>
      <w:r w:rsidRPr="00500104">
        <w:t xml:space="preserve"> nasledovn</w:t>
      </w:r>
      <w:r>
        <w:t>é</w:t>
      </w:r>
      <w:r w:rsidRPr="00500104">
        <w:t xml:space="preserve"> pozmeňujúc</w:t>
      </w:r>
      <w:r>
        <w:t>e a doplňujúce</w:t>
      </w:r>
      <w:r w:rsidRPr="00500104">
        <w:t xml:space="preserve"> návrh</w:t>
      </w:r>
      <w:r>
        <w:t>y</w:t>
      </w:r>
      <w:r w:rsidRPr="00500104">
        <w:t>:</w:t>
      </w:r>
    </w:p>
    <w:p w:rsidR="00E153C6" w:rsidP="00E62CB4">
      <w:pPr>
        <w:bidi w:val="0"/>
        <w:ind w:firstLine="567"/>
        <w:jc w:val="both"/>
        <w:rPr>
          <w:b/>
          <w:bCs/>
          <w:u w:val="single"/>
        </w:rPr>
      </w:pPr>
    </w:p>
    <w:p w:rsidR="00E41AF1" w:rsidRPr="00E41AF1" w:rsidP="00E41AF1">
      <w:pPr>
        <w:widowControl/>
        <w:numPr>
          <w:numId w:val="13"/>
        </w:numPr>
        <w:autoSpaceDE/>
        <w:autoSpaceDN/>
        <w:bidi w:val="0"/>
        <w:adjustRightInd/>
        <w:rPr>
          <w:bCs/>
          <w:u w:val="single"/>
        </w:rPr>
      </w:pPr>
      <w:r w:rsidRPr="00E41AF1">
        <w:rPr>
          <w:bCs/>
          <w:szCs w:val="28"/>
          <w:u w:val="single"/>
        </w:rPr>
        <w:t>V článku I sa vypúšťa bod 2.</w:t>
      </w:r>
    </w:p>
    <w:p w:rsidR="00E41AF1" w:rsidRPr="00E41AF1" w:rsidP="00E41AF1">
      <w:pPr>
        <w:bidi w:val="0"/>
        <w:rPr>
          <w:bCs/>
          <w:szCs w:val="28"/>
        </w:rPr>
      </w:pPr>
    </w:p>
    <w:p w:rsidR="00E41AF1" w:rsidRPr="00E41AF1" w:rsidP="00E41AF1">
      <w:pPr>
        <w:bidi w:val="0"/>
        <w:ind w:left="284" w:firstLine="436"/>
        <w:rPr>
          <w:bCs/>
        </w:rPr>
      </w:pPr>
      <w:r w:rsidRPr="00E41AF1">
        <w:rPr>
          <w:bCs/>
          <w:szCs w:val="28"/>
        </w:rPr>
        <w:t>Nasledujúce body sa primerane prečíslujú.</w:t>
      </w:r>
    </w:p>
    <w:p w:rsidR="00E41AF1" w:rsidP="00E41AF1">
      <w:pPr>
        <w:bidi w:val="0"/>
        <w:ind w:left="284"/>
        <w:rPr>
          <w:bCs/>
        </w:rPr>
      </w:pPr>
    </w:p>
    <w:p w:rsidR="008470C5" w:rsidP="008470C5">
      <w:pPr>
        <w:pStyle w:val="BodyText"/>
        <w:bidi w:val="0"/>
        <w:ind w:left="2268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Vzhľadom na pôvodnú definíciu pojmu energie v smernici Európskeho parlamentu a Rady 2006/32/EÚ z 5. apríla 2006 </w:t>
      </w:r>
      <w:r>
        <w:rPr>
          <w:rFonts w:ascii="Arial" w:hAnsi="Arial" w:cs="Arial"/>
          <w:szCs w:val="28"/>
        </w:rPr>
        <w:t xml:space="preserve">o energetickej účinnosti konečného využitia energie a energetických službách, a ktorou sa zrušuje </w:t>
      </w:r>
      <w:r>
        <w:rPr>
          <w:rFonts w:ascii="Arial" w:hAnsi="Arial" w:cs="Arial"/>
          <w:bCs/>
          <w:szCs w:val="28"/>
        </w:rPr>
        <w:t xml:space="preserve">smernica Rady 93/76/EHS, ako aj z dôvodu prehľadnosti, sa možnosť vyňatia spotreby energie </w:t>
      </w:r>
      <w:r>
        <w:rPr>
          <w:rFonts w:ascii="Arial" w:hAnsi="Arial" w:cs="Arial"/>
        </w:rPr>
        <w:t>motorového vozidla a zvláštneho motorového vozidla</w:t>
      </w:r>
      <w:r>
        <w:rPr>
          <w:rFonts w:ascii="Arial" w:hAnsi="Arial" w:cs="Arial"/>
          <w:bCs/>
          <w:szCs w:val="28"/>
        </w:rPr>
        <w:t xml:space="preserve"> vkladá do ustanovenia o energetickom audite a vypúšťa sa navrhovaná definícia pojmu energie.</w:t>
      </w:r>
    </w:p>
    <w:p w:rsidR="008470C5" w:rsidP="00E41AF1">
      <w:pPr>
        <w:bidi w:val="0"/>
        <w:ind w:left="284"/>
        <w:rPr>
          <w:bCs/>
        </w:rPr>
      </w:pPr>
    </w:p>
    <w:p w:rsidR="00E41AF1" w:rsidRPr="00500104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41AF1" w:rsidRPr="00B977A0" w:rsidP="00E41AF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41AF1" w:rsidRPr="00B977A0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41AF1" w:rsidRPr="00E41AF1" w:rsidP="00E41AF1">
      <w:pPr>
        <w:bidi w:val="0"/>
        <w:ind w:left="284"/>
        <w:rPr>
          <w:bCs/>
        </w:rPr>
      </w:pPr>
    </w:p>
    <w:p w:rsidR="00E41AF1" w:rsidRPr="00E41AF1" w:rsidP="00E41AF1">
      <w:pPr>
        <w:widowControl/>
        <w:numPr>
          <w:numId w:val="13"/>
        </w:numPr>
        <w:autoSpaceDE/>
        <w:autoSpaceDN/>
        <w:bidi w:val="0"/>
        <w:adjustRightInd/>
        <w:rPr>
          <w:bCs/>
          <w:u w:val="single"/>
        </w:rPr>
      </w:pPr>
      <w:r w:rsidRPr="00E41AF1">
        <w:rPr>
          <w:bCs/>
          <w:szCs w:val="28"/>
          <w:u w:val="single"/>
        </w:rPr>
        <w:t>V článku I sa za bod 9 vkladá nový bod 10, ktorý znie:</w:t>
      </w:r>
    </w:p>
    <w:p w:rsidR="00E41AF1" w:rsidRPr="00E41AF1" w:rsidP="00E41AF1">
      <w:pPr>
        <w:bidi w:val="0"/>
        <w:ind w:left="709"/>
        <w:rPr>
          <w:bCs/>
        </w:rPr>
      </w:pPr>
      <w:r w:rsidRPr="00E41AF1">
        <w:t>„10. V § 8 ods. 2 sa na konci pripája táto veta:</w:t>
      </w: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>„Do celkovej spotreby energie sa nezapočíta spotreba energie pre motorové vozidlo a  zvláštne motorové vozidlo.</w:t>
      </w:r>
      <w:r w:rsidRPr="00E41AF1">
        <w:rPr>
          <w:rFonts w:ascii="Arial" w:hAnsi="Arial" w:cs="Arial"/>
          <w:vertAlign w:val="superscript"/>
        </w:rPr>
        <w:t>13</w:t>
      </w:r>
      <w:r w:rsidR="00DD02C5">
        <w:rPr>
          <w:rFonts w:ascii="Arial" w:hAnsi="Arial" w:cs="Arial"/>
          <w:vertAlign w:val="superscript"/>
        </w:rPr>
        <w:t>a</w:t>
      </w:r>
      <w:r w:rsidRPr="00E41AF1">
        <w:rPr>
          <w:rFonts w:ascii="Arial" w:hAnsi="Arial" w:cs="Arial"/>
        </w:rPr>
        <w:t>)“.</w:t>
      </w: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>Poznámka pod čiarou k odkazu 13</w:t>
      </w:r>
      <w:r w:rsidR="00DD02C5">
        <w:rPr>
          <w:rFonts w:ascii="Arial" w:hAnsi="Arial" w:cs="Arial"/>
        </w:rPr>
        <w:t>a</w:t>
      </w:r>
      <w:r w:rsidRPr="00E41AF1">
        <w:rPr>
          <w:rFonts w:ascii="Arial" w:hAnsi="Arial" w:cs="Arial"/>
        </w:rPr>
        <w:t xml:space="preserve"> znie:</w:t>
      </w: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>„</w:t>
      </w:r>
      <w:r w:rsidRPr="00E41AF1">
        <w:rPr>
          <w:rFonts w:ascii="Arial" w:hAnsi="Arial" w:cs="Arial"/>
          <w:vertAlign w:val="superscript"/>
        </w:rPr>
        <w:t>13</w:t>
      </w:r>
      <w:r w:rsidR="00DD02C5">
        <w:rPr>
          <w:rFonts w:ascii="Arial" w:hAnsi="Arial" w:cs="Arial"/>
          <w:vertAlign w:val="superscript"/>
        </w:rPr>
        <w:t>a</w:t>
      </w:r>
      <w:r w:rsidRPr="00E41AF1">
        <w:rPr>
          <w:rFonts w:ascii="Arial" w:hAnsi="Arial" w:cs="Arial"/>
        </w:rPr>
        <w:t>) § 2 ods. 2 písm. l) a aa) zákona č. 8/2009 Z. z. o cestnej premávke a o zmene a doplnení niektorých zákonov v znení neskorších predpisov.“.“.</w:t>
      </w: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</w:p>
    <w:p w:rsidR="00E41AF1" w:rsidRPr="00E41AF1" w:rsidP="00E41AF1">
      <w:pPr>
        <w:bidi w:val="0"/>
        <w:ind w:left="709"/>
        <w:rPr>
          <w:bCs/>
        </w:rPr>
      </w:pPr>
      <w:r w:rsidRPr="00E41AF1">
        <w:rPr>
          <w:bCs/>
          <w:szCs w:val="28"/>
        </w:rPr>
        <w:t>Nasledujúce body sa primerane prečíslujú.</w:t>
      </w:r>
    </w:p>
    <w:p w:rsidR="00E41AF1" w:rsidRPr="00E41AF1" w:rsidP="00E41AF1">
      <w:pPr>
        <w:pStyle w:val="ListParagraph"/>
        <w:bidi w:val="0"/>
        <w:jc w:val="both"/>
        <w:rPr>
          <w:rFonts w:ascii="Arial" w:hAnsi="Arial" w:cs="Arial"/>
        </w:rPr>
      </w:pPr>
    </w:p>
    <w:p w:rsidR="00E41AF1" w:rsidRPr="00E41AF1" w:rsidP="00E41AF1">
      <w:pPr>
        <w:pStyle w:val="BodyText"/>
        <w:bidi w:val="0"/>
        <w:ind w:left="2268"/>
        <w:rPr>
          <w:rFonts w:ascii="Arial" w:hAnsi="Arial" w:cs="Arial"/>
          <w:bCs/>
          <w:szCs w:val="28"/>
        </w:rPr>
      </w:pPr>
      <w:r w:rsidRPr="00E41AF1">
        <w:rPr>
          <w:rFonts w:ascii="Arial" w:hAnsi="Arial" w:cs="Arial"/>
          <w:bCs/>
          <w:szCs w:val="28"/>
        </w:rPr>
        <w:t xml:space="preserve">Vzhľadom na pôvodnú definíciu pojmu energie v smernici Európskeho parlamentu a Rady 2006/32/EÚ z 5. apríla 2006 </w:t>
      </w:r>
      <w:r w:rsidRPr="00E41AF1">
        <w:rPr>
          <w:rFonts w:ascii="Arial" w:hAnsi="Arial" w:cs="Arial"/>
          <w:szCs w:val="28"/>
        </w:rPr>
        <w:t xml:space="preserve">o energetickej účinnosti konečného využitia energie a energetických službách, a ktorou sa zrušuje </w:t>
      </w:r>
      <w:r w:rsidRPr="00E41AF1">
        <w:rPr>
          <w:rFonts w:ascii="Arial" w:hAnsi="Arial" w:cs="Arial"/>
          <w:bCs/>
          <w:szCs w:val="28"/>
        </w:rPr>
        <w:t xml:space="preserve">smernica Rady 93/76/EHS, ako aj z dôvodu prehľadnosti, sa možnosť vyňatia spotreby energie </w:t>
      </w:r>
      <w:r w:rsidRPr="00E41AF1">
        <w:rPr>
          <w:rFonts w:ascii="Arial" w:hAnsi="Arial" w:cs="Arial"/>
        </w:rPr>
        <w:t>motorového vozidla a zvláštneho motorového vozidla</w:t>
      </w:r>
      <w:r w:rsidRPr="00E41AF1">
        <w:rPr>
          <w:rFonts w:ascii="Arial" w:hAnsi="Arial" w:cs="Arial"/>
          <w:bCs/>
          <w:szCs w:val="28"/>
        </w:rPr>
        <w:t xml:space="preserve"> vkladá do ustanovenia o energetickom audite.</w:t>
      </w:r>
    </w:p>
    <w:p w:rsidR="00E41AF1" w:rsidP="00E41AF1">
      <w:pPr>
        <w:bidi w:val="0"/>
        <w:spacing w:line="360" w:lineRule="auto"/>
        <w:jc w:val="both"/>
      </w:pPr>
    </w:p>
    <w:p w:rsidR="00E41AF1" w:rsidRPr="00500104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41AF1" w:rsidRPr="00B977A0" w:rsidP="00E41AF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41AF1" w:rsidRPr="00B977A0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41AF1" w:rsidRPr="000E1B07" w:rsidP="00E41AF1">
      <w:pPr>
        <w:bidi w:val="0"/>
        <w:spacing w:line="360" w:lineRule="auto"/>
        <w:jc w:val="both"/>
      </w:pPr>
    </w:p>
    <w:p w:rsidR="00E41AF1" w:rsidRPr="00E41AF1" w:rsidP="00E41AF1">
      <w:pPr>
        <w:pStyle w:val="ListParagraph"/>
        <w:numPr>
          <w:numId w:val="13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E41AF1">
        <w:rPr>
          <w:rFonts w:ascii="Arial" w:hAnsi="Arial" w:cs="Arial"/>
          <w:u w:val="single"/>
        </w:rPr>
        <w:t>V čl. I  17. bod znie</w:t>
      </w:r>
      <w:r w:rsidRPr="00E41AF1">
        <w:rPr>
          <w:rFonts w:ascii="Arial" w:hAnsi="Arial" w:cs="Arial"/>
        </w:rPr>
        <w:t>:</w:t>
      </w:r>
    </w:p>
    <w:p w:rsidR="00E41AF1" w:rsidRPr="00E41AF1" w:rsidP="00E41AF1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>„17. V prílohe č. 2 nadpis znie „Zoznam preberaných právne záväzných aktov Európskej únie“.</w:t>
      </w:r>
    </w:p>
    <w:p w:rsidR="00E41AF1" w:rsidP="00E41AF1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E41AF1" w:rsidRPr="00E41AF1" w:rsidP="00E41AF1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>Oprava 17. novelizačného bodu, ktorý novelizoval slová nenachádzajúce sa v platnom znení nadpisu prílohy č. 2.</w:t>
      </w:r>
    </w:p>
    <w:p w:rsidR="00E41AF1" w:rsidP="00E41AF1">
      <w:pPr>
        <w:pStyle w:val="ListParagraph"/>
        <w:bidi w:val="0"/>
        <w:ind w:left="1004"/>
        <w:jc w:val="both"/>
        <w:rPr>
          <w:rFonts w:ascii="Arial" w:hAnsi="Arial" w:cs="Arial"/>
        </w:rPr>
      </w:pPr>
    </w:p>
    <w:p w:rsidR="00E41AF1" w:rsidRPr="00CE7116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E41AF1" w:rsidRPr="00500104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41AF1" w:rsidRPr="00B977A0" w:rsidP="00E41AF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41AF1" w:rsidRPr="00B977A0" w:rsidP="00E41AF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41AF1" w:rsidRPr="00E41AF1" w:rsidP="00E41AF1">
      <w:pPr>
        <w:pStyle w:val="ListParagraph"/>
        <w:bidi w:val="0"/>
        <w:ind w:left="1004"/>
        <w:jc w:val="both"/>
        <w:rPr>
          <w:rFonts w:ascii="Arial" w:hAnsi="Arial" w:cs="Arial"/>
        </w:rPr>
      </w:pPr>
    </w:p>
    <w:p w:rsidR="00E41AF1" w:rsidRPr="00E41AF1" w:rsidP="00E41AF1">
      <w:pPr>
        <w:pStyle w:val="ListParagraph"/>
        <w:numPr>
          <w:numId w:val="13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E41AF1">
        <w:rPr>
          <w:rFonts w:ascii="Arial" w:hAnsi="Arial" w:cs="Arial"/>
          <w:u w:val="single"/>
        </w:rPr>
        <w:t>V čl. II</w:t>
      </w:r>
      <w:r w:rsidRPr="00E41AF1">
        <w:rPr>
          <w:rFonts w:ascii="Arial" w:hAnsi="Arial" w:cs="Arial"/>
        </w:rPr>
        <w:t xml:space="preserve"> sa slová „1. apríla 2013“ nahrádzajú slovami „1. júna 2013“.</w:t>
      </w:r>
    </w:p>
    <w:p w:rsidR="00E41AF1" w:rsidRPr="00E41AF1" w:rsidP="00E41AF1">
      <w:pPr>
        <w:pStyle w:val="ListParagraph"/>
        <w:bidi w:val="0"/>
        <w:ind w:left="2835"/>
        <w:jc w:val="both"/>
        <w:rPr>
          <w:rFonts w:ascii="Arial" w:hAnsi="Arial" w:cs="Arial"/>
        </w:rPr>
      </w:pPr>
    </w:p>
    <w:p w:rsidR="00E41AF1" w:rsidRPr="00E41AF1" w:rsidP="00E41AF1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41AF1">
        <w:rPr>
          <w:rFonts w:ascii="Arial" w:hAnsi="Arial" w:cs="Arial"/>
        </w:rPr>
        <w:t xml:space="preserve">Posunutie účinnosti zohľadňuje zákonné lehoty v legislatívnom procese schvaľovania zákona ako aj potrebnú legisvakanciu. </w:t>
      </w:r>
    </w:p>
    <w:p w:rsidR="00E62CB4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E62CB4" w:rsidRPr="00CE7116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E7116">
        <w:rPr>
          <w:rFonts w:ascii="Arial" w:hAnsi="Arial" w:cs="Arial"/>
          <w:b/>
          <w:sz w:val="24"/>
          <w:szCs w:val="24"/>
        </w:rPr>
        <w:t>Ústavnoprávny výbor N</w:t>
      </w:r>
      <w:r>
        <w:rPr>
          <w:rFonts w:ascii="Arial" w:hAnsi="Arial" w:cs="Arial"/>
          <w:b/>
          <w:sz w:val="24"/>
          <w:szCs w:val="24"/>
        </w:rPr>
        <w:t>R SR</w:t>
      </w:r>
    </w:p>
    <w:p w:rsidR="00E62CB4" w:rsidRPr="00500104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500104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E62CB4" w:rsidRPr="00B977A0" w:rsidP="00E62CB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62CB4" w:rsidRPr="00B977A0" w:rsidP="00E62CB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B977A0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62CB4" w:rsidP="00E62CB4">
      <w:pPr>
        <w:bidi w:val="0"/>
        <w:ind w:firstLine="567"/>
        <w:jc w:val="both"/>
        <w:rPr>
          <w:b/>
          <w:bCs/>
          <w:u w:val="single"/>
        </w:rPr>
      </w:pPr>
    </w:p>
    <w:p w:rsidR="00E62CB4" w:rsidRPr="00E41AF1" w:rsidP="00E62CB4">
      <w:pPr>
        <w:bidi w:val="0"/>
        <w:ind w:firstLine="567"/>
        <w:jc w:val="both"/>
        <w:rPr>
          <w:bCs/>
        </w:rPr>
      </w:pPr>
      <w:r w:rsidRPr="00E41AF1">
        <w:rPr>
          <w:bCs/>
        </w:rPr>
        <w:t>Gestorský výbor odporúča o týchto pozmeňujúcich a doplňujúcich návrhoch hlasovať takto:</w:t>
      </w:r>
    </w:p>
    <w:p w:rsidR="00E41AF1" w:rsidP="00E62CB4">
      <w:pPr>
        <w:bidi w:val="0"/>
        <w:ind w:firstLine="567"/>
        <w:jc w:val="both"/>
        <w:rPr>
          <w:b/>
          <w:bCs/>
        </w:rPr>
      </w:pPr>
    </w:p>
    <w:p w:rsidR="00E41AF1" w:rsidRPr="00E41AF1" w:rsidP="00E62CB4">
      <w:pPr>
        <w:bidi w:val="0"/>
        <w:ind w:firstLine="567"/>
        <w:jc w:val="both"/>
        <w:rPr>
          <w:b/>
          <w:bCs/>
        </w:rPr>
      </w:pPr>
      <w:r w:rsidR="006915AF">
        <w:rPr>
          <w:b/>
          <w:bCs/>
        </w:rPr>
        <w:t xml:space="preserve">o bodoch 1, 2, 3 a </w:t>
      </w:r>
      <w:r>
        <w:rPr>
          <w:b/>
          <w:bCs/>
        </w:rPr>
        <w:t>4 spoločne s odporúčaním schváliť.</w:t>
      </w:r>
    </w:p>
    <w:p w:rsidR="00E62CB4" w:rsidRPr="00E41AF1" w:rsidP="00E62CB4">
      <w:pPr>
        <w:bidi w:val="0"/>
        <w:ind w:firstLine="567"/>
        <w:jc w:val="both"/>
        <w:rPr>
          <w:b/>
          <w:bCs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392540" w:rsidR="00CE169B">
        <w:t>vládn</w:t>
      </w:r>
      <w:r w:rsidR="00CE169B">
        <w:t>y</w:t>
      </w:r>
      <w:r w:rsidRPr="00392540" w:rsidR="00CE169B">
        <w:t xml:space="preserve"> návrh </w:t>
      </w:r>
      <w:r w:rsidRPr="00D425DB" w:rsidR="00260BA4">
        <w:rPr>
          <w:szCs w:val="22"/>
        </w:rPr>
        <w:t xml:space="preserve">zákona, </w:t>
      </w:r>
      <w:r w:rsidRPr="00D425DB" w:rsidR="00260BA4">
        <w:rPr>
          <w:noProof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</w:t>
      </w:r>
      <w:r w:rsidRPr="009601BB" w:rsidR="00260BA4">
        <w:rPr>
          <w:noProof/>
        </w:rPr>
        <w:t xml:space="preserve"> </w:t>
      </w:r>
      <w:r w:rsidRPr="005D1A52" w:rsidR="008806BA">
        <w:rPr>
          <w:u w:val="single"/>
        </w:rPr>
        <w:t xml:space="preserve"> </w:t>
      </w:r>
      <w:r w:rsidRPr="005D1A52" w:rsidR="00265908">
        <w:rPr>
          <w:u w:val="single"/>
        </w:rPr>
        <w:t xml:space="preserve"> </w:t>
      </w:r>
      <w:r w:rsidRPr="005D1A52" w:rsidR="00AD7403">
        <w:rPr>
          <w:u w:val="single"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835363">
        <w:t>z 12</w:t>
      </w:r>
      <w:r w:rsidR="00A10ADB">
        <w:t>.</w:t>
      </w:r>
      <w:r w:rsidRPr="009F0EF1" w:rsidR="00BC0C65">
        <w:t xml:space="preserve"> </w:t>
      </w:r>
      <w:r w:rsidR="00E62CB4">
        <w:t>marca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č.</w:t>
      </w:r>
      <w:r w:rsidR="00D36F1E">
        <w:t xml:space="preserve"> </w:t>
      </w:r>
      <w:r w:rsidR="00835363">
        <w:t>127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E62CB4">
        <w:t>1</w:t>
      </w:r>
      <w:r w:rsidR="00835363">
        <w:t>2</w:t>
      </w:r>
      <w:r w:rsidRPr="009F0EF1" w:rsidR="00316AEB">
        <w:t xml:space="preserve">. </w:t>
      </w:r>
      <w:r w:rsidR="00E62CB4">
        <w:t>marca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F5F7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D02C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F5F7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E1F93"/>
    <w:multiLevelType w:val="hybridMultilevel"/>
    <w:tmpl w:val="34507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8573029"/>
    <w:multiLevelType w:val="hybridMultilevel"/>
    <w:tmpl w:val="A9D4B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34CE"/>
    <w:rsid w:val="0003485C"/>
    <w:rsid w:val="000352DE"/>
    <w:rsid w:val="0004411A"/>
    <w:rsid w:val="0004416D"/>
    <w:rsid w:val="00046809"/>
    <w:rsid w:val="00046FC1"/>
    <w:rsid w:val="0004759F"/>
    <w:rsid w:val="00050DE3"/>
    <w:rsid w:val="0005474C"/>
    <w:rsid w:val="00054833"/>
    <w:rsid w:val="00065871"/>
    <w:rsid w:val="00067262"/>
    <w:rsid w:val="0007078E"/>
    <w:rsid w:val="00074BC5"/>
    <w:rsid w:val="000770A8"/>
    <w:rsid w:val="00084218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D5019"/>
    <w:rsid w:val="000E1B07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96697"/>
    <w:rsid w:val="001A1609"/>
    <w:rsid w:val="001A2A6E"/>
    <w:rsid w:val="001A2DEB"/>
    <w:rsid w:val="001A416F"/>
    <w:rsid w:val="001A60D9"/>
    <w:rsid w:val="001A6772"/>
    <w:rsid w:val="001B6D42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0BA4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850A1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4EA"/>
    <w:rsid w:val="003275A3"/>
    <w:rsid w:val="00334022"/>
    <w:rsid w:val="00335896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01C7E"/>
    <w:rsid w:val="0041548D"/>
    <w:rsid w:val="00415693"/>
    <w:rsid w:val="004162A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492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0104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5F5F77"/>
    <w:rsid w:val="00600B48"/>
    <w:rsid w:val="0060136B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15AF"/>
    <w:rsid w:val="0069645B"/>
    <w:rsid w:val="0069691D"/>
    <w:rsid w:val="006A5E61"/>
    <w:rsid w:val="006A6C4D"/>
    <w:rsid w:val="006B0B7A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1011"/>
    <w:rsid w:val="00712ABF"/>
    <w:rsid w:val="00716EA9"/>
    <w:rsid w:val="00735075"/>
    <w:rsid w:val="00736FF2"/>
    <w:rsid w:val="007402A8"/>
    <w:rsid w:val="00743BB9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A6C3A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518E"/>
    <w:rsid w:val="00805B15"/>
    <w:rsid w:val="00810916"/>
    <w:rsid w:val="008217C8"/>
    <w:rsid w:val="008221A6"/>
    <w:rsid w:val="00827DD9"/>
    <w:rsid w:val="008322C2"/>
    <w:rsid w:val="00835363"/>
    <w:rsid w:val="0083669C"/>
    <w:rsid w:val="00840ADE"/>
    <w:rsid w:val="00846CCD"/>
    <w:rsid w:val="008470C5"/>
    <w:rsid w:val="0084768B"/>
    <w:rsid w:val="00854867"/>
    <w:rsid w:val="008614CD"/>
    <w:rsid w:val="00861CDD"/>
    <w:rsid w:val="008633EF"/>
    <w:rsid w:val="008806BA"/>
    <w:rsid w:val="0088104A"/>
    <w:rsid w:val="00882AA8"/>
    <w:rsid w:val="00884628"/>
    <w:rsid w:val="00885B11"/>
    <w:rsid w:val="008907D6"/>
    <w:rsid w:val="0089120F"/>
    <w:rsid w:val="00894643"/>
    <w:rsid w:val="0089768F"/>
    <w:rsid w:val="008A011C"/>
    <w:rsid w:val="008A72D7"/>
    <w:rsid w:val="008A7836"/>
    <w:rsid w:val="008B1B9F"/>
    <w:rsid w:val="008B37C3"/>
    <w:rsid w:val="008C08AD"/>
    <w:rsid w:val="008C11DE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6E6D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601BB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E600F"/>
    <w:rsid w:val="00AF2229"/>
    <w:rsid w:val="00AF371A"/>
    <w:rsid w:val="00AF3CEE"/>
    <w:rsid w:val="00AF4654"/>
    <w:rsid w:val="00AF589A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2B9C"/>
    <w:rsid w:val="00BB3362"/>
    <w:rsid w:val="00BB560B"/>
    <w:rsid w:val="00BB70A3"/>
    <w:rsid w:val="00BC0C65"/>
    <w:rsid w:val="00BC5952"/>
    <w:rsid w:val="00BC6AA6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7915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3873"/>
    <w:rsid w:val="00D3428E"/>
    <w:rsid w:val="00D347D8"/>
    <w:rsid w:val="00D35A4C"/>
    <w:rsid w:val="00D36BF1"/>
    <w:rsid w:val="00D36F1E"/>
    <w:rsid w:val="00D37657"/>
    <w:rsid w:val="00D425DB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02C5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1AF1"/>
    <w:rsid w:val="00E46139"/>
    <w:rsid w:val="00E53564"/>
    <w:rsid w:val="00E53D2D"/>
    <w:rsid w:val="00E5463F"/>
    <w:rsid w:val="00E569F0"/>
    <w:rsid w:val="00E62CB4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A6DB8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5790-F5AB-4881-8C2C-81AF3C60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4</Pages>
  <Words>851</Words>
  <Characters>4857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12</cp:revision>
  <cp:lastPrinted>2011-01-26T14:07:00Z</cp:lastPrinted>
  <dcterms:created xsi:type="dcterms:W3CDTF">2013-02-27T13:16:00Z</dcterms:created>
  <dcterms:modified xsi:type="dcterms:W3CDTF">2013-03-11T09:35:00Z</dcterms:modified>
</cp:coreProperties>
</file>