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16273" w:rsidP="00216273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216273" w:rsidP="00216273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216273" w:rsidP="00216273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216273" w:rsidP="0021627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16273" w:rsidP="0021627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18. schôdza výboru                                                                                                           </w:t>
      </w:r>
    </w:p>
    <w:p w:rsidR="00216273" w:rsidP="0021627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="00397837"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CRD-96</w:t>
      </w:r>
      <w:r>
        <w:rPr>
          <w:rFonts w:ascii="Arial" w:hAnsi="Arial" w:cs="Arial"/>
          <w:sz w:val="20"/>
          <w:szCs w:val="20"/>
        </w:rPr>
        <w:t>/2013</w:t>
      </w:r>
    </w:p>
    <w:p w:rsidR="00216273" w:rsidP="0021627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16273" w:rsidP="0021627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16273" w:rsidP="00216273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61</w:t>
      </w:r>
    </w:p>
    <w:p w:rsidR="00216273" w:rsidP="00216273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216273" w:rsidP="00216273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216273" w:rsidP="00216273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216273" w:rsidP="00216273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216273" w:rsidP="00216273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 7. marca 2013</w:t>
      </w:r>
    </w:p>
    <w:p w:rsidR="00216273" w:rsidP="0021627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16273" w:rsidP="0021627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16273" w:rsidP="0021627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vládnemu návrhu zákona, ktorým sa mení a dopĺňa zákon č. 404/2011 Z. z. o pobyte cudzincov a o zmene a doplnení niektorých zákonov a ktorým sa menia a dopĺňajú niektoré zákony (tlač 352) </w:t>
      </w:r>
    </w:p>
    <w:p w:rsidR="00216273" w:rsidP="0021627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16273" w:rsidP="00216273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216273" w:rsidP="00216273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216273" w:rsidP="00216273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216273" w:rsidP="00216273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216273" w:rsidP="00216273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216273" w:rsidP="00216273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216273" w:rsidP="0021627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vládnym návrhom zákona, ktorým sa mení a dopĺňa zákon č. </w:t>
      </w:r>
      <w:r w:rsidRPr="00216273">
        <w:rPr>
          <w:rFonts w:ascii="Arial" w:hAnsi="Arial" w:cs="Arial"/>
          <w:sz w:val="20"/>
          <w:szCs w:val="20"/>
        </w:rPr>
        <w:t>404/2011 Z. z. o pobyte cudzincov a o zmene a doplnení niektorých zákonov a ktorým sa menia a dopĺňajú niektoré zákony (tlač 352)</w:t>
      </w:r>
      <w:r>
        <w:rPr>
          <w:rFonts w:ascii="Arial" w:hAnsi="Arial" w:cs="Arial"/>
          <w:sz w:val="20"/>
          <w:szCs w:val="20"/>
        </w:rPr>
        <w:t>,</w:t>
      </w:r>
      <w:r w:rsidRPr="00216273">
        <w:rPr>
          <w:rFonts w:ascii="Arial" w:hAnsi="Arial" w:cs="Arial"/>
          <w:sz w:val="20"/>
          <w:szCs w:val="20"/>
        </w:rPr>
        <w:t xml:space="preserve"> </w:t>
      </w:r>
    </w:p>
    <w:p w:rsidR="00216273" w:rsidP="0021627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16273" w:rsidP="00216273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216273" w:rsidP="0021627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16273" w:rsidP="0021627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Národnej rade Slovenskej republiky vládny návrh zákona, ktorým sa mení a dopĺňa zákon č. </w:t>
      </w:r>
      <w:r w:rsidRPr="00216273">
        <w:rPr>
          <w:rFonts w:ascii="Arial" w:hAnsi="Arial" w:cs="Arial"/>
          <w:sz w:val="20"/>
          <w:szCs w:val="20"/>
        </w:rPr>
        <w:t>404/2011 Z. z. o pobyte cudzincov a o zmene a doplnení niektorých zákonov a ktorým sa menia a dopĺňajú niektoré zákony (tlač 352)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schváliť s pripomienkami</w:t>
      </w:r>
      <w:r>
        <w:rPr>
          <w:rFonts w:ascii="Arial" w:hAnsi="Arial" w:cs="Arial"/>
          <w:sz w:val="20"/>
          <w:szCs w:val="20"/>
        </w:rPr>
        <w:t>, uvedenými v prílohe tohto uznesenia,</w:t>
      </w:r>
    </w:p>
    <w:p w:rsidR="00216273" w:rsidP="0021627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16273" w:rsidP="00216273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216273" w:rsidP="00216273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216273" w:rsidP="00216273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predsedovi výboru informovať gestorský Výbor Národnej rady Slovenskej republiky pre obranu a bezpečnosť o prijatom uznesení. </w:t>
      </w:r>
    </w:p>
    <w:p w:rsidR="00216273" w:rsidP="00216273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216273" w:rsidP="00216273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216273" w:rsidP="00216273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216273" w:rsidP="00216273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216273" w:rsidP="00216273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216273" w:rsidP="00216273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Ľubomír Želiezka  </w:t>
        <w:tab/>
        <w:tab/>
        <w:tab/>
        <w:tab/>
        <w:tab/>
        <w:tab/>
        <w:tab/>
        <w:tab/>
        <w:t>Rudolf Chmel</w:t>
      </w:r>
    </w:p>
    <w:p w:rsidR="00216273" w:rsidP="00216273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  </w:t>
        <w:tab/>
        <w:tab/>
        <w:tab/>
        <w:tab/>
        <w:tab/>
        <w:tab/>
        <w:tab/>
        <w:tab/>
        <w:tab/>
        <w:t>predseda výboru</w:t>
      </w:r>
    </w:p>
    <w:p w:rsidR="00216273" w:rsidP="00216273">
      <w:pPr>
        <w:bidi w:val="0"/>
        <w:rPr>
          <w:rFonts w:ascii="Arial" w:hAnsi="Arial" w:cs="Arial"/>
          <w:sz w:val="20"/>
          <w:szCs w:val="20"/>
        </w:rPr>
      </w:pPr>
    </w:p>
    <w:p w:rsidR="00216273" w:rsidP="00216273">
      <w:pPr>
        <w:bidi w:val="0"/>
        <w:rPr>
          <w:rFonts w:ascii="Arial" w:hAnsi="Arial" w:cs="Arial"/>
          <w:sz w:val="20"/>
          <w:szCs w:val="20"/>
        </w:rPr>
      </w:pPr>
    </w:p>
    <w:p w:rsidR="00216273" w:rsidP="00216273">
      <w:pPr>
        <w:bidi w:val="0"/>
        <w:rPr>
          <w:rFonts w:ascii="Arial" w:hAnsi="Arial" w:cs="Arial"/>
          <w:sz w:val="20"/>
          <w:szCs w:val="20"/>
        </w:rPr>
      </w:pPr>
    </w:p>
    <w:p w:rsidR="00216273" w:rsidP="00216273">
      <w:pPr>
        <w:bidi w:val="0"/>
        <w:rPr>
          <w:rFonts w:ascii="Arial" w:hAnsi="Arial" w:cs="Arial"/>
          <w:sz w:val="20"/>
          <w:szCs w:val="20"/>
        </w:rPr>
      </w:pPr>
    </w:p>
    <w:p w:rsidR="00216273" w:rsidP="00216273">
      <w:pPr>
        <w:bidi w:val="0"/>
        <w:rPr>
          <w:rFonts w:ascii="Arial" w:hAnsi="Arial" w:cs="Arial"/>
          <w:sz w:val="20"/>
          <w:szCs w:val="20"/>
        </w:rPr>
      </w:pPr>
    </w:p>
    <w:p w:rsidR="00216273" w:rsidP="00216273">
      <w:pPr>
        <w:bidi w:val="0"/>
        <w:rPr>
          <w:rFonts w:ascii="Arial" w:hAnsi="Arial" w:cs="Arial"/>
          <w:sz w:val="20"/>
          <w:szCs w:val="20"/>
        </w:rPr>
      </w:pPr>
    </w:p>
    <w:p w:rsidR="00216273" w:rsidP="00216273">
      <w:pPr>
        <w:bidi w:val="0"/>
        <w:rPr>
          <w:rFonts w:ascii="Arial" w:hAnsi="Arial" w:cs="Arial"/>
          <w:sz w:val="20"/>
          <w:szCs w:val="20"/>
        </w:rPr>
      </w:pPr>
    </w:p>
    <w:p w:rsidR="00216273" w:rsidP="00216273">
      <w:pPr>
        <w:bidi w:val="0"/>
        <w:rPr>
          <w:rFonts w:ascii="Arial" w:hAnsi="Arial" w:cs="Arial"/>
          <w:sz w:val="20"/>
          <w:szCs w:val="20"/>
        </w:rPr>
      </w:pPr>
    </w:p>
    <w:p w:rsidR="00216273" w:rsidP="00216273">
      <w:pPr>
        <w:bidi w:val="0"/>
        <w:rPr>
          <w:rFonts w:ascii="Arial" w:hAnsi="Arial" w:cs="Arial"/>
          <w:sz w:val="20"/>
          <w:szCs w:val="20"/>
        </w:rPr>
      </w:pPr>
    </w:p>
    <w:p w:rsidR="00216273" w:rsidP="00216273">
      <w:pPr>
        <w:bidi w:val="0"/>
        <w:rPr>
          <w:rFonts w:ascii="Arial" w:hAnsi="Arial" w:cs="Arial"/>
          <w:sz w:val="20"/>
          <w:szCs w:val="20"/>
        </w:rPr>
      </w:pPr>
    </w:p>
    <w:p w:rsidR="00216273" w:rsidP="00216273">
      <w:pPr>
        <w:bidi w:val="0"/>
        <w:rPr>
          <w:rFonts w:ascii="Arial" w:hAnsi="Arial" w:cs="Arial"/>
          <w:sz w:val="20"/>
          <w:szCs w:val="20"/>
        </w:rPr>
      </w:pPr>
    </w:p>
    <w:p w:rsidR="00216273" w:rsidP="00216273">
      <w:pPr>
        <w:bidi w:val="0"/>
        <w:rPr>
          <w:rFonts w:ascii="Arial" w:hAnsi="Arial" w:cs="Arial"/>
          <w:sz w:val="20"/>
          <w:szCs w:val="20"/>
        </w:rPr>
      </w:pPr>
    </w:p>
    <w:p w:rsidR="00216273" w:rsidP="00216273">
      <w:pPr>
        <w:widowControl/>
        <w:bidi w:val="0"/>
        <w:ind w:left="3540" w:firstLine="708"/>
        <w:rPr>
          <w:rFonts w:ascii="Arial" w:hAnsi="Arial" w:cs="Arial"/>
          <w:b/>
          <w:sz w:val="20"/>
          <w:szCs w:val="20"/>
        </w:rPr>
      </w:pPr>
    </w:p>
    <w:p w:rsidR="00216273" w:rsidP="00216273">
      <w:pPr>
        <w:widowControl/>
        <w:bidi w:val="0"/>
        <w:ind w:left="3540" w:firstLine="708"/>
        <w:rPr>
          <w:rFonts w:ascii="Arial" w:hAnsi="Arial" w:cs="Arial"/>
          <w:b/>
          <w:sz w:val="20"/>
          <w:szCs w:val="20"/>
        </w:rPr>
      </w:pPr>
    </w:p>
    <w:p w:rsidR="00216273" w:rsidP="00216273">
      <w:pPr>
        <w:widowControl/>
        <w:bidi w:val="0"/>
        <w:ind w:left="3540" w:firstLine="708"/>
        <w:rPr>
          <w:rFonts w:ascii="Arial" w:hAnsi="Arial" w:cs="Arial"/>
          <w:b/>
          <w:sz w:val="20"/>
          <w:szCs w:val="20"/>
        </w:rPr>
      </w:pPr>
    </w:p>
    <w:p w:rsidR="00216273" w:rsidP="00216273">
      <w:pPr>
        <w:widowControl/>
        <w:bidi w:val="0"/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Príloha</w:t>
      </w:r>
    </w:p>
    <w:p w:rsidR="00216273" w:rsidP="00216273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 uzneseniu Výboru Národnej rady Slovenskej republiky pre ľudské práva a národnostné menšiny č. 61</w:t>
      </w:r>
    </w:p>
    <w:p w:rsidR="00216273" w:rsidP="00216273">
      <w:pPr>
        <w:widowControl/>
        <w:bidi w:val="0"/>
        <w:rPr>
          <w:rFonts w:ascii="Arial" w:hAnsi="Arial" w:cs="Arial"/>
          <w:b/>
          <w:sz w:val="20"/>
          <w:szCs w:val="20"/>
        </w:rPr>
      </w:pPr>
    </w:p>
    <w:p w:rsidR="00216273" w:rsidP="00216273">
      <w:pPr>
        <w:widowControl/>
        <w:bidi w:val="0"/>
        <w:rPr>
          <w:rFonts w:ascii="Arial" w:hAnsi="Arial" w:cs="Arial"/>
          <w:b/>
          <w:sz w:val="20"/>
          <w:szCs w:val="20"/>
        </w:rPr>
      </w:pPr>
    </w:p>
    <w:p w:rsidR="00216273" w:rsidP="0021627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Pripomienky </w:t>
      </w:r>
      <w:r w:rsidRPr="00216273">
        <w:rPr>
          <w:rFonts w:ascii="Arial" w:hAnsi="Arial" w:cs="Arial"/>
          <w:sz w:val="20"/>
          <w:szCs w:val="20"/>
        </w:rPr>
        <w:t xml:space="preserve">k vládnemu návrhu zákona, ktorým sa mení a dopĺňa zákon č. 404/2011 Z. z. o pobyte cudzincov a o zmene a doplnení niektorých zákonov a ktorým sa menia a dopĺňajú niektoré zákony (tlač 352) </w:t>
      </w:r>
    </w:p>
    <w:p w:rsidR="00216273" w:rsidP="0021627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16273" w:rsidRPr="00216273" w:rsidP="00216273">
      <w:pPr>
        <w:pStyle w:val="ListParagraph"/>
        <w:numPr>
          <w:numId w:val="5"/>
        </w:numPr>
        <w:bidi w:val="0"/>
        <w:rPr>
          <w:rFonts w:ascii="Arial" w:hAnsi="Arial" w:cs="Arial"/>
          <w:sz w:val="20"/>
          <w:szCs w:val="20"/>
          <w:u w:val="single"/>
        </w:rPr>
      </w:pPr>
      <w:r w:rsidRPr="00216273">
        <w:rPr>
          <w:rFonts w:ascii="Arial" w:hAnsi="Arial" w:cs="Arial"/>
          <w:sz w:val="20"/>
          <w:szCs w:val="20"/>
          <w:u w:val="single"/>
        </w:rPr>
        <w:t>K čl. I</w:t>
      </w:r>
    </w:p>
    <w:p w:rsidR="00216273" w:rsidRPr="00216273" w:rsidP="00216273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216273" w:rsidP="00216273">
      <w:pPr>
        <w:bidi w:val="0"/>
        <w:rPr>
          <w:rFonts w:ascii="Arial" w:hAnsi="Arial" w:cs="Arial"/>
          <w:sz w:val="20"/>
          <w:szCs w:val="20"/>
        </w:rPr>
      </w:pPr>
      <w:r w:rsidRPr="00216273">
        <w:rPr>
          <w:rFonts w:ascii="Arial" w:hAnsi="Arial" w:cs="Arial"/>
          <w:sz w:val="20"/>
          <w:szCs w:val="20"/>
        </w:rPr>
        <w:t xml:space="preserve">     Za 26. bod sa vkladá nový 27. bod, ktorý znie:</w:t>
      </w:r>
    </w:p>
    <w:p w:rsidR="00216273" w:rsidRPr="00216273" w:rsidP="00216273">
      <w:pPr>
        <w:bidi w:val="0"/>
        <w:rPr>
          <w:rFonts w:ascii="Arial" w:hAnsi="Arial" w:cs="Arial"/>
          <w:sz w:val="20"/>
          <w:szCs w:val="20"/>
        </w:rPr>
      </w:pPr>
    </w:p>
    <w:p w:rsidR="00216273" w:rsidRPr="00216273" w:rsidP="00216273">
      <w:pPr>
        <w:bidi w:val="0"/>
        <w:rPr>
          <w:rFonts w:ascii="Arial" w:hAnsi="Arial" w:cs="Arial"/>
          <w:sz w:val="20"/>
          <w:szCs w:val="20"/>
        </w:rPr>
      </w:pPr>
      <w:r w:rsidRPr="00216273">
        <w:rPr>
          <w:rFonts w:ascii="Arial" w:hAnsi="Arial" w:cs="Arial"/>
          <w:sz w:val="20"/>
          <w:szCs w:val="20"/>
        </w:rPr>
        <w:t>„27. V § 32 ods. 6 písm. c)  sa slová „výpisom z osobitného účtu“  nahrádzajú slovami „potvrdením o zostatku na účte“.“</w:t>
      </w:r>
    </w:p>
    <w:p w:rsidR="00216273" w:rsidRPr="00216273" w:rsidP="00216273">
      <w:pPr>
        <w:bidi w:val="0"/>
        <w:rPr>
          <w:rFonts w:ascii="Arial" w:hAnsi="Arial" w:cs="Arial"/>
          <w:sz w:val="20"/>
          <w:szCs w:val="20"/>
        </w:rPr>
      </w:pPr>
    </w:p>
    <w:p w:rsidR="00216273" w:rsidRPr="00216273" w:rsidP="00216273">
      <w:pPr>
        <w:bidi w:val="0"/>
        <w:rPr>
          <w:rFonts w:ascii="Arial" w:hAnsi="Arial" w:cs="Arial"/>
          <w:sz w:val="20"/>
          <w:szCs w:val="20"/>
        </w:rPr>
      </w:pPr>
      <w:r w:rsidRPr="00216273">
        <w:rPr>
          <w:rFonts w:ascii="Arial" w:hAnsi="Arial" w:cs="Arial"/>
          <w:sz w:val="20"/>
          <w:szCs w:val="20"/>
        </w:rPr>
        <w:t xml:space="preserve">     Doterajšie body 27 až 164 návrhu sa prečíslujú.</w:t>
      </w:r>
    </w:p>
    <w:p w:rsidR="00216273" w:rsidRPr="00216273" w:rsidP="00216273">
      <w:pPr>
        <w:bidi w:val="0"/>
        <w:rPr>
          <w:rFonts w:ascii="Arial" w:hAnsi="Arial" w:cs="Arial"/>
          <w:sz w:val="20"/>
          <w:szCs w:val="20"/>
        </w:rPr>
      </w:pPr>
    </w:p>
    <w:p w:rsidR="00216273" w:rsidRPr="00216273" w:rsidP="00216273">
      <w:pPr>
        <w:bidi w:val="0"/>
        <w:ind w:left="3540"/>
        <w:rPr>
          <w:rFonts w:ascii="Arial" w:hAnsi="Arial" w:cs="Arial"/>
          <w:sz w:val="20"/>
          <w:szCs w:val="20"/>
          <w:u w:val="single"/>
        </w:rPr>
      </w:pPr>
      <w:r w:rsidRPr="00216273">
        <w:rPr>
          <w:rFonts w:ascii="Arial" w:hAnsi="Arial" w:cs="Arial"/>
          <w:sz w:val="20"/>
          <w:szCs w:val="20"/>
        </w:rPr>
        <w:t>Ide o zjednotenie terminológie, ktorá nadväzuje na navrhovanú úpravu obsiahnutú v predloženom návrhu zákona (body 25 a 26).</w:t>
      </w:r>
    </w:p>
    <w:p w:rsidR="00216273" w:rsidRPr="00216273" w:rsidP="00216273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216273" w:rsidRPr="00216273" w:rsidP="00216273">
      <w:pPr>
        <w:pStyle w:val="ListParagraph"/>
        <w:numPr>
          <w:numId w:val="5"/>
        </w:numPr>
        <w:bidi w:val="0"/>
        <w:rPr>
          <w:rFonts w:ascii="Arial" w:eastAsia="Calibri" w:hAnsi="Arial" w:cs="Arial" w:hint="default"/>
          <w:sz w:val="20"/>
          <w:szCs w:val="20"/>
          <w:u w:val="single"/>
        </w:rPr>
      </w:pPr>
      <w:r w:rsidRPr="00216273">
        <w:rPr>
          <w:rFonts w:ascii="Arial" w:eastAsia="Calibri" w:hAnsi="Arial" w:cs="Arial"/>
          <w:sz w:val="20"/>
          <w:szCs w:val="20"/>
          <w:u w:val="single"/>
        </w:rPr>
        <w:t>K </w:t>
      </w:r>
      <w:r w:rsidRPr="00216273">
        <w:rPr>
          <w:rFonts w:ascii="Arial" w:eastAsia="Calibri" w:hAnsi="Arial" w:cs="Arial" w:hint="default"/>
          <w:sz w:val="20"/>
          <w:szCs w:val="20"/>
          <w:u w:val="single"/>
        </w:rPr>
        <w:t>č</w:t>
      </w:r>
      <w:r w:rsidRPr="00216273">
        <w:rPr>
          <w:rFonts w:ascii="Arial" w:eastAsia="Calibri" w:hAnsi="Arial" w:cs="Arial" w:hint="default"/>
          <w:sz w:val="20"/>
          <w:szCs w:val="20"/>
          <w:u w:val="single"/>
        </w:rPr>
        <w:t>l. I </w:t>
      </w:r>
      <w:r w:rsidRPr="00216273">
        <w:rPr>
          <w:rFonts w:ascii="Arial" w:eastAsia="Calibri" w:hAnsi="Arial" w:cs="Arial" w:hint="default"/>
          <w:sz w:val="20"/>
          <w:szCs w:val="20"/>
          <w:u w:val="single"/>
        </w:rPr>
        <w:t>153. bod (§</w:t>
      </w:r>
      <w:r w:rsidRPr="00216273">
        <w:rPr>
          <w:rFonts w:ascii="Arial" w:eastAsia="Calibri" w:hAnsi="Arial" w:cs="Arial" w:hint="default"/>
          <w:sz w:val="20"/>
          <w:szCs w:val="20"/>
          <w:u w:val="single"/>
        </w:rPr>
        <w:t xml:space="preserve"> 125 ods. 9)</w:t>
      </w:r>
    </w:p>
    <w:p w:rsidR="00216273" w:rsidRPr="00216273" w:rsidP="00216273">
      <w:pPr>
        <w:bidi w:val="0"/>
        <w:rPr>
          <w:rFonts w:ascii="Arial" w:eastAsia="Calibri" w:hAnsi="Arial" w:cs="Arial"/>
          <w:sz w:val="20"/>
          <w:szCs w:val="20"/>
          <w:u w:val="single"/>
        </w:rPr>
      </w:pPr>
    </w:p>
    <w:p w:rsidR="00216273" w:rsidRPr="00216273" w:rsidP="00216273">
      <w:pPr>
        <w:bidi w:val="0"/>
        <w:ind w:firstLine="284"/>
        <w:rPr>
          <w:rFonts w:ascii="Arial" w:eastAsia="Calibri" w:hAnsi="Arial" w:cs="Arial" w:hint="default"/>
          <w:sz w:val="20"/>
          <w:szCs w:val="20"/>
        </w:rPr>
      </w:pPr>
      <w:r w:rsidRPr="00216273">
        <w:rPr>
          <w:rFonts w:ascii="Arial" w:eastAsia="Calibri" w:hAnsi="Arial" w:cs="Arial" w:hint="default"/>
          <w:sz w:val="20"/>
          <w:szCs w:val="20"/>
        </w:rPr>
        <w:t>V §</w:t>
      </w:r>
      <w:r w:rsidRPr="00216273">
        <w:rPr>
          <w:rFonts w:ascii="Arial" w:eastAsia="Calibri" w:hAnsi="Arial" w:cs="Arial" w:hint="default"/>
          <w:sz w:val="20"/>
          <w:szCs w:val="20"/>
        </w:rPr>
        <w:t xml:space="preserve"> 125 ods. 9 sa za slovo „</w:t>
      </w:r>
      <w:r w:rsidRPr="00216273">
        <w:rPr>
          <w:rFonts w:ascii="Arial" w:eastAsia="Calibri" w:hAnsi="Arial" w:cs="Arial" w:hint="default"/>
          <w:sz w:val="20"/>
          <w:szCs w:val="20"/>
        </w:rPr>
        <w:t>vnú</w:t>
      </w:r>
      <w:r w:rsidRPr="00216273">
        <w:rPr>
          <w:rFonts w:ascii="Arial" w:eastAsia="Calibri" w:hAnsi="Arial" w:cs="Arial" w:hint="default"/>
          <w:sz w:val="20"/>
          <w:szCs w:val="20"/>
        </w:rPr>
        <w:t>tra“</w:t>
      </w:r>
      <w:r w:rsidRPr="00216273">
        <w:rPr>
          <w:rFonts w:ascii="Arial" w:eastAsia="Calibri" w:hAnsi="Arial" w:cs="Arial" w:hint="default"/>
          <w:sz w:val="20"/>
          <w:szCs w:val="20"/>
        </w:rPr>
        <w:t xml:space="preserve"> vkladajú</w:t>
      </w:r>
      <w:r w:rsidRPr="00216273">
        <w:rPr>
          <w:rFonts w:ascii="Arial" w:eastAsia="Calibri" w:hAnsi="Arial" w:cs="Arial" w:hint="default"/>
          <w:sz w:val="20"/>
          <w:szCs w:val="20"/>
        </w:rPr>
        <w:t xml:space="preserve"> slová</w:t>
      </w:r>
      <w:r w:rsidRPr="00216273">
        <w:rPr>
          <w:rFonts w:ascii="Arial" w:eastAsia="Calibri" w:hAnsi="Arial" w:cs="Arial" w:hint="default"/>
          <w:sz w:val="20"/>
          <w:szCs w:val="20"/>
        </w:rPr>
        <w:t xml:space="preserve"> „</w:t>
      </w:r>
      <w:r w:rsidRPr="00216273">
        <w:rPr>
          <w:rFonts w:ascii="Arial" w:eastAsia="Calibri" w:hAnsi="Arial" w:cs="Arial" w:hint="default"/>
          <w:sz w:val="20"/>
          <w:szCs w:val="20"/>
        </w:rPr>
        <w:t>do 30 dní</w:t>
      </w:r>
      <w:r w:rsidRPr="00216273">
        <w:rPr>
          <w:rFonts w:ascii="Arial" w:eastAsia="Calibri" w:hAnsi="Arial" w:cs="Arial" w:hint="default"/>
          <w:sz w:val="20"/>
          <w:szCs w:val="20"/>
        </w:rPr>
        <w:t xml:space="preserve"> od doruč</w:t>
      </w:r>
      <w:r w:rsidRPr="00216273">
        <w:rPr>
          <w:rFonts w:ascii="Arial" w:eastAsia="Calibri" w:hAnsi="Arial" w:cs="Arial" w:hint="default"/>
          <w:sz w:val="20"/>
          <w:szCs w:val="20"/>
        </w:rPr>
        <w:t>enia ž</w:t>
      </w:r>
      <w:r w:rsidRPr="00216273">
        <w:rPr>
          <w:rFonts w:ascii="Arial" w:eastAsia="Calibri" w:hAnsi="Arial" w:cs="Arial" w:hint="default"/>
          <w:sz w:val="20"/>
          <w:szCs w:val="20"/>
        </w:rPr>
        <w:t>iadosti“.</w:t>
      </w:r>
    </w:p>
    <w:p w:rsidR="00216273" w:rsidRPr="00216273" w:rsidP="00216273">
      <w:pPr>
        <w:bidi w:val="0"/>
        <w:rPr>
          <w:rFonts w:ascii="Arial" w:eastAsia="Calibri" w:hAnsi="Arial" w:cs="Arial"/>
          <w:sz w:val="20"/>
          <w:szCs w:val="20"/>
        </w:rPr>
      </w:pPr>
    </w:p>
    <w:p w:rsidR="00216273" w:rsidRPr="00216273" w:rsidP="00216273">
      <w:pPr>
        <w:bidi w:val="0"/>
        <w:ind w:left="3540"/>
        <w:rPr>
          <w:rFonts w:ascii="Arial" w:eastAsia="Calibri" w:hAnsi="Arial" w:cs="Arial" w:hint="default"/>
          <w:sz w:val="20"/>
          <w:szCs w:val="20"/>
        </w:rPr>
      </w:pPr>
      <w:r w:rsidRPr="00216273">
        <w:rPr>
          <w:rFonts w:ascii="Arial" w:eastAsia="Calibri" w:hAnsi="Arial" w:cs="Arial" w:hint="default"/>
          <w:sz w:val="20"/>
          <w:szCs w:val="20"/>
        </w:rPr>
        <w:t>Navrhované</w:t>
      </w:r>
      <w:r w:rsidRPr="00216273">
        <w:rPr>
          <w:rFonts w:ascii="Arial" w:eastAsia="Calibri" w:hAnsi="Arial" w:cs="Arial" w:hint="default"/>
          <w:sz w:val="20"/>
          <w:szCs w:val="20"/>
        </w:rPr>
        <w:t xml:space="preserve"> doplnenie lehoty na zaslanie informá</w:t>
      </w:r>
      <w:r w:rsidRPr="00216273">
        <w:rPr>
          <w:rFonts w:ascii="Arial" w:eastAsia="Calibri" w:hAnsi="Arial" w:cs="Arial" w:hint="default"/>
          <w:sz w:val="20"/>
          <w:szCs w:val="20"/>
        </w:rPr>
        <w:t>cie druhé</w:t>
      </w:r>
      <w:r w:rsidRPr="00216273">
        <w:rPr>
          <w:rFonts w:ascii="Arial" w:eastAsia="Calibri" w:hAnsi="Arial" w:cs="Arial" w:hint="default"/>
          <w:sz w:val="20"/>
          <w:szCs w:val="20"/>
        </w:rPr>
        <w:t>mu č</w:t>
      </w:r>
      <w:r w:rsidRPr="00216273">
        <w:rPr>
          <w:rFonts w:ascii="Arial" w:eastAsia="Calibri" w:hAnsi="Arial" w:cs="Arial" w:hint="default"/>
          <w:sz w:val="20"/>
          <w:szCs w:val="20"/>
        </w:rPr>
        <w:t>lenské</w:t>
      </w:r>
      <w:r w:rsidRPr="00216273">
        <w:rPr>
          <w:rFonts w:ascii="Arial" w:eastAsia="Calibri" w:hAnsi="Arial" w:cs="Arial" w:hint="default"/>
          <w:sz w:val="20"/>
          <w:szCs w:val="20"/>
        </w:rPr>
        <w:t>mu š</w:t>
      </w:r>
      <w:r w:rsidRPr="00216273">
        <w:rPr>
          <w:rFonts w:ascii="Arial" w:eastAsia="Calibri" w:hAnsi="Arial" w:cs="Arial" w:hint="default"/>
          <w:sz w:val="20"/>
          <w:szCs w:val="20"/>
        </w:rPr>
        <w:t>tá</w:t>
      </w:r>
      <w:r w:rsidRPr="00216273">
        <w:rPr>
          <w:rFonts w:ascii="Arial" w:eastAsia="Calibri" w:hAnsi="Arial" w:cs="Arial" w:hint="default"/>
          <w:sz w:val="20"/>
          <w:szCs w:val="20"/>
        </w:rPr>
        <w:t>tu zosú</w:t>
      </w:r>
      <w:r w:rsidRPr="00216273">
        <w:rPr>
          <w:rFonts w:ascii="Arial" w:eastAsia="Calibri" w:hAnsi="Arial" w:cs="Arial" w:hint="default"/>
          <w:sz w:val="20"/>
          <w:szCs w:val="20"/>
        </w:rPr>
        <w:t>laď</w:t>
      </w:r>
      <w:r w:rsidRPr="00216273">
        <w:rPr>
          <w:rFonts w:ascii="Arial" w:eastAsia="Calibri" w:hAnsi="Arial" w:cs="Arial" w:hint="default"/>
          <w:sz w:val="20"/>
          <w:szCs w:val="20"/>
        </w:rPr>
        <w:t>uje zneni</w:t>
      </w:r>
      <w:r w:rsidRPr="00216273">
        <w:rPr>
          <w:rFonts w:ascii="Arial" w:eastAsia="Calibri" w:hAnsi="Arial" w:cs="Arial" w:hint="default"/>
          <w:sz w:val="20"/>
          <w:szCs w:val="20"/>
        </w:rPr>
        <w:t>e ustanovenia s č</w:t>
      </w:r>
      <w:r w:rsidRPr="00216273">
        <w:rPr>
          <w:rFonts w:ascii="Arial" w:eastAsia="Calibri" w:hAnsi="Arial" w:cs="Arial" w:hint="default"/>
          <w:sz w:val="20"/>
          <w:szCs w:val="20"/>
        </w:rPr>
        <w:t>l. 8 ods. 5 smernice 2003/109/ES.</w:t>
      </w:r>
    </w:p>
    <w:p w:rsidR="00216273" w:rsidRPr="00216273" w:rsidP="00216273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216273" w:rsidRPr="00216273" w:rsidP="00216273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216273" w:rsidRPr="00216273" w:rsidP="00216273">
      <w:pPr>
        <w:pStyle w:val="NormalWeb"/>
        <w:numPr>
          <w:numId w:val="5"/>
        </w:numPr>
        <w:bidi w:val="0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216273">
        <w:rPr>
          <w:rFonts w:ascii="Arial" w:hAnsi="Arial" w:cs="Arial"/>
          <w:color w:val="000000"/>
          <w:sz w:val="20"/>
          <w:szCs w:val="20"/>
          <w:u w:val="single"/>
        </w:rPr>
        <w:t>K čl. I 163. bod (§131a)</w:t>
      </w:r>
    </w:p>
    <w:p w:rsidR="00216273" w:rsidP="00216273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216273">
        <w:rPr>
          <w:rFonts w:ascii="Arial" w:hAnsi="Arial" w:cs="Arial"/>
          <w:color w:val="000000"/>
          <w:sz w:val="20"/>
          <w:szCs w:val="20"/>
        </w:rPr>
        <w:t xml:space="preserve">     V navrhovanom § 131a odsek 1 znie:</w:t>
      </w:r>
    </w:p>
    <w:p w:rsidR="00216273" w:rsidRPr="00216273" w:rsidP="00216273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216273" w:rsidRPr="00216273" w:rsidP="00216273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216273">
        <w:rPr>
          <w:rFonts w:ascii="Arial" w:hAnsi="Arial" w:cs="Arial"/>
          <w:color w:val="000000"/>
          <w:sz w:val="20"/>
          <w:szCs w:val="20"/>
        </w:rPr>
        <w:t>„(1) Konania podľa tohto zákona začaté pred 1. májom 2013 sa dokončia podľa predpisov účinných do 30. apríla 2013; podľa ustanovení tohto zákona účinných od 1. mája 2013 sa dokončia iba vtedy, ak je to pre osobu priaznivejšie.“.</w:t>
      </w:r>
    </w:p>
    <w:p w:rsidR="00216273" w:rsidRPr="00216273" w:rsidP="00216273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216273" w:rsidRPr="00216273" w:rsidP="00216273">
      <w:pPr>
        <w:pStyle w:val="NormalWeb"/>
        <w:bidi w:val="0"/>
        <w:spacing w:before="0" w:beforeAutospacing="0" w:after="0" w:afterAutospacing="0"/>
        <w:ind w:left="3540"/>
        <w:jc w:val="both"/>
        <w:rPr>
          <w:rFonts w:ascii="Arial" w:hAnsi="Arial" w:cs="Arial"/>
          <w:color w:val="000000"/>
          <w:sz w:val="20"/>
          <w:szCs w:val="20"/>
        </w:rPr>
      </w:pPr>
      <w:r w:rsidRPr="00216273">
        <w:rPr>
          <w:rFonts w:ascii="Arial" w:hAnsi="Arial" w:cs="Arial"/>
          <w:color w:val="000000"/>
          <w:sz w:val="20"/>
          <w:szCs w:val="20"/>
        </w:rPr>
        <w:t>V súlade s  právnou istotou ako jedného z princípov právneho štátu je potrebné z hľadiska jasnosti a určitosti právneho predpisu jednoznačne vymedziť, podľa ktorých ustanovení zákona o pobyte cudzincov sa bude postupovať v konaniach začatých pred účinnosťou navrhovanej novely, teda pred 1. májom 2013.</w:t>
      </w:r>
    </w:p>
    <w:p w:rsidR="00216273" w:rsidRPr="00216273" w:rsidP="00216273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216273" w:rsidRPr="00216273" w:rsidP="00216273">
      <w:pPr>
        <w:bidi w:val="0"/>
        <w:rPr>
          <w:rFonts w:ascii="Arial" w:hAnsi="Arial" w:cs="Arial"/>
          <w:sz w:val="20"/>
          <w:szCs w:val="20"/>
        </w:rPr>
      </w:pPr>
    </w:p>
    <w:p w:rsidR="00216273" w:rsidRPr="00216273" w:rsidP="00216273">
      <w:pPr>
        <w:pStyle w:val="ListParagraph"/>
        <w:numPr>
          <w:numId w:val="5"/>
        </w:numPr>
        <w:bidi w:val="0"/>
        <w:rPr>
          <w:rFonts w:ascii="Arial" w:hAnsi="Arial" w:cs="Arial"/>
          <w:sz w:val="20"/>
          <w:szCs w:val="20"/>
          <w:u w:val="single"/>
        </w:rPr>
      </w:pPr>
      <w:r w:rsidRPr="00216273">
        <w:rPr>
          <w:rFonts w:ascii="Arial" w:hAnsi="Arial" w:cs="Arial"/>
          <w:sz w:val="20"/>
          <w:szCs w:val="20"/>
          <w:u w:val="single"/>
        </w:rPr>
        <w:t>K čl. II 2. bod</w:t>
      </w:r>
    </w:p>
    <w:p w:rsidR="00216273" w:rsidP="00216273">
      <w:pPr>
        <w:bidi w:val="0"/>
        <w:rPr>
          <w:rFonts w:ascii="Arial" w:hAnsi="Arial" w:cs="Arial"/>
          <w:sz w:val="20"/>
          <w:szCs w:val="20"/>
        </w:rPr>
      </w:pPr>
      <w:r w:rsidRPr="00216273">
        <w:rPr>
          <w:rFonts w:ascii="Arial" w:hAnsi="Arial" w:cs="Arial"/>
          <w:sz w:val="20"/>
          <w:szCs w:val="20"/>
        </w:rPr>
        <w:t xml:space="preserve">     V čl. II sa vypúšťa 2. bod.</w:t>
      </w:r>
    </w:p>
    <w:p w:rsidR="00216273" w:rsidRPr="00216273" w:rsidP="00216273">
      <w:pPr>
        <w:bidi w:val="0"/>
        <w:rPr>
          <w:rFonts w:ascii="Arial" w:hAnsi="Arial" w:cs="Arial"/>
          <w:sz w:val="20"/>
          <w:szCs w:val="20"/>
        </w:rPr>
      </w:pPr>
    </w:p>
    <w:p w:rsidR="00216273" w:rsidRPr="00216273" w:rsidP="00216273">
      <w:pPr>
        <w:bidi w:val="0"/>
        <w:rPr>
          <w:rFonts w:ascii="Arial" w:hAnsi="Arial" w:cs="Arial"/>
          <w:sz w:val="20"/>
          <w:szCs w:val="20"/>
        </w:rPr>
      </w:pPr>
      <w:r w:rsidRPr="00216273">
        <w:rPr>
          <w:rFonts w:ascii="Arial" w:hAnsi="Arial" w:cs="Arial"/>
          <w:sz w:val="20"/>
          <w:szCs w:val="20"/>
        </w:rPr>
        <w:t xml:space="preserve">      Zároveň v 1. bode v   navrhovanom § 250sa  v odseku 1 nad slovom „zaistenia“ odkaz „32a“ a poznámka pod čiarou k odkazu „32a“ sa označuje ako odkaz a poznámka pod čiarou „32aa“.</w:t>
      </w:r>
    </w:p>
    <w:p w:rsidR="00216273" w:rsidRPr="00216273" w:rsidP="00216273">
      <w:pPr>
        <w:bidi w:val="0"/>
        <w:rPr>
          <w:rFonts w:ascii="Arial" w:hAnsi="Arial" w:cs="Arial"/>
          <w:sz w:val="20"/>
          <w:szCs w:val="20"/>
        </w:rPr>
      </w:pPr>
      <w:r w:rsidRPr="00216273">
        <w:rPr>
          <w:rFonts w:ascii="Arial" w:hAnsi="Arial" w:cs="Arial"/>
          <w:sz w:val="20"/>
          <w:szCs w:val="20"/>
        </w:rPr>
        <w:t xml:space="preserve">     S prihliadnutím na vypustenie 2. bodu sa označenie 1. bodu zrušuje.</w:t>
      </w:r>
    </w:p>
    <w:p w:rsidR="00216273" w:rsidRPr="00216273" w:rsidP="00216273">
      <w:pPr>
        <w:bidi w:val="0"/>
        <w:rPr>
          <w:rFonts w:ascii="Arial" w:hAnsi="Arial" w:cs="Arial"/>
          <w:sz w:val="20"/>
          <w:szCs w:val="20"/>
        </w:rPr>
      </w:pPr>
    </w:p>
    <w:p w:rsidR="00216273" w:rsidRPr="00216273" w:rsidP="00216273">
      <w:pPr>
        <w:bidi w:val="0"/>
        <w:ind w:left="3540"/>
        <w:rPr>
          <w:rFonts w:ascii="Arial" w:hAnsi="Arial" w:cs="Arial"/>
          <w:sz w:val="20"/>
          <w:szCs w:val="20"/>
        </w:rPr>
      </w:pPr>
      <w:r w:rsidRPr="00216273">
        <w:rPr>
          <w:rFonts w:ascii="Arial" w:hAnsi="Arial" w:cs="Arial"/>
          <w:sz w:val="20"/>
          <w:szCs w:val="20"/>
        </w:rPr>
        <w:t xml:space="preserve">Ide o legislatívnu úpravu nadväzujúcu na legislatívno-technické pravidla tvorby zákonov, v zmysle ktorých sa poznámky pod čiarou vnútri zákona neprečíslujú. </w:t>
      </w:r>
    </w:p>
    <w:p w:rsidR="00216273" w:rsidRPr="00216273" w:rsidP="00216273">
      <w:pPr>
        <w:bidi w:val="0"/>
        <w:rPr>
          <w:rFonts w:ascii="Arial" w:hAnsi="Arial" w:cs="Arial"/>
          <w:sz w:val="20"/>
          <w:szCs w:val="20"/>
        </w:rPr>
      </w:pPr>
    </w:p>
    <w:p w:rsidR="00216273" w:rsidRPr="00216273" w:rsidP="00216273">
      <w:pPr>
        <w:pStyle w:val="ListParagraph"/>
        <w:numPr>
          <w:numId w:val="5"/>
        </w:numPr>
        <w:bidi w:val="0"/>
        <w:rPr>
          <w:rFonts w:ascii="Arial" w:hAnsi="Arial" w:cs="Arial"/>
          <w:sz w:val="20"/>
          <w:szCs w:val="20"/>
          <w:u w:val="single"/>
        </w:rPr>
      </w:pPr>
      <w:r w:rsidRPr="00216273">
        <w:rPr>
          <w:rFonts w:ascii="Arial" w:hAnsi="Arial" w:cs="Arial"/>
          <w:sz w:val="20"/>
          <w:szCs w:val="20"/>
          <w:u w:val="single"/>
        </w:rPr>
        <w:t>K čl. III 4. bod</w:t>
      </w:r>
    </w:p>
    <w:p w:rsidR="00216273" w:rsidP="00216273">
      <w:pPr>
        <w:bidi w:val="0"/>
        <w:rPr>
          <w:rFonts w:ascii="Arial" w:hAnsi="Arial" w:cs="Arial"/>
          <w:sz w:val="20"/>
          <w:szCs w:val="20"/>
        </w:rPr>
      </w:pPr>
      <w:r w:rsidRPr="00216273">
        <w:rPr>
          <w:rFonts w:ascii="Arial" w:hAnsi="Arial" w:cs="Arial"/>
          <w:sz w:val="20"/>
          <w:szCs w:val="20"/>
        </w:rPr>
        <w:t xml:space="preserve">    V čl. III sa vypúšťa 4. bod.</w:t>
      </w:r>
    </w:p>
    <w:p w:rsidR="00216273" w:rsidRPr="00216273" w:rsidP="00216273">
      <w:pPr>
        <w:bidi w:val="0"/>
        <w:rPr>
          <w:rFonts w:ascii="Arial" w:hAnsi="Arial" w:cs="Arial"/>
          <w:sz w:val="20"/>
          <w:szCs w:val="20"/>
        </w:rPr>
      </w:pPr>
    </w:p>
    <w:p w:rsidR="00216273" w:rsidRPr="00216273" w:rsidP="00216273">
      <w:pPr>
        <w:bidi w:val="0"/>
        <w:rPr>
          <w:rFonts w:ascii="Arial" w:hAnsi="Arial" w:cs="Arial"/>
          <w:sz w:val="20"/>
          <w:szCs w:val="20"/>
        </w:rPr>
      </w:pPr>
      <w:r w:rsidRPr="00216273">
        <w:rPr>
          <w:rFonts w:ascii="Arial" w:hAnsi="Arial" w:cs="Arial"/>
          <w:sz w:val="20"/>
          <w:szCs w:val="20"/>
        </w:rPr>
        <w:t xml:space="preserve">      Zároveň v 3. bode  v   navrhovanom § 20a ods. 1 posledná veta v písmene f)  nad slovom „predpisu“ odkaz „10a“  a poznámka pod čiarou k odkazu „10a“ sa označuje ako odkaz a poznámka pod čiarou „10aa“.</w:t>
      </w:r>
    </w:p>
    <w:p w:rsidR="00216273" w:rsidRPr="00216273" w:rsidP="00216273">
      <w:pPr>
        <w:bidi w:val="0"/>
        <w:rPr>
          <w:rFonts w:ascii="Arial" w:hAnsi="Arial" w:cs="Arial"/>
          <w:sz w:val="20"/>
          <w:szCs w:val="20"/>
        </w:rPr>
      </w:pPr>
      <w:r w:rsidRPr="00216273">
        <w:rPr>
          <w:rFonts w:ascii="Arial" w:hAnsi="Arial" w:cs="Arial"/>
          <w:sz w:val="20"/>
          <w:szCs w:val="20"/>
        </w:rPr>
        <w:t xml:space="preserve">     S prihliadnutím na vypustenie 4. bodu sa  5. bod označuje ako 4. bod.</w:t>
      </w:r>
    </w:p>
    <w:p w:rsidR="00216273" w:rsidRPr="00216273" w:rsidP="00216273">
      <w:pPr>
        <w:bidi w:val="0"/>
        <w:rPr>
          <w:rFonts w:ascii="Arial" w:hAnsi="Arial" w:cs="Arial"/>
          <w:sz w:val="20"/>
          <w:szCs w:val="20"/>
        </w:rPr>
      </w:pPr>
    </w:p>
    <w:p w:rsidR="00216273" w:rsidRPr="00216273" w:rsidP="00216273">
      <w:pPr>
        <w:bidi w:val="0"/>
        <w:ind w:left="3540"/>
        <w:rPr>
          <w:rFonts w:ascii="Arial" w:hAnsi="Arial" w:cs="Arial"/>
          <w:sz w:val="20"/>
          <w:szCs w:val="20"/>
        </w:rPr>
      </w:pPr>
      <w:r w:rsidRPr="00216273">
        <w:rPr>
          <w:rFonts w:ascii="Arial" w:hAnsi="Arial" w:cs="Arial"/>
          <w:sz w:val="20"/>
          <w:szCs w:val="20"/>
        </w:rPr>
        <w:t xml:space="preserve">Ide o legislatívnu úpravu nadväzujúcu na legislatívno-technické pravidla tvorby zákonov, v zmysle ktorých sa poznámky pod čiarou vnútri zákona neprečíslujú. </w:t>
      </w:r>
    </w:p>
    <w:p w:rsidR="00216273" w:rsidRPr="00216273" w:rsidP="00216273">
      <w:pPr>
        <w:bidi w:val="0"/>
        <w:rPr>
          <w:rFonts w:ascii="Arial" w:hAnsi="Arial" w:cs="Arial"/>
          <w:sz w:val="20"/>
          <w:szCs w:val="20"/>
        </w:rPr>
      </w:pPr>
    </w:p>
    <w:p w:rsidR="00216273" w:rsidRPr="00216273" w:rsidP="00216273">
      <w:pPr>
        <w:bidi w:val="0"/>
        <w:rPr>
          <w:rFonts w:ascii="Arial" w:hAnsi="Arial" w:cs="Arial"/>
          <w:sz w:val="20"/>
          <w:szCs w:val="20"/>
        </w:rPr>
      </w:pPr>
    </w:p>
    <w:p w:rsidR="00216273" w:rsidRPr="00216273" w:rsidP="00216273">
      <w:pPr>
        <w:pStyle w:val="ListParagraph"/>
        <w:numPr>
          <w:numId w:val="5"/>
        </w:numPr>
        <w:bidi w:val="0"/>
        <w:rPr>
          <w:rFonts w:ascii="Arial" w:hAnsi="Arial" w:cs="Arial"/>
          <w:sz w:val="20"/>
          <w:szCs w:val="20"/>
          <w:u w:val="single"/>
        </w:rPr>
      </w:pPr>
      <w:r w:rsidRPr="00216273">
        <w:rPr>
          <w:rFonts w:ascii="Arial" w:hAnsi="Arial" w:cs="Arial"/>
          <w:sz w:val="20"/>
          <w:szCs w:val="20"/>
          <w:u w:val="single"/>
        </w:rPr>
        <w:t>K čl. V 38. bod (§ 54b)</w:t>
      </w:r>
    </w:p>
    <w:p w:rsidR="00216273" w:rsidRPr="00216273" w:rsidP="00216273">
      <w:pPr>
        <w:bidi w:val="0"/>
        <w:rPr>
          <w:rFonts w:ascii="Arial" w:hAnsi="Arial" w:cs="Arial"/>
          <w:sz w:val="20"/>
          <w:szCs w:val="20"/>
        </w:rPr>
      </w:pPr>
      <w:r w:rsidRPr="00216273">
        <w:rPr>
          <w:rFonts w:ascii="Arial" w:hAnsi="Arial" w:cs="Arial"/>
          <w:sz w:val="20"/>
          <w:szCs w:val="20"/>
        </w:rPr>
        <w:t xml:space="preserve">    V navrhovanom § 54b sa na konci slová „podľa predpisov účinných do 30. apríla 2013“ nahrádzajú slovami „podľa ustanovení tohto zákona účinných do 30. apríla 2013“.</w:t>
      </w:r>
    </w:p>
    <w:p w:rsidR="00216273" w:rsidRPr="00216273" w:rsidP="00216273">
      <w:pPr>
        <w:bidi w:val="0"/>
        <w:rPr>
          <w:rFonts w:ascii="Arial" w:hAnsi="Arial" w:cs="Arial"/>
          <w:sz w:val="20"/>
          <w:szCs w:val="20"/>
        </w:rPr>
      </w:pPr>
    </w:p>
    <w:p w:rsidR="00216273" w:rsidRPr="00216273" w:rsidP="00216273">
      <w:pPr>
        <w:bidi w:val="0"/>
        <w:ind w:left="3540"/>
        <w:rPr>
          <w:rFonts w:ascii="Arial" w:hAnsi="Arial" w:cs="Arial"/>
          <w:sz w:val="20"/>
          <w:szCs w:val="20"/>
        </w:rPr>
      </w:pPr>
      <w:r w:rsidRPr="00216273">
        <w:rPr>
          <w:rFonts w:ascii="Arial" w:hAnsi="Arial" w:cs="Arial"/>
          <w:sz w:val="20"/>
          <w:szCs w:val="20"/>
        </w:rPr>
        <w:t>Ide o spresnenie navrhovaného ustanovenia z hľadiska jeho jasnosti a určitosti.</w:t>
      </w:r>
    </w:p>
    <w:p w:rsidR="00216273" w:rsidP="00216273">
      <w:pPr>
        <w:bidi w:val="0"/>
        <w:ind w:left="354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102AE"/>
    <w:multiLevelType w:val="hybridMultilevel"/>
    <w:tmpl w:val="131EBB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44442B8A"/>
    <w:multiLevelType w:val="hybridMultilevel"/>
    <w:tmpl w:val="B18A8D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44B080E"/>
    <w:multiLevelType w:val="hybridMultilevel"/>
    <w:tmpl w:val="F06290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TrackMoves/>
  <w:defaultTabStop w:val="708"/>
  <w:hyphenationZone w:val="425"/>
  <w:characterSpacingControl w:val="doNotCompress"/>
  <w:compat/>
  <w:rsids>
    <w:rsidRoot w:val="00C26F5D"/>
    <w:rsid w:val="00216273"/>
    <w:rsid w:val="00325146"/>
    <w:rsid w:val="00397837"/>
    <w:rsid w:val="008912A6"/>
    <w:rsid w:val="00C26F5D"/>
    <w:rsid w:val="00D60E30"/>
    <w:rsid w:val="00FB50A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273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6273"/>
    <w:pPr>
      <w:ind w:left="720"/>
      <w:contextualSpacing/>
      <w:jc w:val="left"/>
    </w:pPr>
  </w:style>
  <w:style w:type="paragraph" w:styleId="NormalWeb">
    <w:name w:val="Normal (Web)"/>
    <w:basedOn w:val="Normal"/>
    <w:uiPriority w:val="99"/>
    <w:unhideWhenUsed/>
    <w:rsid w:val="00216273"/>
    <w:pPr>
      <w:widowControl/>
      <w:autoSpaceDE/>
      <w:autoSpaceDN/>
      <w:adjustRightInd/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616</Words>
  <Characters>3515</Characters>
  <Application>Microsoft Office Word</Application>
  <DocSecurity>0</DocSecurity>
  <Lines>0</Lines>
  <Paragraphs>0</Paragraphs>
  <ScaleCrop>false</ScaleCrop>
  <Company>Kancelaria NR SR</Company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Birova, Marta</cp:lastModifiedBy>
  <cp:revision>2</cp:revision>
  <dcterms:created xsi:type="dcterms:W3CDTF">2013-03-11T10:25:00Z</dcterms:created>
  <dcterms:modified xsi:type="dcterms:W3CDTF">2013-03-11T10:25:00Z</dcterms:modified>
</cp:coreProperties>
</file>