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A5FD3" w:rsidRPr="004A5FD3" w:rsidP="004A5FD3">
      <w:pPr>
        <w:bidi w:val="0"/>
        <w:spacing w:after="0" w:line="240" w:lineRule="auto"/>
        <w:jc w:val="center"/>
        <w:outlineLvl w:val="4"/>
        <w:rPr>
          <w:rFonts w:ascii="Times New Roman" w:hAnsi="Times New Roman" w:cs="Arial"/>
          <w:b/>
          <w:bCs/>
          <w:sz w:val="26"/>
          <w:szCs w:val="26"/>
          <w:lang w:eastAsia="sk-SK"/>
        </w:rPr>
      </w:pPr>
      <w:r w:rsidRPr="004A5FD3">
        <w:rPr>
          <w:rFonts w:ascii="Times New Roman" w:hAnsi="Times New Roman" w:cs="Arial"/>
          <w:b/>
          <w:bCs/>
          <w:sz w:val="26"/>
          <w:szCs w:val="26"/>
          <w:lang w:eastAsia="sk-SK"/>
        </w:rPr>
        <w:t>Dôvodová správa</w:t>
      </w:r>
    </w:p>
    <w:p w:rsidR="004A5FD3" w:rsidRPr="004A5FD3" w:rsidP="004A5FD3">
      <w:pPr>
        <w:bidi w:val="0"/>
        <w:spacing w:after="0" w:line="240" w:lineRule="auto"/>
        <w:jc w:val="both"/>
        <w:outlineLvl w:val="4"/>
        <w:rPr>
          <w:rFonts w:ascii="Times New Roman" w:hAnsi="Times New Roman" w:cs="Arial"/>
          <w:b/>
          <w:bCs/>
          <w:sz w:val="24"/>
          <w:szCs w:val="24"/>
          <w:lang w:eastAsia="sk-SK"/>
        </w:rPr>
      </w:pPr>
    </w:p>
    <w:p w:rsidR="004A5FD3" w:rsidRPr="004A5FD3" w:rsidP="004A5FD3">
      <w:pPr>
        <w:numPr>
          <w:numId w:val="10"/>
        </w:numPr>
        <w:bidi w:val="0"/>
        <w:spacing w:after="0" w:line="240" w:lineRule="auto"/>
        <w:ind w:hanging="720"/>
        <w:jc w:val="both"/>
        <w:outlineLvl w:val="4"/>
        <w:rPr>
          <w:rFonts w:ascii="Times New Roman" w:hAnsi="Times New Roman" w:cs="Arial"/>
          <w:b/>
          <w:bCs/>
          <w:sz w:val="24"/>
          <w:szCs w:val="24"/>
          <w:lang w:eastAsia="sk-SK"/>
        </w:rPr>
      </w:pPr>
      <w:r w:rsidRPr="004A5FD3">
        <w:rPr>
          <w:rFonts w:ascii="Times New Roman" w:hAnsi="Times New Roman" w:cs="Arial"/>
          <w:b/>
          <w:bCs/>
          <w:sz w:val="24"/>
          <w:szCs w:val="24"/>
          <w:lang w:eastAsia="sk-SK"/>
        </w:rPr>
        <w:t>Všeobecná časť</w:t>
      </w:r>
    </w:p>
    <w:p w:rsidR="004A5FD3" w:rsidRPr="004A5FD3" w:rsidP="004A5FD3">
      <w:pPr>
        <w:bidi w:val="0"/>
        <w:spacing w:after="0" w:line="240" w:lineRule="auto"/>
        <w:jc w:val="both"/>
        <w:outlineLvl w:val="4"/>
        <w:rPr>
          <w:rFonts w:ascii="Times New Roman" w:hAnsi="Times New Roman" w:cs="Arial"/>
          <w:b/>
          <w:bCs/>
          <w:sz w:val="24"/>
          <w:szCs w:val="24"/>
          <w:lang w:eastAsia="sk-SK"/>
        </w:rPr>
      </w:pPr>
    </w:p>
    <w:p w:rsidR="004A5FD3" w:rsidRPr="004A5FD3" w:rsidP="004A5FD3">
      <w:pPr>
        <w:bidi w:val="0"/>
        <w:spacing w:after="0" w:line="240" w:lineRule="auto"/>
        <w:jc w:val="both"/>
        <w:outlineLvl w:val="4"/>
        <w:rPr>
          <w:rFonts w:ascii="Times New Roman" w:hAnsi="Times New Roman" w:cs="Arial"/>
          <w:bCs/>
          <w:sz w:val="24"/>
          <w:szCs w:val="24"/>
          <w:lang w:eastAsia="sk-SK"/>
        </w:rPr>
      </w:pPr>
      <w:r w:rsidRPr="004A5FD3">
        <w:rPr>
          <w:rFonts w:ascii="Times New Roman" w:hAnsi="Times New Roman" w:cs="Arial"/>
          <w:b/>
          <w:bCs/>
          <w:sz w:val="24"/>
          <w:szCs w:val="24"/>
          <w:lang w:eastAsia="sk-SK"/>
        </w:rPr>
        <w:t xml:space="preserve"> </w:t>
      </w:r>
    </w:p>
    <w:p w:rsidR="004A5FD3" w:rsidRPr="004A5FD3" w:rsidP="004A5FD3">
      <w:pPr>
        <w:bidi w:val="0"/>
        <w:spacing w:after="0" w:line="240" w:lineRule="auto"/>
        <w:jc w:val="both"/>
        <w:rPr>
          <w:rFonts w:ascii="Times New Roman" w:hAnsi="Times New Roman" w:cs="Times New Roman"/>
          <w:sz w:val="24"/>
          <w:szCs w:val="24"/>
        </w:rPr>
      </w:pPr>
      <w:r w:rsidRPr="004A5FD3">
        <w:rPr>
          <w:rFonts w:ascii="Times New Roman" w:hAnsi="Times New Roman" w:cs="Times New Roman"/>
          <w:sz w:val="24"/>
          <w:szCs w:val="24"/>
        </w:rPr>
        <w:t>Návrh zákona vychádza z Národnej koncepcie informatizácie verejnej správy, ktorá bola schválená uznesením vlády Slovenskej republiky č. 331 z 21.05.2008 a podľa ktorej sa predpokladá vytvorenie registra fyzických osôb ako jedného zo štyroch základných registrov. Základnými cieľmi predloženého návrhu zákona je právna úprava vzniku registra fyzických osôb, centrálnej ohlasovne a úprava vzťahov a postupov pri prihlasovaní a odhlasovaní z pobytu vyplývajúca z aplikačnej praxe zákona č. 253/1998 Z. z. o hlásení pobytu občanov Slovenskej republiky a registri obyvateľov Slovenskej republiky v znení neskorších predpisov.</w:t>
      </w:r>
    </w:p>
    <w:p w:rsidR="004A5FD3" w:rsidRPr="004A5FD3" w:rsidP="004A5FD3">
      <w:pPr>
        <w:bidi w:val="0"/>
        <w:spacing w:after="0" w:line="240" w:lineRule="auto"/>
        <w:jc w:val="both"/>
        <w:rPr>
          <w:rFonts w:ascii="Times New Roman" w:hAnsi="Times New Roman" w:cs="Times New Roman"/>
          <w:sz w:val="24"/>
          <w:szCs w:val="24"/>
        </w:rPr>
      </w:pPr>
    </w:p>
    <w:p w:rsidR="004A5FD3" w:rsidRPr="004A5FD3" w:rsidP="004A5FD3">
      <w:pPr>
        <w:bidi w:val="0"/>
        <w:spacing w:after="0" w:line="240" w:lineRule="auto"/>
        <w:jc w:val="both"/>
        <w:rPr>
          <w:rFonts w:ascii="Times New Roman" w:hAnsi="Times New Roman" w:cs="Times New Roman"/>
          <w:sz w:val="24"/>
          <w:szCs w:val="24"/>
        </w:rPr>
      </w:pPr>
      <w:r w:rsidRPr="004A5FD3">
        <w:rPr>
          <w:rFonts w:ascii="Times New Roman" w:hAnsi="Times New Roman" w:cs="Times New Roman"/>
          <w:sz w:val="24"/>
          <w:szCs w:val="24"/>
        </w:rPr>
        <w:t>Cieľom legislatívnej úpravy je zriadenie informačného systému Register fyzických osôb a jeho zavedenie do rutinnej prevádzky. Register fyzických osôb bude slúžiť ako zdroj aktuálnych osobných údajov o občanoch Slovenskej republiky s pobytom na území Slovenskej republiky a s pobytom mimo územia Slovenskej republiky, o cudzincoch s pobytom na území Slovenskej republiky, ako aj o iných osobách – cudzincoch bez pobytu na území Slovenskej republiky, ktorí prišli do styku s verejnou správou. Register fyzických osôb ako jednotný a dátovo konzistentný zdroj údajov o všetkých fyzických osobách, ktoré prídu do styku s verejnou správou, bude orgánmi verejnej správy využívaný ako jedinečný a najdôležitejší dátový zdroj. V praxi to znamená, že orgány verejnej správy už nebudú musieť zisťovať pravosť a hodnovernosť údajov pre svoje potreby z rôznych dostupných zdrojov, ale iba z jedného registra fyzických osôb.</w:t>
      </w:r>
    </w:p>
    <w:p w:rsidR="004A5FD3" w:rsidRPr="004A5FD3" w:rsidP="004A5FD3">
      <w:pPr>
        <w:bidi w:val="0"/>
        <w:spacing w:after="0" w:line="240" w:lineRule="auto"/>
        <w:jc w:val="both"/>
        <w:rPr>
          <w:rFonts w:ascii="Times New Roman" w:hAnsi="Times New Roman" w:cs="Times New Roman"/>
          <w:sz w:val="24"/>
          <w:szCs w:val="24"/>
        </w:rPr>
      </w:pPr>
    </w:p>
    <w:p w:rsidR="004A5FD3" w:rsidRPr="004A5FD3" w:rsidP="004A5FD3">
      <w:pPr>
        <w:bidi w:val="0"/>
        <w:spacing w:after="0" w:line="240" w:lineRule="auto"/>
        <w:jc w:val="both"/>
        <w:rPr>
          <w:rFonts w:ascii="Times New Roman" w:hAnsi="Times New Roman" w:cs="Times New Roman"/>
          <w:sz w:val="24"/>
          <w:szCs w:val="24"/>
        </w:rPr>
      </w:pPr>
      <w:r w:rsidRPr="004A5FD3">
        <w:rPr>
          <w:rFonts w:ascii="Times New Roman" w:hAnsi="Times New Roman" w:cs="Times New Roman"/>
          <w:sz w:val="24"/>
          <w:szCs w:val="24"/>
        </w:rPr>
        <w:t>Navrhovanou právnou úpravou sa tak vytvorí základ pre elektronizáciu služieb verejnej správy na centrálnej úrovni a pre služby eGovernmentu. Údaje, ktoré bude register fyzických osôb poskytovať, budú môcť byť použité subjektmi verejnej správy na právne úkony bez ďalšieho overovania ich správnosti a dokladovania. Právnou úpravou sa zabezpečí plná funkčnosť a dostupnosť elektronických služieb registra pre používateľov oprávnených subjektov orgánov štátnej správy, orgánov územnej samosprávy, iných orgánov verejnej moci, alebo pre fyzické osoby a právnické osoby, ktorým boli zverené úlohy v oblasti verejnej správy podľa osobitných právnych predpisov.</w:t>
      </w:r>
    </w:p>
    <w:p w:rsidR="004A5FD3" w:rsidRPr="004A5FD3" w:rsidP="004A5FD3">
      <w:pPr>
        <w:bidi w:val="0"/>
        <w:spacing w:after="0" w:line="240" w:lineRule="auto"/>
        <w:jc w:val="both"/>
        <w:rPr>
          <w:rFonts w:ascii="Times New Roman" w:hAnsi="Times New Roman" w:cs="Times New Roman"/>
          <w:sz w:val="24"/>
          <w:szCs w:val="24"/>
        </w:rPr>
      </w:pPr>
    </w:p>
    <w:p w:rsidR="00033E5F" w:rsidP="00033E5F">
      <w:pPr>
        <w:bidi w:val="0"/>
        <w:spacing w:after="0" w:line="240" w:lineRule="auto"/>
        <w:jc w:val="both"/>
        <w:rPr>
          <w:rFonts w:ascii="Times New Roman" w:hAnsi="Times New Roman" w:cs="Times New Roman"/>
          <w:sz w:val="24"/>
          <w:szCs w:val="24"/>
        </w:rPr>
      </w:pPr>
      <w:r w:rsidRPr="004A5FD3" w:rsidR="004A5FD3">
        <w:rPr>
          <w:rFonts w:ascii="Times New Roman" w:hAnsi="Times New Roman" w:cs="Times New Roman"/>
          <w:sz w:val="24"/>
          <w:szCs w:val="24"/>
        </w:rPr>
        <w:t>Informačný systém register fyzických osôb je základným informačným systémom verejnej správy, ktorého účelom bude poskytovanie aktuálnych údajov o fyzických osobách v ňom vedených prostredníctvom elektronických služieb oprávneným subjektom z orgánov štátnej správy, orgánov územnej samosprávy, iných orgánov verejnej moci alebo fyzickým osobám a právnickým osobám ak im bola zverená pôsobnosť v oblasti verejnej správy podľa osobitných právnych predpisov a členským štátom EÚ alebo tretím krajinám, ak tak ustanovuje medzinárodná zmluva, ktorou je Slovenská republika viazaná. Register fyzických osôb vytvorí súbor aktuálnych údajov o fyzickej osobe z príslušnej zdrojovej agendy informačného systému Ministerstva vnútra Slovenskej republiky (ďalej len „ministerstvo“) alebo informačného systému príslušného subjektu verejnej správy. Register fyzických osôb bude tvorený kópiou údajov, ktoré sú vytvárané aktualizáciou údajov o fyzickej osobe v príslušnom zdrojovom agendovom informačnom systéme verejnej správy, alebo vytvorením zápisu údajov o fyzickej osobe v</w:t>
      </w:r>
      <w:r w:rsidR="005D3F68">
        <w:rPr>
          <w:rFonts w:ascii="Times New Roman" w:hAnsi="Times New Roman" w:cs="Times New Roman"/>
          <w:sz w:val="24"/>
          <w:szCs w:val="24"/>
        </w:rPr>
        <w:t xml:space="preserve">  </w:t>
      </w:r>
      <w:r w:rsidRPr="004A5FD3" w:rsidR="004A5FD3">
        <w:rPr>
          <w:rFonts w:ascii="Times New Roman" w:hAnsi="Times New Roman" w:cs="Times New Roman"/>
          <w:sz w:val="24"/>
          <w:szCs w:val="24"/>
        </w:rPr>
        <w:t>príslušnom</w:t>
      </w:r>
      <w:r w:rsidR="005D3F68">
        <w:rPr>
          <w:rFonts w:ascii="Times New Roman" w:hAnsi="Times New Roman" w:cs="Times New Roman"/>
          <w:sz w:val="24"/>
          <w:szCs w:val="24"/>
        </w:rPr>
        <w:t xml:space="preserve"> </w:t>
      </w:r>
      <w:r w:rsidRPr="004A5FD3" w:rsidR="004A5FD3">
        <w:rPr>
          <w:rFonts w:ascii="Times New Roman" w:hAnsi="Times New Roman" w:cs="Times New Roman"/>
          <w:sz w:val="24"/>
          <w:szCs w:val="24"/>
        </w:rPr>
        <w:t xml:space="preserve"> zdrojovom </w:t>
      </w:r>
      <w:r w:rsidR="005D3F68">
        <w:rPr>
          <w:rFonts w:ascii="Times New Roman" w:hAnsi="Times New Roman" w:cs="Times New Roman"/>
          <w:sz w:val="24"/>
          <w:szCs w:val="24"/>
        </w:rPr>
        <w:t xml:space="preserve">  </w:t>
      </w:r>
      <w:r w:rsidRPr="004A5FD3" w:rsidR="004A5FD3">
        <w:rPr>
          <w:rFonts w:ascii="Times New Roman" w:hAnsi="Times New Roman" w:cs="Times New Roman"/>
          <w:sz w:val="24"/>
          <w:szCs w:val="24"/>
        </w:rPr>
        <w:t>agendovom</w:t>
      </w:r>
      <w:r w:rsidR="005D3F68">
        <w:rPr>
          <w:rFonts w:ascii="Times New Roman" w:hAnsi="Times New Roman" w:cs="Times New Roman"/>
          <w:sz w:val="24"/>
          <w:szCs w:val="24"/>
        </w:rPr>
        <w:t xml:space="preserve"> </w:t>
      </w:r>
      <w:r w:rsidRPr="004A5FD3" w:rsidR="004A5FD3">
        <w:rPr>
          <w:rFonts w:ascii="Times New Roman" w:hAnsi="Times New Roman" w:cs="Times New Roman"/>
          <w:sz w:val="24"/>
          <w:szCs w:val="24"/>
        </w:rPr>
        <w:t xml:space="preserve"> informačnom </w:t>
      </w:r>
      <w:r w:rsidR="005D3F68">
        <w:rPr>
          <w:rFonts w:ascii="Times New Roman" w:hAnsi="Times New Roman" w:cs="Times New Roman"/>
          <w:sz w:val="24"/>
          <w:szCs w:val="24"/>
        </w:rPr>
        <w:t xml:space="preserve"> </w:t>
      </w:r>
      <w:r w:rsidRPr="004A5FD3" w:rsidR="004A5FD3">
        <w:rPr>
          <w:rFonts w:ascii="Times New Roman" w:hAnsi="Times New Roman" w:cs="Times New Roman"/>
          <w:sz w:val="24"/>
          <w:szCs w:val="24"/>
        </w:rPr>
        <w:t xml:space="preserve">systéme </w:t>
      </w:r>
      <w:r w:rsidR="005D3F68">
        <w:rPr>
          <w:rFonts w:ascii="Times New Roman" w:hAnsi="Times New Roman" w:cs="Times New Roman"/>
          <w:sz w:val="24"/>
          <w:szCs w:val="24"/>
        </w:rPr>
        <w:t xml:space="preserve"> </w:t>
      </w:r>
      <w:r w:rsidRPr="004A5FD3" w:rsidR="004A5FD3">
        <w:rPr>
          <w:rFonts w:ascii="Times New Roman" w:hAnsi="Times New Roman" w:cs="Times New Roman"/>
          <w:sz w:val="24"/>
          <w:szCs w:val="24"/>
        </w:rPr>
        <w:t xml:space="preserve">verejnej </w:t>
      </w:r>
      <w:r w:rsidR="005D3F68">
        <w:rPr>
          <w:rFonts w:ascii="Times New Roman" w:hAnsi="Times New Roman" w:cs="Times New Roman"/>
          <w:sz w:val="24"/>
          <w:szCs w:val="24"/>
        </w:rPr>
        <w:t xml:space="preserve"> </w:t>
      </w:r>
      <w:r w:rsidRPr="004A5FD3" w:rsidR="004A5FD3">
        <w:rPr>
          <w:rFonts w:ascii="Times New Roman" w:hAnsi="Times New Roman" w:cs="Times New Roman"/>
          <w:sz w:val="24"/>
          <w:szCs w:val="24"/>
        </w:rPr>
        <w:t xml:space="preserve">správy </w:t>
      </w:r>
      <w:r w:rsidR="005D3F68">
        <w:rPr>
          <w:rFonts w:ascii="Times New Roman" w:hAnsi="Times New Roman" w:cs="Times New Roman"/>
          <w:sz w:val="24"/>
          <w:szCs w:val="24"/>
        </w:rPr>
        <w:t xml:space="preserve"> </w:t>
      </w:r>
      <w:r w:rsidRPr="004A5FD3" w:rsidR="004A5FD3">
        <w:rPr>
          <w:rFonts w:ascii="Times New Roman" w:hAnsi="Times New Roman" w:cs="Times New Roman"/>
          <w:sz w:val="24"/>
          <w:szCs w:val="24"/>
        </w:rPr>
        <w:t xml:space="preserve">ak </w:t>
      </w:r>
      <w:r w:rsidR="005D3F68">
        <w:rPr>
          <w:rFonts w:ascii="Times New Roman" w:hAnsi="Times New Roman" w:cs="Times New Roman"/>
          <w:sz w:val="24"/>
          <w:szCs w:val="24"/>
        </w:rPr>
        <w:t xml:space="preserve"> </w:t>
      </w:r>
      <w:r w:rsidRPr="004A5FD3" w:rsidR="004A5FD3">
        <w:rPr>
          <w:rFonts w:ascii="Times New Roman" w:hAnsi="Times New Roman" w:cs="Times New Roman"/>
          <w:sz w:val="24"/>
          <w:szCs w:val="24"/>
        </w:rPr>
        <w:t>ide</w:t>
      </w:r>
      <w:r w:rsidR="005D3F68">
        <w:rPr>
          <w:rFonts w:ascii="Times New Roman" w:hAnsi="Times New Roman" w:cs="Times New Roman"/>
          <w:sz w:val="24"/>
          <w:szCs w:val="24"/>
        </w:rPr>
        <w:t xml:space="preserve">   </w:t>
      </w:r>
      <w:r w:rsidRPr="004A5FD3" w:rsidR="004A5FD3">
        <w:rPr>
          <w:rFonts w:ascii="Times New Roman" w:hAnsi="Times New Roman" w:cs="Times New Roman"/>
          <w:sz w:val="24"/>
          <w:szCs w:val="24"/>
        </w:rPr>
        <w:t xml:space="preserve"> napr. </w:t>
      </w:r>
    </w:p>
    <w:p w:rsidR="004A5FD3" w:rsidRPr="004A5FD3" w:rsidP="004A5FD3">
      <w:pPr>
        <w:bidi w:val="0"/>
        <w:spacing w:after="0" w:line="240" w:lineRule="auto"/>
        <w:jc w:val="both"/>
        <w:rPr>
          <w:rFonts w:ascii="Times New Roman" w:hAnsi="Times New Roman" w:cs="Times New Roman"/>
          <w:sz w:val="24"/>
          <w:szCs w:val="24"/>
        </w:rPr>
      </w:pPr>
      <w:r w:rsidRPr="004A5FD3">
        <w:rPr>
          <w:rFonts w:ascii="Times New Roman" w:hAnsi="Times New Roman" w:cs="Times New Roman"/>
          <w:sz w:val="24"/>
          <w:szCs w:val="24"/>
        </w:rPr>
        <w:t>o narodenie dieťaťa, uzavretie manželstva cudzinca bez pobytu na území Slovenskej republiky, úmrtie cudzinca na území Slovenskej republiky alebo vytvorením zápisu údajov o fyzickej osobe ak ide o cudzinca bez pobytu na území Slovenskej republiky,</w:t>
      </w:r>
      <w:r w:rsidRPr="004A5FD3">
        <w:rPr>
          <w:rFonts w:ascii="Times New Roman" w:hAnsi="Times New Roman" w:cs="Times New Roman"/>
          <w:sz w:val="24"/>
          <w:szCs w:val="24"/>
          <w:vertAlign w:val="superscript"/>
        </w:rPr>
        <w:t xml:space="preserve"> </w:t>
      </w:r>
      <w:r w:rsidRPr="004A5FD3">
        <w:rPr>
          <w:rFonts w:ascii="Times New Roman" w:hAnsi="Times New Roman" w:cs="Times New Roman"/>
          <w:sz w:val="24"/>
          <w:szCs w:val="24"/>
        </w:rPr>
        <w:t xml:space="preserve">ktorý prišiel do styku s orgánmi verejnej správy. Príslušná zdrojová agenda informačného systému verejnej správy zodpovedá za pravdivosť, úplnosť a aktuálnosť osobných údajov o fyzickej osobe v registri. </w:t>
      </w:r>
    </w:p>
    <w:p w:rsidR="004A5FD3" w:rsidRPr="004A5FD3" w:rsidP="004A5FD3">
      <w:pPr>
        <w:bidi w:val="0"/>
        <w:spacing w:after="0" w:line="240" w:lineRule="auto"/>
        <w:jc w:val="both"/>
        <w:rPr>
          <w:rFonts w:ascii="Times New Roman" w:hAnsi="Times New Roman" w:cs="Times New Roman"/>
          <w:sz w:val="24"/>
          <w:szCs w:val="24"/>
        </w:rPr>
      </w:pPr>
    </w:p>
    <w:p w:rsidR="004A5FD3" w:rsidRPr="004A5FD3" w:rsidP="004A5FD3">
      <w:pPr>
        <w:bidi w:val="0"/>
        <w:spacing w:after="0" w:line="240" w:lineRule="auto"/>
        <w:jc w:val="both"/>
        <w:rPr>
          <w:rFonts w:ascii="Times New Roman" w:hAnsi="Times New Roman" w:cs="Times New Roman"/>
          <w:sz w:val="24"/>
          <w:szCs w:val="24"/>
        </w:rPr>
      </w:pPr>
      <w:r w:rsidRPr="004A5FD3">
        <w:rPr>
          <w:rFonts w:ascii="Times New Roman" w:hAnsi="Times New Roman" w:cs="Times New Roman"/>
          <w:sz w:val="24"/>
          <w:szCs w:val="24"/>
        </w:rPr>
        <w:t>Register fyzických osôb zbaví občanov povinnosti opakovane predkladať doklady o jeho údajoch. Občan svoje údaje predloží orgánu verejnej správy iba raz a prostredníctvom registra fyzických osôb sa jeho údaje dostanú do ďalších informačných systémov verejnej správy. Osobný údaj je považovaný za správny v zdrojovej agende ministerstva alebo informačnom systéme poskytovateľa, pokiaľ sa nepreukáže opak, alebo pokiaľ nevznikne oprávnená pochybnosť o jeho pravdivosti, úplnosti alebo aktuálnosti. Cieľom je premena súčasného systému zberu a uchovávania údajov roztrieštených v rôznych registroch a evidenciách v systém nový, ktorý umožní vďaka jasne definovaným pravidlám ustanovené informácie zbierať a so zárukou spoľahlivosti využívať v celej verejnej správe.</w:t>
      </w:r>
    </w:p>
    <w:p w:rsidR="004A5FD3" w:rsidRPr="004A5FD3" w:rsidP="004A5FD3">
      <w:pPr>
        <w:bidi w:val="0"/>
        <w:spacing w:after="0" w:line="240" w:lineRule="auto"/>
        <w:jc w:val="both"/>
        <w:rPr>
          <w:rFonts w:ascii="Times New Roman" w:hAnsi="Times New Roman" w:cs="Times New Roman"/>
          <w:sz w:val="24"/>
          <w:szCs w:val="24"/>
        </w:rPr>
      </w:pPr>
    </w:p>
    <w:p w:rsidR="004A5FD3" w:rsidRPr="004A5FD3" w:rsidP="004A5FD3">
      <w:pPr>
        <w:bidi w:val="0"/>
        <w:spacing w:after="0" w:line="240" w:lineRule="auto"/>
        <w:jc w:val="both"/>
        <w:rPr>
          <w:rFonts w:ascii="Times New Roman" w:hAnsi="Times New Roman" w:cs="Times New Roman"/>
          <w:sz w:val="24"/>
          <w:szCs w:val="24"/>
        </w:rPr>
      </w:pPr>
      <w:r w:rsidRPr="004A5FD3">
        <w:rPr>
          <w:rFonts w:ascii="Times New Roman" w:hAnsi="Times New Roman" w:cs="Times New Roman"/>
          <w:sz w:val="24"/>
          <w:szCs w:val="24"/>
        </w:rPr>
        <w:t>Údaje o fyzickej osobe obsiahnuté v registri fyzických osôb bude môcť ministerstvo alebo iný príjemca používať len na účel podľa osobitného právneho predpisu, a to bez toho, aby ďalej overoval ich správnosť a žiadal od fyzickej osoby ich poskytnutie alebo predloženie dokladov k nim.</w:t>
      </w:r>
    </w:p>
    <w:p w:rsidR="004A5FD3" w:rsidRPr="004A5FD3" w:rsidP="004A5FD3">
      <w:pPr>
        <w:bidi w:val="0"/>
        <w:spacing w:after="0" w:line="240" w:lineRule="auto"/>
        <w:jc w:val="both"/>
        <w:rPr>
          <w:rFonts w:ascii="Times New Roman" w:hAnsi="Times New Roman" w:cs="Times New Roman"/>
          <w:sz w:val="24"/>
          <w:szCs w:val="24"/>
        </w:rPr>
      </w:pPr>
    </w:p>
    <w:p w:rsidR="004A5FD3" w:rsidRPr="004A5FD3" w:rsidP="004A5FD3">
      <w:pPr>
        <w:bidi w:val="0"/>
        <w:spacing w:after="0" w:line="240" w:lineRule="auto"/>
        <w:jc w:val="both"/>
        <w:rPr>
          <w:rFonts w:ascii="Times New Roman" w:hAnsi="Times New Roman" w:cs="Times New Roman"/>
          <w:sz w:val="24"/>
          <w:szCs w:val="24"/>
        </w:rPr>
      </w:pPr>
      <w:r w:rsidRPr="004A5FD3">
        <w:rPr>
          <w:rFonts w:ascii="Times New Roman" w:hAnsi="Times New Roman" w:cs="Times New Roman"/>
          <w:sz w:val="24"/>
          <w:szCs w:val="24"/>
        </w:rPr>
        <w:t>Ostatné informačné systémy verejnej správy budú preberať údaje z tohto nového systému, čím sa zabezpečí ich konzistentnosť tak, aby nedochádzalo k zapisovaniu hodnotovo odlišných alebo nepresných údajov do rôznych evidencií (napr. inak znejúcich alebo dokonca neexistujúcich adries sídiel právnických osôb) rôznymi orgánmi.</w:t>
      </w:r>
    </w:p>
    <w:p w:rsidR="004A5FD3" w:rsidRPr="004A5FD3" w:rsidP="004A5FD3">
      <w:pPr>
        <w:bidi w:val="0"/>
        <w:spacing w:after="0" w:line="240" w:lineRule="auto"/>
        <w:jc w:val="both"/>
        <w:rPr>
          <w:rFonts w:ascii="Times New Roman" w:hAnsi="Times New Roman" w:cs="Times New Roman"/>
          <w:sz w:val="24"/>
          <w:szCs w:val="24"/>
        </w:rPr>
      </w:pPr>
    </w:p>
    <w:p w:rsidR="004A5FD3" w:rsidRPr="004A5FD3" w:rsidP="004A5FD3">
      <w:pPr>
        <w:bidi w:val="0"/>
        <w:spacing w:after="0" w:line="240" w:lineRule="auto"/>
        <w:jc w:val="both"/>
        <w:rPr>
          <w:rFonts w:ascii="Times New Roman" w:hAnsi="Times New Roman" w:cs="Times New Roman"/>
          <w:sz w:val="24"/>
          <w:szCs w:val="24"/>
        </w:rPr>
      </w:pPr>
      <w:r w:rsidRPr="004A5FD3">
        <w:rPr>
          <w:rFonts w:ascii="Times New Roman" w:hAnsi="Times New Roman" w:cs="Times New Roman"/>
          <w:sz w:val="24"/>
          <w:szCs w:val="24"/>
        </w:rPr>
        <w:t>Významný spoločenský prínos bude mať register fyzických osôb vo zvýšení komfortu fyzických osôb a právnických osôb pri komunikácii s úradmi spočívajúcej v obmedzení byrokracie spôsobenej opakovaným poskytovaním rovnakých údajov rôznym úradom, ktoré ich požadujú. Ďalším pozitívnym dopadom bude zrýchlenie vybavovania žiadostí. Nový systém využívania údajov podporí žiadanú výmenu informácií, ktorá je nutnou podmienkou pre vzájomnú spoluprácu jednotlivých informačných systémov vo verejnej správe.</w:t>
      </w:r>
    </w:p>
    <w:p w:rsidR="004A5FD3" w:rsidRPr="004A5FD3" w:rsidP="004A5FD3">
      <w:pPr>
        <w:bidi w:val="0"/>
        <w:spacing w:after="0" w:line="240" w:lineRule="auto"/>
        <w:jc w:val="both"/>
        <w:rPr>
          <w:rFonts w:ascii="Times New Roman" w:hAnsi="Times New Roman" w:cs="Times New Roman"/>
          <w:sz w:val="24"/>
          <w:szCs w:val="24"/>
        </w:rPr>
      </w:pPr>
    </w:p>
    <w:p w:rsidR="004A5FD3" w:rsidRPr="004A5FD3" w:rsidP="004A5FD3">
      <w:pPr>
        <w:bidi w:val="0"/>
        <w:spacing w:after="0" w:line="240" w:lineRule="auto"/>
        <w:jc w:val="both"/>
        <w:rPr>
          <w:rFonts w:ascii="Times New Roman" w:hAnsi="Times New Roman" w:cs="Times New Roman"/>
          <w:sz w:val="24"/>
          <w:szCs w:val="24"/>
        </w:rPr>
      </w:pPr>
      <w:r w:rsidRPr="004A5FD3">
        <w:rPr>
          <w:rFonts w:ascii="Times New Roman" w:hAnsi="Times New Roman" w:cs="Times New Roman"/>
          <w:sz w:val="24"/>
          <w:szCs w:val="24"/>
        </w:rPr>
        <w:t>Ďalším významným cieľom navrhovanej úpravy je zriadenie centrálnej ohlasovne ako elektronickej služby, ktorá umožní občanom prihlasovanie a odhlasovanie z pobytu prostredníctvom využitia internetu. Vznikne tak nový procesný model pre nové procesy realizácie agendy hlásenia a evidencie pobytu občanov Slovenskej republiky, ktorého potreba vyplýva z požiadaviek na realizáciu elektronických služieb centrálnej ohlasovne. Nové procesy nie sú náhradou v súčasnosti platných postupov. Elektronické poskytovanie služieb v oblasti hlásenia pobytu umožní priblíženie štátnej správy k občanovi.</w:t>
      </w:r>
    </w:p>
    <w:p w:rsidR="004A5FD3" w:rsidRPr="004A5FD3" w:rsidP="004A5FD3">
      <w:pPr>
        <w:bidi w:val="0"/>
        <w:spacing w:after="0" w:line="240" w:lineRule="auto"/>
        <w:jc w:val="both"/>
        <w:rPr>
          <w:rFonts w:ascii="Times New Roman" w:hAnsi="Times New Roman" w:cs="Times New Roman"/>
          <w:sz w:val="24"/>
          <w:szCs w:val="24"/>
        </w:rPr>
      </w:pPr>
    </w:p>
    <w:p w:rsidR="004A5FD3" w:rsidRPr="004A5FD3" w:rsidP="004A5FD3">
      <w:pPr>
        <w:bidi w:val="0"/>
        <w:spacing w:after="0" w:line="240" w:lineRule="auto"/>
        <w:jc w:val="both"/>
        <w:rPr>
          <w:rFonts w:ascii="Times New Roman" w:hAnsi="Times New Roman" w:cs="Times New Roman"/>
          <w:sz w:val="24"/>
          <w:szCs w:val="24"/>
        </w:rPr>
      </w:pPr>
      <w:r w:rsidRPr="004A5FD3">
        <w:rPr>
          <w:rFonts w:ascii="Times New Roman" w:hAnsi="Times New Roman" w:cs="Times New Roman"/>
          <w:sz w:val="24"/>
          <w:szCs w:val="24"/>
        </w:rPr>
        <w:t xml:space="preserve">Návrh zákona sa dotýka aj niektorých ustanovení týkajúcich sa aplikácie zákona v praxi v nadväznosti na zavedenie nových elektronických služieb. </w:t>
      </w:r>
    </w:p>
    <w:p w:rsidR="004A5FD3" w:rsidRPr="004A5FD3" w:rsidP="004A5FD3">
      <w:pPr>
        <w:bidi w:val="0"/>
        <w:spacing w:after="0" w:line="240" w:lineRule="auto"/>
        <w:jc w:val="both"/>
        <w:rPr>
          <w:rFonts w:ascii="Times New Roman" w:hAnsi="Times New Roman" w:cs="Times New Roman"/>
          <w:sz w:val="24"/>
          <w:szCs w:val="24"/>
        </w:rPr>
      </w:pPr>
    </w:p>
    <w:p w:rsidR="004A5FD3" w:rsidRPr="004A5FD3" w:rsidP="004A5FD3">
      <w:pPr>
        <w:bidi w:val="0"/>
        <w:spacing w:after="0" w:line="240" w:lineRule="auto"/>
        <w:jc w:val="both"/>
        <w:rPr>
          <w:rFonts w:ascii="Calibri" w:hAnsi="Calibri" w:cs="Times New Roman"/>
        </w:rPr>
      </w:pPr>
      <w:r w:rsidRPr="004A5FD3">
        <w:rPr>
          <w:rFonts w:ascii="Times New Roman" w:hAnsi="Times New Roman" w:cs="Times New Roman"/>
          <w:sz w:val="24"/>
          <w:szCs w:val="24"/>
        </w:rPr>
        <w:t>Predkladaný návrh zákona má pozitívny vplyv na informatizáciu spoločnosti, nemá sociálne vplyvy, vplyvy na životné prostredie a ani na podnikateľské prostredie. Navrhované ustanovenia sú v súlade s právnymi predpismi Európskej únie. Zavedenie nového systému registra fyzických osôb bude mať však dopad na rozpočet verejnej správy v súvislosti s potrebou vytvorenia nových pracovných miest a výdavkov na udržanie výsledkov projektu, ktorý je financovaný zo štrukturálnych fondov Európskej únie podľa čl. 57 Nariadenia Rady (ES) 1083/2006. Vytvorenie informačného systému registra fyzických osôb bude pokrývať centrálnu správu registra, poskytovanie informačných služieb a zabezpečenie administratívno-správnych činností zdrojových agend.</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Návrh novely zákona je v súlade s Ústavou Slovenskej republiky a platným právnym poriadkom Slovenskej republiky, s medzinárodnými zmluvami a inými medzinárodnými dokumentmi, ktorými je Slovenská republika viazaná.</w:t>
      </w:r>
    </w:p>
    <w:p w:rsidR="004A5FD3" w:rsidRPr="004A5FD3" w:rsidP="004A5FD3">
      <w:pPr>
        <w:bidi w:val="0"/>
        <w:spacing w:after="0" w:line="240" w:lineRule="auto"/>
        <w:jc w:val="both"/>
        <w:outlineLvl w:val="4"/>
        <w:rPr>
          <w:rFonts w:ascii="Times New Roman" w:hAnsi="Times New Roman" w:cs="Arial"/>
          <w:bCs/>
          <w:sz w:val="24"/>
          <w:szCs w:val="24"/>
          <w:lang w:eastAsia="sk-SK"/>
        </w:rPr>
      </w:pPr>
    </w:p>
    <w:p w:rsidR="004A5FD3" w:rsidRPr="004A5FD3" w:rsidP="004A5FD3">
      <w:pPr>
        <w:bidi w:val="0"/>
        <w:spacing w:after="0" w:line="240" w:lineRule="auto"/>
        <w:rPr>
          <w:rFonts w:ascii="Times New Roman" w:hAnsi="Times New Roman" w:cs="Times New Roman"/>
          <w:sz w:val="24"/>
          <w:szCs w:val="24"/>
          <w:lang w:eastAsia="sk-SK"/>
        </w:rPr>
      </w:pPr>
    </w:p>
    <w:p w:rsidR="004A5FD3" w:rsidRPr="004A5FD3" w:rsidP="004A5FD3">
      <w:pPr>
        <w:bidi w:val="0"/>
        <w:spacing w:after="0" w:line="240" w:lineRule="auto"/>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b/>
          <w:sz w:val="24"/>
          <w:szCs w:val="24"/>
          <w:lang w:eastAsia="sk-SK"/>
        </w:rPr>
      </w:pPr>
      <w:r w:rsidRPr="004A5FD3">
        <w:rPr>
          <w:rFonts w:ascii="Times New Roman" w:hAnsi="Times New Roman" w:cs="Times New Roman"/>
          <w:b/>
          <w:sz w:val="24"/>
          <w:szCs w:val="24"/>
          <w:lang w:eastAsia="sk-SK"/>
        </w:rPr>
        <w:t>Osobitná časť</w:t>
      </w:r>
    </w:p>
    <w:p w:rsidR="004A5FD3" w:rsidRPr="004A5FD3" w:rsidP="004A5FD3">
      <w:pPr>
        <w:bidi w:val="0"/>
        <w:spacing w:after="0" w:line="240" w:lineRule="auto"/>
        <w:jc w:val="both"/>
        <w:rPr>
          <w:rFonts w:ascii="Times New Roman" w:hAnsi="Times New Roman" w:cs="Times New Roman"/>
          <w:b/>
          <w:sz w:val="24"/>
          <w:szCs w:val="24"/>
          <w:lang w:eastAsia="sk-SK"/>
        </w:rPr>
      </w:pPr>
    </w:p>
    <w:p w:rsidR="004A5FD3" w:rsidRPr="004A5FD3" w:rsidP="004A5FD3">
      <w:pPr>
        <w:bidi w:val="0"/>
        <w:spacing w:after="0" w:line="240" w:lineRule="auto"/>
        <w:jc w:val="both"/>
        <w:rPr>
          <w:rFonts w:ascii="Times New Roman" w:hAnsi="Times New Roman" w:cs="Times New Roman"/>
          <w:b/>
          <w:sz w:val="24"/>
          <w:szCs w:val="24"/>
          <w:lang w:eastAsia="sk-SK"/>
        </w:rPr>
      </w:pPr>
      <w:r w:rsidRPr="004A5FD3">
        <w:rPr>
          <w:rFonts w:ascii="Times New Roman" w:hAnsi="Times New Roman" w:cs="Times New Roman"/>
          <w:b/>
          <w:sz w:val="24"/>
          <w:szCs w:val="24"/>
          <w:lang w:eastAsia="sk-SK"/>
        </w:rPr>
        <w:t>K čl. I</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1:</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Predmet zákona sa upravuje a dopĺňa o nové pojmy „centrálna ohlasovňa“ a „register fyzických osôb“. Zriadenie registra fyzických osôb a centrálnej ohlasovne zodpovedá novým spoločenským podmienkam a požiadavkám na plnenie úloh vyplývajúcich orgánom štátu, obciam, právnickým osobám a fyzickým osobám na úseku hlásenia pobytu občanov a evidencie obyvateľov. Register fyzických osôb a centrálna ohlasovňa sú vedené v elektronickej forme a tvoria súčasť štátneho informačného systému. Register fyzických osôb predstavuje hlavný a záväzný zdroj identifikačných, lokačných, relačných a administratívnych údajov o fyzických osobách pre potreby výkonu štátnej správy, obcí a iných užívateľov.</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2:</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Upravuje sa vek maloletých detí z 15 rokov na 18 rokov a upresňuje sa skutočnosť, že rodný list dieťaťa, ktorý predkladá zákonný zástupca alebo osoba ním splnomocnená, musí byť vydaný orgánom Slovenskej republiky. Do dovŕšenia plnoletosti je pobyt povinný hlásiť zákonný zástupca. Dôvodom na zvýšenie veku dieťaťa je skutočnosť vyplývajúca z praxe pri poberaní prídavku na dieťa, ktorá sa viaže na trvalý pobyt. Povinnosť hlásiť trvalý pobyt za osobu, ktorá nedovŕšila 18 rokov sa však netýka tých občanov, ktorí nadobudli spôsobilosť na právne úkony v plnom rozsahu na základe rozhodnutia súdu.</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3:</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Ide o formálnu úpravu doplnením konkrétneho ustanovenia zákona Národnej rady Slovenskej republiky č. 162/1995 Z. z. o katastri nehnuteľností a o zápise vlastníckych a iných práv k nehnuteľnostiam (katastrálny zákon) v znení neskorších predpisov v odkaze.</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4:</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 xml:space="preserve">Nové znenie písmena d) sa navrhuje z dôvodu vykonania viacerých zmien jeho textu. Po prvé ide o formálnu úpravu, keďže nájomná zmluva nezakladá právo pobytu a je na vlastníkovi, či nájomcovi súhlas k pobytu udelí. Po druhé ide o doplnenie možnosti prihlásenia sa na trvalý pobyt bez súhlasu vlastníka alebo všetkých spoluvlastníkov osobám s vecným bremenom doživotného užívania nehnuteľnosti. Vypúšťa sa odkaz na Občiansky zákonník. Ide o formálnu úpravu vyplývajúcu z aplikačnej praxe. </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5:</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Ide o  úpravu, ktorá nadväzuje na centrálnu ohlasovňu pobytu. Z aplikačnej praxe totiž vyplynulo, že ohlasovňa pobytu ani centrálna ohlasovňa nevie hodnoverne preveriť, či osoba naozaj žije v spoločnej domácnosti s osobami, ktorých pobyt sa spoločne hlási. Toto oprávnenie však naďalej ostáva pre členov rodiny.</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6:</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V tomto ustanovení sa upravuje vek osôb oprávnených hlásiť trvalý alebo prechodný pobyt. Do dovŕšenia plnoletosti je pobyt povinný hlásiť zákonný zástupca. Dôvodom na zvýšenie veku dieťaťa je skutočnosť vyplývajúca z praxe - poberanie prídavku na dieťa, ktoré sa viaže na trvalý pobyt.</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7:</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 xml:space="preserve">Rozširuje sa možnosť prihlásenia na pobyt splnomocneným zástupcom, nakoľko doteraz túto možnosť prihlásenia mali len zdravotne postihnuté osoby. </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8:</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Ide o úpravu vnútorného odkazu, ktorý nadväzuje na príslušné legislatívne zmeny.</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9:</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Navrhované ustanovenie nadväzuje na legislatívne zmeny a súčasne sa vypúšťajú slová spojené s nájomcom a nájomným vzťahom.</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10:</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Ide o  úpravu vyplývajúcu z aplikačnej praxe. Podrobnejšie sa upravuje povinnosť predložiť doklady o právnickej osobe pri hlásení na pobyt fyzickej osoby. Rozsah údajov zodpovedá potrebe identifikácie osoby oprávnenej konať za právnickú osobu a o právnickej osobe.</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11:</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V tomto ustanovení sa upravuje vek osôb, za ktoré je oprávnený hlásiť trvalý pobyt zákonný zástupca alebo ním splnomocnená osoba. Dôvodom na zvýšenie veku dieťaťa je skutočnosť vyplývajúca z praxe - poberanie prídavku na dieťa, ktoré sa viaže na trvalý pobyt. Povinnosť hlásiť trvalý pobyt za osobu, ktorá nedovŕšila 18 rokov sa však netýka tých občanov, ktorí nadobudli spôsobilosť na právne úkony v plnom rozsahu na základe rozhodnutia súdu.</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12:</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Ide o úpravu, ktorá nadväzuje na príslušné legislatívne zmeny a vypúšťajú sa slová spojené s nájomcom a nájomným vzťahom.</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13:</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Nové ustanovenie podrobnejšie upravuje a taxatívne vymenúva doklady potrebné k zrušeniu trvalého pobytu na návrh vlastníka alebo všetkých spoluvlastníkov nehnuteľnosti. Následne sa formálne upravuje označenie odsekov. Súčasný stav neumožňoval dostatočne pracovníkom ohlasovní skúmať užívacie právo osôb, voči ktorým smeroval návrh na zrušenie pobytu. Ustanovenie rozsahu dokladov tak bude zodpovedať právnej istote.</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14:</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Ide o formálnu úpravu, ktorá nadväzuje na príslušné legislatívne zmeny. Vypúšťajú sa slová spojené s nájomcom a nájomným vzťahom.</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15:</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Navrhovanou úpravou dochádza k zjednodušeniu postupu pri odhlásení z prechodného pobytu na návrh vlastníka alebo všetkých spoluvlastníkov nehnuteľnosti. Táto možnosť doteraz nebola v platnom zákone riešená a vlastník musel čakať, kým neuplynie doba na ktorú bol prechodný pobyt ohlásený.</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16:</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Navrhovaná zmena ukladá priamo povinnosť občana, ktorý sa pripravuje na vycestovanie do zahraničia na dobu dlhšiu ako 90 dní, ohlásiť túto skutočnosť príslušnej ohlasovni pobytu. Nesplnenie si uvedenej povinnosti umožní správnemu orgánu postih fyzickej osoby podľa zákona SNR č. 372/1990 Zb. o priestupkoch v znení neskorších predpisov. Doterajší stav neukladal občanovi výslovne povinnosť danú skutočnosť ohlásiť. Občania často nerozlišujú v právnom predpise ak je povinnosť ustanovená  slovesom bez použitia slova povinný.</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17:</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Ide o doplnenie ustanovenia o nový § 7 ods. 1, aby bolo jednoznačne ustanovené, že tieto pravidlá sa vzťahujú aj na zrušenie trvalého pobytu.</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 xml:space="preserve"> </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18:</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Ide o úpravu, ktorá nadväzuje na príslušné legislatívne zmeny. Ukladá sa povinnosť ohlasovniam, ktoré sú zapojené do informačného systému registra obyvateľov, zapisovať údaje spojené s hlásením pobytu priamo do tohto systému v čase, ktorý zabezpečuje aktuálnosť údajov. V súčasnosti však existujú ohlasovne pobytu, ktoré nemajú pripojenie do informačného systému registra obyvateľov, preto je potrebné zachovať aj systém vkladania údajov prostredníctvom okresných riaditeľstiev Policajného zboru.</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19:</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Navrhovaná právna úprava zavádza tzv. „elektronické služby centrálnej ohlasovne“. Občania môžu požiadať o potvrdenie o pobyte prostredníctvom internetu a toto potvrdenie im bude doručené poštou. V prípade, že občan bude chcieť povoliť pobyt vo svojej nehnuteľnosti, rovnako tak bude môcť urobiť tento úkon elektronicky. Elektronizácia služieb má napomôcť odbúrať zbytočnú zaťaženosť občanov pri vybavovaní ich vecí. Všetky potrebné údaje súvisiace s prihlasovaním a odhlasovaním pobytu sa budú poskytovať na elektronických formulároch, pričom sa v počiatku poskytovania tejto služby bude musieť požadovať ako záruka na ich pravdivosť zaručený elektronický podpis. V budúcnosti postupom elektronizácie verejnej správy sa počíta s ďalším zjednodušovaním tejto agendy. Navrhovaný systém odbúra potrebu cestovania do miesta prihlásenia na trvalý pobyt, čím usporí občanovi náklady spojené s cestovaním a čas na vybavenie tejto služby.</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20 až 23:</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Ide o úpravu, ktorá nadväzuje na príslušné legislatívne zmeny a ktorou sa dopĺňa zapisovanie čísla bytu ako povinného údaju. Pokiaľ ide o bod 21 vypúšťaný text reflektuje na nemožnosť verifikovať takéto údaje, čo preukázala aj súčasná prax.</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24, 25, 28 a 29:</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Ide o formálnu úpravu, ktorej cieľom je zosúladenie pojmov so zákonom Národnej rady Slovenskej republiky č. 40/1993 o štátnom občianstve Slovenskej republiky v znení neskorších predpisov.</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26 :</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 xml:space="preserve">Vzhľadom na zmenu právneho poriadku je potrebné aktualizovať zákon uvedený v poznámke pod čiarou. </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27 a 31:</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Úpravou textu sa zvýrazňuje povinnosť okresných riaditeľstiev Policajného zboru zaznamenávať zmeny údajov v registri, ktoré im ohlasujú obce poverené viesť matriku; ide o obce, ktoré nie sú priamo napojené na automatizovaný systém registra. V budúcnosti sa počíta, že táto agenda bude ubúdať zvyšovaním počtu matričných úradov zapojených do registra.</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 xml:space="preserve"> </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30:</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 xml:space="preserve">Ide o  úpravu nadväzujúcu na zmeny v praxi keď tieto údaje už ministerstvo nezaznamenáva, ale do registra sa dostávajú cestou matričných úradov. </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32:</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Vzhľadom na zavedenie Registra fyzických osôb s aktuálnymi údajmi v čase, ktoré budú poskytované orgánom verejnej moci sa doterajšie ustanovenie odseku 1 stalo nadbytočným. Vypustením doterajšieho ustanovenia sa upravuje označenie odsekov.</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33 :</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Ide o technickú úpravu súvisiacu s vypustením odseku 1 v § 23.</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34:</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Navrhovaná právna úprava zavádza register fyzických osôb obsahujúci aktuálne údaje, ktoré budú následne využívané ako jedinečné a najdôležitejšie dátové zdroje pre orgány verejnej správy. Zámerom navrhovanej úpravy je ustanoviť okruh údajov vedených v registri fyzických osôb. Obsah údajov vychádza z poslania a úloh registra fyzických osôb v informačnom systéme a aktuálnych potrieb jeho užívateľov na výkon verejnej správy. V zákone sa vymedzuje rozsah údajov, ktoré register fyzických osôb vedie o fyzických osobách, ktoré prišli do styku s orgánom verejnej správy. Údaje uvedené v § 23b ods. 2 určujú minimálny rozsah údajov potrebných k identifikácii fyzickej osoby. V prípade, ak by chýbal niektorý z údajov uvedených v tomto ustanovení, nebudú údaje o takejto osobe pre iné informačné systémy verejnej správy použiteľné a je zbytočné ich zapisovať do registra fyzických osôb. Preto sa správcovia informačných systémov verejnej správy oslobodzujú od povinnosti vkladať do registra fyzických osôb údaje o cudzincoch bez pobytu na území Slovenskej republiky, ak niektorý z údajov uvedených v § 23b ods. 2 vo svojom informačnom systéme vôbec nevedú, alebo ak takýmto údajom nedisponujú.</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bodom 35, 36 a 37:</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 xml:space="preserve">Osobitné ustanovenia upravujúce vzťahy registra obyvateľov a špecifických štátnych orgánov je potrebné doplniť o skutočnosť, že obdobný vzťah bude existovať aj vo veciach nového Registra fyzických osôb. Ide o legislatívne úpravy súvisiace so zavedením Registra fyzických osôb. </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 bodu 38:</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Navrhovaná právna úprava ukladá povinnosť obvodným úradom vykonávať kontrolnú činnosť v rámci svojej územnej pôsobnosti nad preneseným výkonom štátnej správy hlásenia pobytu, ktorú súčasná právna úprava neobsahuje. Kontrolnú činnosť budú zabezpečovať obvodné úrady podľa zákona č. 10/1996 Z. z. o kontrole v štátnej správe a na základe metodických pokynov ministerstva.</w:t>
      </w:r>
    </w:p>
    <w:p w:rsidR="004A5FD3" w:rsidRPr="004A5FD3" w:rsidP="004A5FD3">
      <w:pPr>
        <w:bidi w:val="0"/>
        <w:spacing w:after="0" w:line="240" w:lineRule="auto"/>
        <w:jc w:val="both"/>
        <w:outlineLvl w:val="4"/>
        <w:rPr>
          <w:rFonts w:ascii="Times New Roman" w:hAnsi="Times New Roman" w:cs="Arial"/>
          <w:bCs/>
          <w:sz w:val="24"/>
          <w:szCs w:val="24"/>
          <w:lang w:eastAsia="sk-SK"/>
        </w:rPr>
      </w:pPr>
    </w:p>
    <w:p w:rsidR="004A5FD3" w:rsidRPr="004A5FD3" w:rsidP="004A5FD3">
      <w:pPr>
        <w:bidi w:val="0"/>
        <w:spacing w:after="0" w:line="240" w:lineRule="auto"/>
        <w:jc w:val="both"/>
        <w:outlineLvl w:val="4"/>
        <w:rPr>
          <w:rFonts w:ascii="Times New Roman" w:hAnsi="Times New Roman" w:cs="Arial"/>
          <w:b/>
          <w:bCs/>
          <w:sz w:val="24"/>
          <w:szCs w:val="24"/>
          <w:lang w:eastAsia="sk-SK"/>
        </w:rPr>
      </w:pPr>
    </w:p>
    <w:p w:rsidR="004A5FD3" w:rsidRPr="004A5FD3" w:rsidP="004A5FD3">
      <w:pPr>
        <w:bidi w:val="0"/>
        <w:spacing w:after="0" w:line="240" w:lineRule="auto"/>
        <w:jc w:val="both"/>
        <w:outlineLvl w:val="4"/>
        <w:rPr>
          <w:rFonts w:ascii="Times New Roman" w:hAnsi="Times New Roman" w:cs="Arial"/>
          <w:b/>
          <w:bCs/>
          <w:sz w:val="24"/>
          <w:szCs w:val="24"/>
          <w:lang w:eastAsia="sk-SK"/>
        </w:rPr>
      </w:pPr>
    </w:p>
    <w:p w:rsidR="004A5FD3" w:rsidRPr="004A5FD3" w:rsidP="004A5FD3">
      <w:pPr>
        <w:bidi w:val="0"/>
        <w:spacing w:after="0" w:line="240" w:lineRule="auto"/>
        <w:jc w:val="both"/>
        <w:outlineLvl w:val="4"/>
        <w:rPr>
          <w:rFonts w:ascii="Times New Roman" w:hAnsi="Times New Roman" w:cs="Arial"/>
          <w:b/>
          <w:bCs/>
          <w:sz w:val="24"/>
          <w:szCs w:val="24"/>
          <w:lang w:eastAsia="sk-SK"/>
        </w:rPr>
      </w:pPr>
      <w:r w:rsidRPr="004A5FD3">
        <w:rPr>
          <w:rFonts w:ascii="Times New Roman" w:hAnsi="Times New Roman" w:cs="Arial"/>
          <w:b/>
          <w:bCs/>
          <w:sz w:val="24"/>
          <w:szCs w:val="24"/>
          <w:lang w:eastAsia="sk-SK"/>
        </w:rPr>
        <w:t>K čl. II</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Účinnosť sa navrhuje ustanoviť od 1. júla 2013, čím sa zohľadňuje doba legislatívneho procesu. V tomto čase nadobudnú účinnosť ustanovenia potrebné pre praktické vykonávanie zákona v agende hlásenia pobytu občanov. Dve ustanovenia týkajúce sa Centrálnej ohlasovne a Registra fyzických osôb nadobudnú účinnosť 1. januára 2014 po dobudovaní systému a zabezpečení potrebných podmienok na rutinnú prevádzku.</w:t>
      </w:r>
    </w:p>
    <w:p w:rsidR="004A5FD3" w:rsidRPr="004A5FD3" w:rsidP="004A5FD3">
      <w:pPr>
        <w:bidi w:val="0"/>
        <w:rPr>
          <w:rFonts w:ascii="Calibri" w:hAnsi="Calibri" w:cs="Times New Roman"/>
        </w:rPr>
      </w:pPr>
    </w:p>
    <w:p w:rsidR="004A5FD3" w:rsidRPr="004A5FD3" w:rsidP="004A5FD3">
      <w:pPr>
        <w:bidi w:val="0"/>
        <w:rPr>
          <w:rFonts w:ascii="Calibri" w:hAnsi="Calibri" w:cs="Times New Roman"/>
        </w:rPr>
      </w:pPr>
    </w:p>
    <w:p w:rsidR="004A5FD3" w:rsidRPr="004A5FD3" w:rsidP="004A5FD3">
      <w:pPr>
        <w:bidi w:val="0"/>
        <w:rPr>
          <w:rFonts w:ascii="Times New Roman" w:hAnsi="Times New Roman" w:cs="Times New Roman"/>
          <w:sz w:val="24"/>
          <w:szCs w:val="24"/>
        </w:rPr>
      </w:pPr>
      <w:r w:rsidRPr="004A5FD3">
        <w:rPr>
          <w:rFonts w:ascii="Times New Roman" w:hAnsi="Times New Roman" w:cs="Times New Roman"/>
          <w:sz w:val="24"/>
          <w:szCs w:val="24"/>
        </w:rPr>
        <w:t>V Bratislave 20. februára 2013</w:t>
      </w:r>
    </w:p>
    <w:p w:rsidR="004A5FD3" w:rsidRPr="004A5FD3" w:rsidP="004A5FD3">
      <w:pPr>
        <w:bidi w:val="0"/>
        <w:rPr>
          <w:rFonts w:ascii="Times New Roman" w:hAnsi="Times New Roman" w:cs="Times New Roman"/>
          <w:sz w:val="24"/>
          <w:szCs w:val="24"/>
        </w:rPr>
      </w:pPr>
    </w:p>
    <w:p w:rsidR="004A5FD3" w:rsidRPr="004A5FD3" w:rsidP="004A5FD3">
      <w:pPr>
        <w:bidi w:val="0"/>
        <w:rPr>
          <w:rFonts w:ascii="Times New Roman" w:hAnsi="Times New Roman" w:cs="Times New Roman"/>
          <w:sz w:val="24"/>
          <w:szCs w:val="24"/>
        </w:rPr>
      </w:pPr>
    </w:p>
    <w:p w:rsidR="004A5FD3" w:rsidRPr="001E4DBF" w:rsidP="004A5FD3">
      <w:pPr>
        <w:bidi w:val="0"/>
        <w:spacing w:line="240" w:lineRule="atLeast"/>
        <w:jc w:val="center"/>
        <w:rPr>
          <w:rFonts w:ascii="Times New Roman" w:hAnsi="Times New Roman" w:cs="Times New Roman"/>
          <w:sz w:val="24"/>
          <w:szCs w:val="24"/>
        </w:rPr>
      </w:pPr>
      <w:r w:rsidRPr="004A5FD3">
        <w:rPr>
          <w:rFonts w:ascii="Times New Roman" w:hAnsi="Times New Roman" w:cs="Times New Roman"/>
          <w:b/>
          <w:sz w:val="24"/>
          <w:szCs w:val="24"/>
        </w:rPr>
        <w:t>Robert Fico</w:t>
      </w:r>
      <w:r w:rsidR="001E4DBF">
        <w:rPr>
          <w:rFonts w:ascii="Times New Roman" w:hAnsi="Times New Roman" w:cs="Times New Roman"/>
          <w:b/>
          <w:sz w:val="24"/>
          <w:szCs w:val="24"/>
        </w:rPr>
        <w:t xml:space="preserve"> </w:t>
      </w:r>
      <w:r w:rsidRPr="001E4DBF" w:rsidR="001E4DBF">
        <w:rPr>
          <w:rFonts w:ascii="Times New Roman" w:hAnsi="Times New Roman" w:cs="Times New Roman"/>
          <w:sz w:val="24"/>
          <w:szCs w:val="24"/>
        </w:rPr>
        <w:t>v. r.</w:t>
      </w:r>
    </w:p>
    <w:p w:rsidR="004A5FD3" w:rsidRPr="004A5FD3" w:rsidP="004A5FD3">
      <w:pPr>
        <w:bidi w:val="0"/>
        <w:spacing w:line="240" w:lineRule="atLeast"/>
        <w:jc w:val="center"/>
        <w:rPr>
          <w:rFonts w:ascii="Times New Roman" w:hAnsi="Times New Roman" w:cs="Times New Roman"/>
          <w:sz w:val="24"/>
          <w:szCs w:val="24"/>
        </w:rPr>
      </w:pPr>
      <w:r w:rsidRPr="004A5FD3">
        <w:rPr>
          <w:rFonts w:ascii="Times New Roman" w:hAnsi="Times New Roman" w:cs="Times New Roman"/>
          <w:sz w:val="24"/>
          <w:szCs w:val="24"/>
        </w:rPr>
        <w:t>predseda vlády</w:t>
      </w:r>
    </w:p>
    <w:p w:rsidR="004A5FD3" w:rsidRPr="004A5FD3" w:rsidP="004A5FD3">
      <w:pPr>
        <w:bidi w:val="0"/>
        <w:spacing w:line="240" w:lineRule="atLeast"/>
        <w:jc w:val="center"/>
        <w:rPr>
          <w:rFonts w:ascii="Times New Roman" w:hAnsi="Times New Roman" w:cs="Times New Roman"/>
          <w:sz w:val="24"/>
          <w:szCs w:val="24"/>
        </w:rPr>
      </w:pPr>
    </w:p>
    <w:p w:rsidR="004A5FD3" w:rsidRPr="004A5FD3" w:rsidP="004A5FD3">
      <w:pPr>
        <w:bidi w:val="0"/>
        <w:spacing w:line="240" w:lineRule="atLeast"/>
        <w:jc w:val="center"/>
        <w:rPr>
          <w:rFonts w:ascii="Times New Roman" w:hAnsi="Times New Roman" w:cs="Times New Roman"/>
          <w:sz w:val="24"/>
          <w:szCs w:val="24"/>
        </w:rPr>
      </w:pPr>
    </w:p>
    <w:p w:rsidR="004A5FD3" w:rsidRPr="004A5FD3" w:rsidP="004A5FD3">
      <w:pPr>
        <w:bidi w:val="0"/>
        <w:spacing w:line="240" w:lineRule="atLeast"/>
        <w:rPr>
          <w:rFonts w:ascii="Times New Roman" w:hAnsi="Times New Roman" w:cs="Times New Roman"/>
          <w:sz w:val="24"/>
          <w:szCs w:val="24"/>
        </w:rPr>
      </w:pPr>
    </w:p>
    <w:p w:rsidR="004A5FD3" w:rsidRPr="001E4DBF" w:rsidP="004A5FD3">
      <w:pPr>
        <w:bidi w:val="0"/>
        <w:spacing w:line="240" w:lineRule="atLeast"/>
        <w:jc w:val="center"/>
        <w:rPr>
          <w:rFonts w:ascii="Times New Roman" w:hAnsi="Times New Roman" w:cs="Times New Roman"/>
          <w:sz w:val="24"/>
          <w:szCs w:val="24"/>
        </w:rPr>
      </w:pPr>
      <w:r w:rsidRPr="004A5FD3">
        <w:rPr>
          <w:rFonts w:ascii="Times New Roman" w:hAnsi="Times New Roman" w:cs="Times New Roman"/>
          <w:b/>
          <w:sz w:val="24"/>
          <w:szCs w:val="24"/>
        </w:rPr>
        <w:t>Robert Kaliňák</w:t>
      </w:r>
      <w:r w:rsidR="001E4DBF">
        <w:rPr>
          <w:rFonts w:ascii="Times New Roman" w:hAnsi="Times New Roman" w:cs="Times New Roman"/>
          <w:b/>
          <w:sz w:val="24"/>
          <w:szCs w:val="24"/>
        </w:rPr>
        <w:t xml:space="preserve"> </w:t>
      </w:r>
      <w:r w:rsidRPr="001E4DBF" w:rsidR="001E4DBF">
        <w:rPr>
          <w:rFonts w:ascii="Times New Roman" w:hAnsi="Times New Roman" w:cs="Times New Roman"/>
          <w:sz w:val="24"/>
          <w:szCs w:val="24"/>
        </w:rPr>
        <w:t>v. r.</w:t>
      </w:r>
    </w:p>
    <w:p w:rsidR="004A5FD3" w:rsidRPr="004A5FD3" w:rsidP="004A5FD3">
      <w:pPr>
        <w:bidi w:val="0"/>
        <w:spacing w:line="240" w:lineRule="atLeast"/>
        <w:jc w:val="center"/>
        <w:rPr>
          <w:rFonts w:ascii="Times New Roman" w:hAnsi="Times New Roman" w:cs="Times New Roman"/>
          <w:sz w:val="24"/>
          <w:szCs w:val="24"/>
        </w:rPr>
      </w:pPr>
      <w:r w:rsidRPr="004A5FD3">
        <w:rPr>
          <w:rFonts w:ascii="Times New Roman" w:hAnsi="Times New Roman" w:cs="Times New Roman"/>
          <w:sz w:val="24"/>
          <w:szCs w:val="24"/>
        </w:rPr>
        <w:t>podpredseda vlády a minister vnútra</w:t>
      </w:r>
    </w:p>
    <w:p w:rsidR="009B6469" w:rsidP="00FE730B">
      <w:pPr>
        <w:bidi w:val="0"/>
        <w:spacing w:after="0" w:line="240" w:lineRule="auto"/>
        <w:rPr>
          <w:rFonts w:ascii="Times New Roman" w:hAnsi="Times New Roman" w:cs="Times New Roman"/>
          <w:sz w:val="24"/>
          <w:szCs w:val="24"/>
        </w:rPr>
      </w:pPr>
    </w:p>
    <w:p w:rsidR="00FE730B" w:rsidP="00FE730B">
      <w:pPr>
        <w:bidi w:val="0"/>
        <w:spacing w:after="0" w:line="240" w:lineRule="auto"/>
        <w:rPr>
          <w:rFonts w:ascii="Times New Roman" w:hAnsi="Times New Roman" w:cs="Times New Roman"/>
          <w:b/>
          <w:bCs/>
          <w:sz w:val="28"/>
          <w:szCs w:val="28"/>
          <w:lang w:eastAsia="sk-SK"/>
        </w:rPr>
      </w:pPr>
    </w:p>
    <w:p w:rsidR="004A5FD3" w:rsidRPr="004A5FD3" w:rsidP="004A5FD3">
      <w:pPr>
        <w:bidi w:val="0"/>
        <w:spacing w:after="0" w:line="240" w:lineRule="auto"/>
        <w:jc w:val="center"/>
        <w:rPr>
          <w:rFonts w:ascii="Times New Roman" w:hAnsi="Times New Roman" w:cs="Times New Roman"/>
          <w:b/>
          <w:bCs/>
          <w:sz w:val="28"/>
          <w:szCs w:val="28"/>
          <w:lang w:eastAsia="sk-SK"/>
        </w:rPr>
      </w:pPr>
      <w:r w:rsidRPr="004A5FD3">
        <w:rPr>
          <w:rFonts w:ascii="Times New Roman" w:hAnsi="Times New Roman" w:cs="Times New Roman"/>
          <w:b/>
          <w:bCs/>
          <w:sz w:val="28"/>
          <w:szCs w:val="28"/>
          <w:lang w:eastAsia="sk-SK"/>
        </w:rPr>
        <w:t>Doložka vybraných vplyvov</w:t>
      </w:r>
    </w:p>
    <w:p w:rsidR="004A5FD3" w:rsidRPr="004A5FD3" w:rsidP="004A5FD3">
      <w:pPr>
        <w:bidi w:val="0"/>
        <w:spacing w:after="0" w:line="240" w:lineRule="auto"/>
        <w:jc w:val="both"/>
        <w:rPr>
          <w:rFonts w:ascii="Times New Roman" w:hAnsi="Times New Roman" w:cs="Times New Roman"/>
          <w:b/>
          <w:bCs/>
          <w:sz w:val="28"/>
          <w:szCs w:val="28"/>
          <w:lang w:eastAsia="sk-SK"/>
        </w:rPr>
      </w:pPr>
    </w:p>
    <w:p w:rsidR="004A5FD3" w:rsidRPr="004A5FD3" w:rsidP="004A5FD3">
      <w:pPr>
        <w:bidi w:val="0"/>
        <w:spacing w:after="0" w:line="240" w:lineRule="auto"/>
        <w:jc w:val="both"/>
        <w:rPr>
          <w:rFonts w:ascii="Times New Roman" w:hAnsi="Times New Roman" w:cs="Times New Roman"/>
          <w:bCs/>
          <w:sz w:val="24"/>
          <w:szCs w:val="24"/>
          <w:lang w:eastAsia="sk-SK"/>
        </w:rPr>
      </w:pPr>
      <w:r w:rsidRPr="004A5FD3">
        <w:rPr>
          <w:rFonts w:ascii="Times New Roman" w:hAnsi="Times New Roman" w:cs="Times New Roman"/>
          <w:b/>
          <w:bCs/>
          <w:sz w:val="24"/>
          <w:szCs w:val="24"/>
          <w:lang w:eastAsia="sk-SK"/>
        </w:rPr>
        <w:t xml:space="preserve">A.1. Názov materiálu: </w:t>
      </w:r>
      <w:r w:rsidRPr="004A5FD3">
        <w:rPr>
          <w:rFonts w:ascii="Times New Roman" w:hAnsi="Times New Roman" w:cs="Times New Roman"/>
          <w:bCs/>
          <w:sz w:val="24"/>
          <w:szCs w:val="24"/>
          <w:lang w:eastAsia="sk-SK"/>
        </w:rPr>
        <w:t>Návrh zákona, ktorým sa mení a dopĺňa zákon č. 253/1998 Z. z. o hlásení pobytu občanov Slovenskej republiky a registri obyvateľov Slovenskej republiky v znení neskorších predpisov</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A.2. Vplyvy:</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Pozitívne</w:t>
            </w:r>
            <w:r w:rsidRPr="004A5FD3">
              <w:rPr>
                <w:rFonts w:ascii="Times New Roman" w:hAnsi="Times New Roman" w:cs="Times New Roman"/>
                <w:sz w:val="16"/>
                <w:szCs w:val="16"/>
                <w:vertAlign w:val="superscript"/>
                <w:lang w:eastAsia="sk-SK"/>
              </w:rPr>
              <w:t>*</w:t>
            </w:r>
            <w:r w:rsidRPr="004A5FD3">
              <w:rPr>
                <w:rFonts w:ascii="Times New Roman" w:hAnsi="Times New Roman" w:cs="Times New Roman"/>
                <w:sz w:val="24"/>
                <w:szCs w:val="24"/>
                <w:lang w:eastAsia="sk-SK"/>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Žiadne</w:t>
            </w:r>
            <w:r w:rsidRPr="004A5FD3">
              <w:rPr>
                <w:rFonts w:ascii="Times New Roman" w:hAnsi="Times New Roman" w:cs="Times New Roman"/>
                <w:sz w:val="16"/>
                <w:szCs w:val="16"/>
                <w:vertAlign w:val="superscript"/>
                <w:lang w:eastAsia="sk-SK"/>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Negatívne</w:t>
            </w:r>
            <w:r w:rsidRPr="004A5FD3">
              <w:rPr>
                <w:rFonts w:ascii="Times New Roman" w:hAnsi="Times New Roman" w:cs="Times New Roman"/>
                <w:sz w:val="16"/>
                <w:szCs w:val="16"/>
                <w:vertAlign w:val="superscript"/>
                <w:lang w:eastAsia="sk-SK"/>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lang w:eastAsia="sk-SK"/>
              </w:rPr>
              <w:t>1. Vplyvy na rozpočet verejnej správy</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i/>
                <w:iCs/>
                <w:lang w:eastAsia="sk-SK"/>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x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lang w:eastAsia="sk-SK"/>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lang w:eastAsia="sk-SK"/>
              </w:rPr>
              <w:t xml:space="preserve">3, Sociálne vplyvy </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lang w:eastAsia="sk-SK"/>
              </w:rPr>
              <w:t>– vplyvy  na hospodárenie obyvateľstva,</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lang w:eastAsia="sk-SK"/>
              </w:rPr>
              <w:t>-sociálnu exklúziu,</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lang w:eastAsia="sk-SK"/>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lang w:eastAsia="sk-SK"/>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lang w:eastAsia="sk-SK"/>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 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bl>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16"/>
          <w:szCs w:val="16"/>
          <w:lang w:eastAsia="sk-SK"/>
        </w:rPr>
        <w:t> </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A.3. Poznámky</w:t>
      </w:r>
    </w:p>
    <w:p w:rsidR="004A5FD3" w:rsidRPr="004A5FD3" w:rsidP="004A5FD3">
      <w:pPr>
        <w:bidi w:val="0"/>
        <w:spacing w:after="0" w:line="240" w:lineRule="auto"/>
        <w:jc w:val="both"/>
        <w:rPr>
          <w:rFonts w:ascii="Times New Roman" w:hAnsi="Times New Roman" w:cs="Times New Roman"/>
          <w:bCs/>
          <w:sz w:val="24"/>
          <w:szCs w:val="24"/>
          <w:lang w:eastAsia="sk-SK"/>
        </w:rPr>
      </w:pPr>
      <w:r w:rsidRPr="004A5FD3">
        <w:rPr>
          <w:rFonts w:ascii="Times New Roman" w:hAnsi="Times New Roman" w:cs="Times New Roman"/>
          <w:bCs/>
          <w:sz w:val="24"/>
          <w:szCs w:val="24"/>
          <w:lang w:eastAsia="sk-SK"/>
        </w:rPr>
        <w:t xml:space="preserve">Na základe vyhodnotenia vplyvov predkladateľ návrhu odhaduje, že návrh bude mať negatívny vplyv na rozpočet verejnej správy v nadväznosti na výdavky potrebné na zvýšenie počtu o 10 pracovných miest, z toho 9 miest v štátnej službe a 1 miesto pri výkone prác vo verejnom záujme pre ústredný orgán kapitoly ministerstva vnútra a na výdavky na udržanie výsledkov projektu financovaného zo štrukturálnych fondov EÚ v zmysle čl. 57 Nariadenia Rady (ES) 1083/2006. </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Cs/>
          <w:sz w:val="24"/>
          <w:szCs w:val="24"/>
          <w:lang w:eastAsia="sk-SK"/>
        </w:rPr>
        <w:t>Návrh zákona však nemá negatívny vplyv na rozpočty orgánov územnej samosprávy.</w:t>
      </w:r>
    </w:p>
    <w:p w:rsidR="004A5FD3" w:rsidRPr="004A5FD3" w:rsidP="004A5FD3">
      <w:pPr>
        <w:bidi w:val="0"/>
        <w:spacing w:after="0" w:line="240" w:lineRule="auto"/>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b/>
          <w:sz w:val="24"/>
          <w:szCs w:val="24"/>
          <w:lang w:eastAsia="sk-SK"/>
        </w:rPr>
      </w:pPr>
      <w:r w:rsidRPr="004A5FD3">
        <w:rPr>
          <w:rFonts w:ascii="Times New Roman" w:hAnsi="Times New Roman" w:cs="Times New Roman"/>
          <w:b/>
          <w:sz w:val="24"/>
          <w:szCs w:val="24"/>
          <w:lang w:eastAsia="sk-SK"/>
        </w:rPr>
        <w:t>Vplyv na rozpočet verejnej správy</w:t>
      </w:r>
    </w:p>
    <w:p w:rsidR="004A5FD3" w:rsidRPr="004A5FD3" w:rsidP="004A5FD3">
      <w:pPr>
        <w:bidi w:val="0"/>
        <w:spacing w:after="0" w:line="240" w:lineRule="auto"/>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 xml:space="preserve">Finančné vplyvy na verejnú správu súvisia so zriadením registra fyzických osôb a centrálnej ohlasovne. Základné ciele navrhovanej právnej úpravy spočívajú v upravení vzťahov a postupov pri prihlasovaní a odhlasovaní z pobytu, ako aj inštitucionálne ukotviť centrálnu ohlasovňu a register fyzických osôb ako unikátny zdroj najčastejšie využívaných údajov pri výkone verejnej správy. Zriadením registra fyzických osôb sa zabezpečí dostupnosť referenčných údajov, ktoré budú môcť byť využité pre výkon verejnej správy a zároveň sa občania zbavia povinnosti opakovane predkladať údaje. Prostredníctvom registra fyzických osôb sa údaje dostanú do ďalších informačných systémov verejnej správy. Zriadenie centrálnej ohlasovne ako elektronickej služby umožní občanom prihlasovanie a odhlasovanie z pobytu prostredníctvom využitia internetu. Z uvedeného dôvodu je v rámci kapitoly ministerstva vnútra potrebné zabezpečiť zvýšenie limitu finančných prostriedkov na zabezpečenie registra fyzických osôb a centrálnej ohlasovne o rozpočtovo nepokryté výdavky vo výške 3 624 487,86 € pre rok 2013, a 3 591 987,86 € pre roky </w:t>
      </w:r>
      <w:smartTag w:uri="urn:schemas-microsoft-com:office:smarttags" w:element="metricconverter">
        <w:smartTagPr>
          <w:attr w:name="ProductID" w:val="2014 a"/>
        </w:smartTagPr>
        <w:r w:rsidRPr="004A5FD3">
          <w:rPr>
            <w:rFonts w:ascii="Times New Roman" w:hAnsi="Times New Roman" w:cs="Times New Roman"/>
            <w:sz w:val="24"/>
            <w:szCs w:val="24"/>
            <w:lang w:eastAsia="sk-SK"/>
          </w:rPr>
          <w:t>2014 a</w:t>
        </w:r>
      </w:smartTag>
      <w:r w:rsidRPr="004A5FD3">
        <w:rPr>
          <w:rFonts w:ascii="Times New Roman" w:hAnsi="Times New Roman" w:cs="Times New Roman"/>
          <w:sz w:val="24"/>
          <w:szCs w:val="24"/>
          <w:lang w:eastAsia="sk-SK"/>
        </w:rPr>
        <w:t xml:space="preserve"> 2015. Finančné prostriedky v roku 2013 zahŕňajú mzdy, platy, služobné príjmy a ostatné osobné vyrovnania pre 10 zamestnancov vo výške 145 971 €, z toho pre 9 zamestnancov v štátnej službe vo výške 137 061 € a pre 1 zamestnanca pri výkone prác vo verejnom záujme vo výške 8 910 €, poistné a príspevok do poisťovní vo výške 51 016,86 €, tovary a služby vo výške 25 000 € na vybavenie interiérového zariadenia kancelárií, výpočtovej a telekomunikačnej techniky pre 10 zamestnancov a 3 387 000 € na udržanie výsledkov projektu financovaného zo štrukturálnych fondov EÚ v zmysle čl. 57 Nariadenia Rady (ES) 1083/2006 a kapitálové výdavky vo výške 15 500 € na zabezpečenie technického zariadenia.</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center"/>
        <w:rPr>
          <w:rFonts w:ascii="Times New Roman" w:hAnsi="Times New Roman" w:cs="Times New Roman"/>
          <w:b/>
          <w:sz w:val="28"/>
          <w:szCs w:val="28"/>
          <w:lang w:eastAsia="sk-SK"/>
        </w:rPr>
      </w:pPr>
      <w:r w:rsidRPr="004A5FD3">
        <w:rPr>
          <w:rFonts w:ascii="Times New Roman" w:hAnsi="Times New Roman" w:cs="Times New Roman"/>
          <w:b/>
          <w:sz w:val="28"/>
          <w:szCs w:val="28"/>
          <w:lang w:eastAsia="sk-SK"/>
        </w:rPr>
        <w:t>Vplyvy na rozpočet verejnej správy, na zamestnanosť vo verejnej správe a financovanie návrhu</w:t>
      </w:r>
    </w:p>
    <w:p w:rsidR="004A5FD3" w:rsidRPr="004A5FD3" w:rsidP="004A5FD3">
      <w:pPr>
        <w:bidi w:val="0"/>
        <w:spacing w:after="0" w:line="240" w:lineRule="auto"/>
        <w:jc w:val="center"/>
        <w:rPr>
          <w:rFonts w:ascii="Times New Roman" w:hAnsi="Times New Roman" w:cs="Times New Roman"/>
          <w:b/>
          <w:sz w:val="24"/>
          <w:szCs w:val="24"/>
          <w:lang w:eastAsia="sk-SK"/>
        </w:rPr>
      </w:pPr>
    </w:p>
    <w:p w:rsidR="004A5FD3" w:rsidRPr="004A5FD3" w:rsidP="004A5FD3">
      <w:pPr>
        <w:bidi w:val="0"/>
        <w:spacing w:after="0" w:line="240" w:lineRule="auto"/>
        <w:jc w:val="both"/>
        <w:rPr>
          <w:rFonts w:ascii="Times New Roman" w:hAnsi="Times New Roman" w:cs="Times New Roman"/>
          <w:b/>
          <w:sz w:val="24"/>
          <w:szCs w:val="24"/>
          <w:lang w:eastAsia="sk-SK"/>
        </w:rPr>
      </w:pPr>
    </w:p>
    <w:p w:rsidR="004A5FD3" w:rsidRPr="004A5FD3" w:rsidP="004A5FD3">
      <w:pPr>
        <w:bidi w:val="0"/>
        <w:spacing w:after="0" w:line="240" w:lineRule="auto"/>
        <w:jc w:val="both"/>
        <w:rPr>
          <w:rFonts w:ascii="Times New Roman" w:hAnsi="Times New Roman" w:cs="Times New Roman"/>
          <w:b/>
          <w:sz w:val="24"/>
          <w:szCs w:val="24"/>
          <w:lang w:eastAsia="sk-SK"/>
        </w:rPr>
      </w:pPr>
      <w:r w:rsidRPr="004A5FD3">
        <w:rPr>
          <w:rFonts w:ascii="Times New Roman" w:hAnsi="Times New Roman" w:cs="Times New Roman"/>
          <w:b/>
          <w:sz w:val="24"/>
          <w:szCs w:val="24"/>
          <w:lang w:eastAsia="sk-SK"/>
        </w:rPr>
        <w:t>2.1. Zhrnutie vplyvov na rozpočet verejnej správy</w:t>
      </w:r>
    </w:p>
    <w:p w:rsidR="004A5FD3" w:rsidRPr="004A5FD3" w:rsidP="004A5FD3">
      <w:pPr>
        <w:bidi w:val="0"/>
        <w:spacing w:after="0" w:line="240" w:lineRule="auto"/>
        <w:jc w:val="both"/>
        <w:rPr>
          <w:rFonts w:ascii="Times New Roman" w:hAnsi="Times New Roman" w:cs="Times New Roman"/>
          <w:b/>
          <w:sz w:val="24"/>
          <w:szCs w:val="24"/>
          <w:lang w:eastAsia="sk-SK"/>
        </w:rPr>
      </w:pPr>
    </w:p>
    <w:p w:rsidR="004A5FD3" w:rsidRPr="004A5FD3" w:rsidP="004A5FD3">
      <w:pPr>
        <w:bidi w:val="0"/>
        <w:spacing w:after="0" w:line="240" w:lineRule="auto"/>
        <w:jc w:val="both"/>
        <w:rPr>
          <w:rFonts w:ascii="Times New Roman" w:hAnsi="Times New Roman" w:cs="Times New Roman"/>
          <w:bCs/>
          <w:sz w:val="24"/>
          <w:szCs w:val="24"/>
          <w:lang w:eastAsia="sk-SK"/>
        </w:rPr>
      </w:pPr>
      <w:r w:rsidRPr="004A5FD3">
        <w:rPr>
          <w:rFonts w:ascii="Times New Roman" w:hAnsi="Times New Roman" w:cs="Times New Roman"/>
          <w:sz w:val="24"/>
          <w:szCs w:val="24"/>
          <w:lang w:eastAsia="sk-SK"/>
        </w:rPr>
        <w:tab/>
        <w:t xml:space="preserve">Finančné vplyvy návrhu zákona, </w:t>
      </w:r>
      <w:r w:rsidRPr="004A5FD3">
        <w:rPr>
          <w:rFonts w:ascii="Times New Roman" w:hAnsi="Times New Roman" w:cs="Times New Roman"/>
          <w:bCs/>
          <w:sz w:val="24"/>
          <w:szCs w:val="24"/>
          <w:lang w:eastAsia="sk-SK"/>
        </w:rPr>
        <w:t>ktorým sa mení a dopĺňa zákon č. 253/1998 Z. z. o hlásení pobytu občanov Slovenskej republiky a registri obyvateľov Slovenskej republiky v znení neskorších predpisov sa porovnávajú so schválenými východiskami rozpočtu verejnej správy na rok 2013 – 2015.</w:t>
      </w:r>
    </w:p>
    <w:p w:rsidR="004A5FD3" w:rsidRPr="004A5FD3" w:rsidP="004A5FD3">
      <w:pPr>
        <w:bidi w:val="0"/>
        <w:spacing w:after="0" w:line="240" w:lineRule="auto"/>
        <w:jc w:val="both"/>
        <w:rPr>
          <w:rFonts w:ascii="Times New Roman" w:hAnsi="Times New Roman" w:cs="Times New Roman"/>
          <w:bCs/>
          <w:sz w:val="24"/>
          <w:szCs w:val="24"/>
          <w:lang w:eastAsia="sk-SK"/>
        </w:rPr>
      </w:pPr>
    </w:p>
    <w:p w:rsidR="004A5FD3" w:rsidRPr="004A5FD3" w:rsidP="004A5FD3">
      <w:pPr>
        <w:bidi w:val="0"/>
        <w:spacing w:after="0" w:line="240" w:lineRule="auto"/>
        <w:jc w:val="both"/>
        <w:rPr>
          <w:rFonts w:ascii="Times New Roman" w:hAnsi="Times New Roman" w:cs="Times New Roman"/>
          <w:bCs/>
          <w:sz w:val="24"/>
          <w:szCs w:val="24"/>
          <w:lang w:eastAsia="sk-SK"/>
        </w:rPr>
      </w:pPr>
      <w:r w:rsidRPr="004A5FD3">
        <w:rPr>
          <w:rFonts w:ascii="Times New Roman" w:hAnsi="Times New Roman" w:cs="Times New Roman"/>
          <w:bCs/>
          <w:sz w:val="24"/>
          <w:szCs w:val="24"/>
          <w:lang w:eastAsia="sk-SK"/>
        </w:rPr>
        <w:tab/>
        <w:t>Požadované zvýšenie finančných prostriedkov a funkčných miest nie je (v module RIS ZORO) pre roky 2013 – 2015 zohľadnené v limitoch kapitoly Ministerstva vnútra Slovenskej republiky  v rámci návrhu rozpočtu verejnej správy na roky 2013 – 2015.</w:t>
      </w:r>
    </w:p>
    <w:p w:rsidR="004A5FD3" w:rsidP="004A5FD3">
      <w:pPr>
        <w:bidi w:val="0"/>
        <w:spacing w:after="0" w:line="240" w:lineRule="auto"/>
        <w:jc w:val="both"/>
        <w:rPr>
          <w:rFonts w:ascii="Times New Roman" w:hAnsi="Times New Roman" w:cs="Times New Roman"/>
          <w:bCs/>
          <w:sz w:val="24"/>
          <w:szCs w:val="24"/>
          <w:lang w:eastAsia="sk-SK"/>
        </w:rPr>
      </w:pPr>
    </w:p>
    <w:p w:rsidR="004A5FD3" w:rsidRPr="004A5FD3" w:rsidP="004A5FD3">
      <w:pPr>
        <w:bidi w:val="0"/>
        <w:spacing w:after="0" w:line="240" w:lineRule="auto"/>
        <w:jc w:val="both"/>
        <w:rPr>
          <w:rFonts w:ascii="Times New Roman" w:hAnsi="Times New Roman" w:cs="Times New Roman"/>
          <w:bCs/>
          <w:sz w:val="24"/>
          <w:szCs w:val="24"/>
          <w:lang w:eastAsia="sk-SK"/>
        </w:rPr>
      </w:pPr>
    </w:p>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8"/>
          <w:szCs w:val="28"/>
          <w:lang w:eastAsia="sk-SK"/>
        </w:rPr>
        <w:t>Vplyvy na rozpočet verejnej správy,</w:t>
      </w:r>
    </w:p>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8"/>
          <w:szCs w:val="28"/>
          <w:lang w:eastAsia="sk-SK"/>
        </w:rPr>
        <w:t>na zamestnanosť vo verejnej správe a financovanie návrhu</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2.1. Zhrnutie vplyvov na rozpočet verejnej správy v návrhu</w:t>
      </w:r>
    </w:p>
    <w:p w:rsidR="004A5FD3" w:rsidRPr="004A5FD3" w:rsidP="004A5FD3">
      <w:pPr>
        <w:bidi w:val="0"/>
        <w:spacing w:after="0" w:line="240" w:lineRule="auto"/>
        <w:jc w:val="right"/>
        <w:rPr>
          <w:rFonts w:ascii="Times New Roman" w:hAnsi="Times New Roman" w:cs="Times New Roman"/>
          <w:sz w:val="24"/>
          <w:szCs w:val="24"/>
          <w:lang w:eastAsia="sk-SK"/>
        </w:rPr>
      </w:pPr>
      <w:r w:rsidRPr="004A5FD3">
        <w:rPr>
          <w:rFonts w:ascii="Times New Roman" w:hAnsi="Times New Roman" w:cs="Times New Roman"/>
          <w:sz w:val="20"/>
          <w:szCs w:val="20"/>
          <w:lang w:eastAsia="sk-SK"/>
        </w:rPr>
        <w:t xml:space="preserve">Tabuľka č. 1 </w:t>
      </w:r>
    </w:p>
    <w:tbl>
      <w:tblPr>
        <w:tblStyle w:val="TableNormal"/>
        <w:tblW w:w="8548" w:type="dxa"/>
        <w:tblCellMar>
          <w:left w:w="0" w:type="dxa"/>
          <w:right w:w="0" w:type="dxa"/>
        </w:tblCellMar>
      </w:tblPr>
      <w:tblGrid>
        <w:gridCol w:w="4348"/>
        <w:gridCol w:w="1400"/>
        <w:gridCol w:w="1400"/>
        <w:gridCol w:w="1400"/>
      </w:tblGrid>
      <w:tr>
        <w:tblPrEx>
          <w:tblW w:w="8548" w:type="dxa"/>
          <w:tblCellMar>
            <w:left w:w="0" w:type="dxa"/>
            <w:right w:w="0" w:type="dxa"/>
          </w:tblCellMar>
        </w:tblPrEx>
        <w:trPr>
          <w:gridAfter w:val="3"/>
          <w:wAfter w:w="4200" w:type="dxa"/>
          <w:trHeight w:val="276"/>
        </w:trPr>
        <w:tc>
          <w:tcPr>
            <w:tcW w:w="4348"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A5FD3" w:rsidRPr="004A5FD3" w:rsidP="004A5FD3">
            <w:pPr>
              <w:bidi w:val="0"/>
              <w:spacing w:after="0" w:line="194" w:lineRule="atLeast"/>
              <w:jc w:val="center"/>
              <w:rPr>
                <w:rFonts w:ascii="Times New Roman" w:hAnsi="Times New Roman" w:cs="Times New Roman"/>
                <w:sz w:val="24"/>
                <w:szCs w:val="24"/>
                <w:lang w:eastAsia="sk-SK"/>
              </w:rPr>
            </w:pPr>
            <w:bookmarkStart w:id="0" w:name="OLE_LINK1"/>
            <w:bookmarkEnd w:id="0"/>
            <w:r w:rsidRPr="004A5FD3">
              <w:rPr>
                <w:rFonts w:ascii="Times New Roman" w:hAnsi="Times New Roman" w:cs="Times New Roman"/>
                <w:b/>
                <w:bCs/>
                <w:color w:val="FFFFFF"/>
                <w:sz w:val="24"/>
                <w:szCs w:val="24"/>
                <w:lang w:eastAsia="sk-SK"/>
              </w:rPr>
              <w:t xml:space="preserve">Vplyvy na </w:t>
            </w:r>
            <w:r w:rsidRPr="004A5FD3">
              <w:rPr>
                <w:rFonts w:ascii="Times New Roman" w:hAnsi="Times New Roman" w:cs="Times New Roman"/>
                <w:b/>
                <w:bCs/>
                <w:sz w:val="24"/>
                <w:szCs w:val="24"/>
                <w:lang w:eastAsia="sk-SK"/>
              </w:rPr>
              <w:t>rozpočet verejnej správy</w:t>
            </w:r>
          </w:p>
        </w:tc>
      </w:tr>
      <w:tr>
        <w:tblPrEx>
          <w:tblW w:w="8548"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A5FD3" w:rsidRPr="004A5FD3" w:rsidP="004A5FD3">
            <w:pPr>
              <w:bidi w:val="0"/>
              <w:spacing w:after="0" w:line="240" w:lineRule="auto"/>
              <w:rPr>
                <w:rFonts w:ascii="Times New Roman" w:hAnsi="Times New Roman" w:cs="Times New Roman"/>
                <w:sz w:val="24"/>
                <w:szCs w:val="24"/>
                <w:lang w:eastAsia="sk-SK"/>
              </w:rPr>
            </w:pPr>
          </w:p>
        </w:tc>
        <w:tc>
          <w:tcPr>
            <w:tcW w:w="140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A5FD3" w:rsidRPr="004A5FD3" w:rsidP="004A5FD3">
            <w:pPr>
              <w:bidi w:val="0"/>
              <w:spacing w:after="0" w:line="70" w:lineRule="atLeast"/>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2013</w:t>
            </w:r>
          </w:p>
        </w:tc>
        <w:tc>
          <w:tcPr>
            <w:tcW w:w="140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A5FD3" w:rsidRPr="004A5FD3" w:rsidP="004A5FD3">
            <w:pPr>
              <w:bidi w:val="0"/>
              <w:spacing w:after="0" w:line="70" w:lineRule="atLeast"/>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2014</w:t>
            </w:r>
          </w:p>
        </w:tc>
        <w:tc>
          <w:tcPr>
            <w:tcW w:w="140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A5FD3" w:rsidRPr="004A5FD3" w:rsidP="004A5FD3">
            <w:pPr>
              <w:bidi w:val="0"/>
              <w:spacing w:after="0" w:line="70" w:lineRule="atLeast"/>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2015</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Príjmy verejnej správy celkom</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0</w:t>
            </w:r>
          </w:p>
        </w:tc>
      </w:tr>
      <w:tr>
        <w:tblPrEx>
          <w:tblW w:w="8548" w:type="dxa"/>
          <w:tblCellMar>
            <w:left w:w="0" w:type="dxa"/>
            <w:right w:w="0" w:type="dxa"/>
          </w:tblCellMar>
        </w:tblPrEx>
        <w:trPr>
          <w:trHeight w:val="132"/>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32" w:lineRule="atLeast"/>
              <w:rPr>
                <w:rFonts w:ascii="Times New Roman" w:hAnsi="Times New Roman" w:cs="Times New Roman"/>
                <w:sz w:val="24"/>
                <w:szCs w:val="24"/>
                <w:lang w:eastAsia="sk-SK"/>
              </w:rPr>
            </w:pPr>
            <w:r w:rsidRPr="004A5FD3">
              <w:rPr>
                <w:rFonts w:ascii="Times New Roman" w:hAnsi="Times New Roman" w:cs="Times New Roman"/>
                <w:sz w:val="24"/>
                <w:szCs w:val="24"/>
                <w:lang w:eastAsia="sk-SK"/>
              </w:rPr>
              <w:t>v tom: za každý subjekt verejnej správy zvlášť</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32"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32"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32"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0</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b/>
                <w:bCs/>
                <w:i/>
                <w:iCs/>
                <w:sz w:val="24"/>
                <w:szCs w:val="24"/>
                <w:lang w:eastAsia="sk-SK"/>
              </w:rPr>
              <w:t xml:space="preserve">z toho: </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i/>
                <w:iCs/>
                <w:sz w:val="24"/>
                <w:szCs w:val="24"/>
                <w:lang w:eastAsia="sk-SK"/>
              </w:rPr>
              <w:t> </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i/>
                <w:iCs/>
                <w:sz w:val="24"/>
                <w:szCs w:val="24"/>
                <w:lang w:eastAsia="sk-SK"/>
              </w:rPr>
              <w:t> </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i/>
                <w:iCs/>
                <w:sz w:val="24"/>
                <w:szCs w:val="24"/>
                <w:lang w:eastAsia="sk-SK"/>
              </w:rPr>
              <w:t> </w:t>
            </w:r>
          </w:p>
        </w:tc>
      </w:tr>
      <w:tr>
        <w:tblPrEx>
          <w:tblW w:w="8548" w:type="dxa"/>
          <w:tblCellMar>
            <w:left w:w="0" w:type="dxa"/>
            <w:right w:w="0" w:type="dxa"/>
          </w:tblCellMar>
        </w:tblPrEx>
        <w:trPr>
          <w:trHeight w:val="125"/>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25" w:lineRule="atLeast"/>
              <w:rPr>
                <w:rFonts w:ascii="Times New Roman" w:hAnsi="Times New Roman" w:cs="Times New Roman"/>
                <w:sz w:val="24"/>
                <w:szCs w:val="24"/>
                <w:lang w:eastAsia="sk-SK"/>
              </w:rPr>
            </w:pPr>
            <w:r w:rsidRPr="004A5FD3">
              <w:rPr>
                <w:rFonts w:ascii="Times New Roman" w:hAnsi="Times New Roman" w:cs="Times New Roman"/>
                <w:b/>
                <w:bCs/>
                <w:i/>
                <w:iCs/>
                <w:sz w:val="24"/>
                <w:szCs w:val="24"/>
                <w:lang w:eastAsia="sk-SK"/>
              </w:rPr>
              <w:t>- vplyv na ŠR</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25" w:lineRule="atLeast"/>
              <w:jc w:val="right"/>
              <w:rPr>
                <w:rFonts w:ascii="Times New Roman" w:hAnsi="Times New Roman" w:cs="Times New Roman"/>
                <w:sz w:val="24"/>
                <w:szCs w:val="24"/>
                <w:lang w:eastAsia="sk-SK"/>
              </w:rPr>
            </w:pPr>
            <w:r w:rsidRPr="004A5FD3">
              <w:rPr>
                <w:rFonts w:ascii="Times New Roman" w:hAnsi="Times New Roman" w:cs="Times New Roman"/>
                <w:b/>
                <w:bCs/>
                <w:i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25" w:lineRule="atLeast"/>
              <w:jc w:val="right"/>
              <w:rPr>
                <w:rFonts w:ascii="Times New Roman" w:hAnsi="Times New Roman" w:cs="Times New Roman"/>
                <w:sz w:val="24"/>
                <w:szCs w:val="24"/>
                <w:lang w:eastAsia="sk-SK"/>
              </w:rPr>
            </w:pPr>
            <w:r w:rsidRPr="004A5FD3">
              <w:rPr>
                <w:rFonts w:ascii="Times New Roman" w:hAnsi="Times New Roman" w:cs="Times New Roman"/>
                <w:b/>
                <w:bCs/>
                <w:i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25" w:lineRule="atLeast"/>
              <w:jc w:val="right"/>
              <w:rPr>
                <w:rFonts w:ascii="Times New Roman" w:hAnsi="Times New Roman" w:cs="Times New Roman"/>
                <w:sz w:val="24"/>
                <w:szCs w:val="24"/>
                <w:lang w:eastAsia="sk-SK"/>
              </w:rPr>
            </w:pPr>
            <w:r w:rsidRPr="004A5FD3">
              <w:rPr>
                <w:rFonts w:ascii="Times New Roman" w:hAnsi="Times New Roman" w:cs="Times New Roman"/>
                <w:b/>
                <w:bCs/>
                <w:iCs/>
                <w:sz w:val="24"/>
                <w:szCs w:val="24"/>
                <w:lang w:eastAsia="sk-SK"/>
              </w:rPr>
              <w:t>0</w:t>
            </w:r>
          </w:p>
        </w:tc>
      </w:tr>
      <w:tr>
        <w:tblPrEx>
          <w:tblW w:w="8548" w:type="dxa"/>
          <w:tblCellMar>
            <w:left w:w="0" w:type="dxa"/>
            <w:right w:w="0" w:type="dxa"/>
          </w:tblCellMar>
        </w:tblPrEx>
        <w:trPr>
          <w:trHeight w:val="125"/>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25" w:lineRule="atLeast"/>
              <w:rPr>
                <w:rFonts w:ascii="Times New Roman" w:hAnsi="Times New Roman" w:cs="Times New Roman"/>
                <w:sz w:val="24"/>
                <w:szCs w:val="24"/>
                <w:lang w:eastAsia="sk-SK"/>
              </w:rPr>
            </w:pPr>
            <w:r w:rsidRPr="004A5FD3">
              <w:rPr>
                <w:rFonts w:ascii="Times New Roman" w:hAnsi="Times New Roman" w:cs="Times New Roman"/>
                <w:b/>
                <w:bCs/>
                <w:i/>
                <w:iCs/>
                <w:sz w:val="24"/>
                <w:szCs w:val="24"/>
                <w:lang w:eastAsia="sk-SK"/>
              </w:rPr>
              <w:t>- vplyv na územnú samosprávu</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25" w:lineRule="atLeast"/>
              <w:jc w:val="right"/>
              <w:rPr>
                <w:rFonts w:ascii="Times New Roman" w:hAnsi="Times New Roman" w:cs="Times New Roman"/>
                <w:sz w:val="24"/>
                <w:szCs w:val="24"/>
                <w:lang w:eastAsia="sk-SK"/>
              </w:rPr>
            </w:pPr>
            <w:r w:rsidRPr="004A5FD3">
              <w:rPr>
                <w:rFonts w:ascii="Times New Roman" w:hAnsi="Times New Roman" w:cs="Times New Roman"/>
                <w:b/>
                <w:bCs/>
                <w:i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25" w:lineRule="atLeast"/>
              <w:jc w:val="right"/>
              <w:rPr>
                <w:rFonts w:ascii="Times New Roman" w:hAnsi="Times New Roman" w:cs="Times New Roman"/>
                <w:sz w:val="24"/>
                <w:szCs w:val="24"/>
                <w:lang w:eastAsia="sk-SK"/>
              </w:rPr>
            </w:pPr>
            <w:r w:rsidRPr="004A5FD3">
              <w:rPr>
                <w:rFonts w:ascii="Times New Roman" w:hAnsi="Times New Roman" w:cs="Times New Roman"/>
                <w:b/>
                <w:bCs/>
                <w:i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25" w:lineRule="atLeast"/>
              <w:jc w:val="right"/>
              <w:rPr>
                <w:rFonts w:ascii="Times New Roman" w:hAnsi="Times New Roman" w:cs="Times New Roman"/>
                <w:sz w:val="24"/>
                <w:szCs w:val="24"/>
                <w:lang w:eastAsia="sk-SK"/>
              </w:rPr>
            </w:pPr>
            <w:r w:rsidRPr="004A5FD3">
              <w:rPr>
                <w:rFonts w:ascii="Times New Roman" w:hAnsi="Times New Roman" w:cs="Times New Roman"/>
                <w:b/>
                <w:bCs/>
                <w:iCs/>
                <w:sz w:val="24"/>
                <w:szCs w:val="24"/>
                <w:lang w:eastAsia="sk-SK"/>
              </w:rPr>
              <w:t>0</w:t>
            </w:r>
          </w:p>
        </w:tc>
      </w:tr>
      <w:tr>
        <w:tblPrEx>
          <w:tblW w:w="8548" w:type="dxa"/>
          <w:tblCellMar>
            <w:left w:w="0" w:type="dxa"/>
            <w:right w:w="0" w:type="dxa"/>
          </w:tblCellMar>
        </w:tblPrEx>
        <w:trPr>
          <w:trHeight w:val="125"/>
        </w:trPr>
        <w:tc>
          <w:tcPr>
            <w:tcW w:w="434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A5FD3" w:rsidRPr="004A5FD3" w:rsidP="004A5FD3">
            <w:pPr>
              <w:bidi w:val="0"/>
              <w:spacing w:after="0" w:line="125" w:lineRule="atLeas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Výdavky verejnej správy celkom</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A5FD3" w:rsidRPr="004A5FD3" w:rsidP="004A5FD3">
            <w:pPr>
              <w:bidi w:val="0"/>
              <w:spacing w:after="0" w:line="125" w:lineRule="atLeast"/>
              <w:jc w:val="right"/>
              <w:rPr>
                <w:rFonts w:ascii="Times New Roman" w:hAnsi="Times New Roman" w:cs="Times New Roman"/>
                <w:b/>
                <w:sz w:val="24"/>
                <w:szCs w:val="24"/>
                <w:lang w:eastAsia="sk-SK"/>
              </w:rPr>
            </w:pPr>
            <w:r w:rsidRPr="004A5FD3">
              <w:rPr>
                <w:rFonts w:ascii="Times New Roman" w:hAnsi="Times New Roman" w:cs="Times New Roman"/>
                <w:b/>
                <w:sz w:val="24"/>
                <w:szCs w:val="24"/>
                <w:lang w:eastAsia="sk-SK"/>
              </w:rPr>
              <w:t>3 624 487,86</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A5FD3" w:rsidRPr="004A5FD3" w:rsidP="004A5FD3">
            <w:pPr>
              <w:bidi w:val="0"/>
              <w:spacing w:after="0" w:line="125" w:lineRule="atLeast"/>
              <w:jc w:val="right"/>
              <w:rPr>
                <w:rFonts w:ascii="Times New Roman" w:hAnsi="Times New Roman" w:cs="Times New Roman"/>
                <w:b/>
                <w:sz w:val="24"/>
                <w:szCs w:val="24"/>
                <w:lang w:eastAsia="sk-SK"/>
              </w:rPr>
            </w:pPr>
            <w:r w:rsidRPr="004A5FD3">
              <w:rPr>
                <w:rFonts w:ascii="Times New Roman" w:hAnsi="Times New Roman" w:cs="Times New Roman"/>
                <w:b/>
                <w:sz w:val="24"/>
                <w:szCs w:val="24"/>
                <w:lang w:eastAsia="sk-SK"/>
              </w:rPr>
              <w:t>3 591 987,86</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A5FD3" w:rsidRPr="004A5FD3" w:rsidP="004A5FD3">
            <w:pPr>
              <w:bidi w:val="0"/>
              <w:spacing w:after="0" w:line="125" w:lineRule="atLeast"/>
              <w:jc w:val="righ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xml:space="preserve">3 591 987,86 </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sz w:val="24"/>
                <w:szCs w:val="24"/>
                <w:lang w:eastAsia="sk-SK"/>
              </w:rPr>
              <w:t xml:space="preserve">v tom: za program </w:t>
            </w:r>
            <w:smartTag w:uri="urn:schemas-microsoft-com:office:smarttags" w:element="metricconverter">
              <w:smartTagPr>
                <w:attr w:name="ProductID" w:val="08C"/>
              </w:smartTagPr>
              <w:r w:rsidRPr="004A5FD3">
                <w:rPr>
                  <w:rFonts w:ascii="Times New Roman" w:hAnsi="Times New Roman" w:cs="Times New Roman"/>
                  <w:sz w:val="24"/>
                  <w:szCs w:val="24"/>
                  <w:lang w:eastAsia="sk-SK"/>
                </w:rPr>
                <w:t>08C</w:t>
              </w:r>
            </w:smartTag>
            <w:r w:rsidRPr="004A5FD3">
              <w:rPr>
                <w:rFonts w:ascii="Times New Roman" w:hAnsi="Times New Roman" w:cs="Times New Roman"/>
                <w:sz w:val="24"/>
                <w:szCs w:val="24"/>
                <w:lang w:eastAsia="sk-SK"/>
              </w:rPr>
              <w:t xml:space="preserve"> – Verejná správa podprogram 08C02 – Riadiaca a kontrolná činnosť verejnej správy</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237 487,86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204 987,86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204 987,86</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sz w:val="24"/>
                <w:szCs w:val="24"/>
                <w:lang w:eastAsia="sk-SK"/>
              </w:rPr>
              <w:t>v tom: za program 06V – Ochrana verejného poriadku a bezpečnosti</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3 387 000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3 387 000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3 387 000</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b/>
                <w:bCs/>
                <w:i/>
                <w:iCs/>
                <w:sz w:val="24"/>
                <w:szCs w:val="24"/>
                <w:lang w:eastAsia="sk-SK"/>
              </w:rPr>
              <w:t xml:space="preserve">z toho: </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i/>
                <w:iCs/>
                <w:sz w:val="24"/>
                <w:szCs w:val="24"/>
                <w:lang w:eastAsia="sk-SK"/>
              </w:rPr>
              <w:t> </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i/>
                <w:iCs/>
                <w:sz w:val="24"/>
                <w:szCs w:val="24"/>
                <w:lang w:eastAsia="sk-SK"/>
              </w:rPr>
              <w:t> </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i/>
                <w:iCs/>
                <w:sz w:val="24"/>
                <w:szCs w:val="24"/>
                <w:lang w:eastAsia="sk-SK"/>
              </w:rPr>
              <w:t> </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b/>
                <w:bCs/>
                <w:i/>
                <w:iCs/>
                <w:sz w:val="24"/>
                <w:szCs w:val="24"/>
                <w:lang w:eastAsia="sk-SK"/>
              </w:rPr>
              <w:t>- vplyv na ŠR</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b/>
                <w:sz w:val="24"/>
                <w:szCs w:val="24"/>
                <w:lang w:eastAsia="sk-SK"/>
              </w:rPr>
            </w:pPr>
            <w:r w:rsidRPr="004A5FD3">
              <w:rPr>
                <w:rFonts w:ascii="Times New Roman" w:hAnsi="Times New Roman" w:cs="Times New Roman"/>
                <w:b/>
                <w:sz w:val="24"/>
                <w:szCs w:val="24"/>
                <w:lang w:eastAsia="sk-SK"/>
              </w:rPr>
              <w:t>3 624 487,86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b/>
                <w:sz w:val="24"/>
                <w:szCs w:val="24"/>
                <w:lang w:eastAsia="sk-SK"/>
              </w:rPr>
            </w:pPr>
            <w:r w:rsidRPr="004A5FD3">
              <w:rPr>
                <w:rFonts w:ascii="Times New Roman" w:hAnsi="Times New Roman" w:cs="Times New Roman"/>
                <w:b/>
                <w:sz w:val="24"/>
                <w:szCs w:val="24"/>
                <w:lang w:eastAsia="sk-SK"/>
              </w:rPr>
              <w:t>3 591 987,86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b/>
                <w:sz w:val="24"/>
                <w:szCs w:val="24"/>
                <w:lang w:eastAsia="sk-SK"/>
              </w:rPr>
            </w:pPr>
            <w:r w:rsidRPr="004A5FD3">
              <w:rPr>
                <w:rFonts w:ascii="Times New Roman" w:hAnsi="Times New Roman" w:cs="Times New Roman"/>
                <w:b/>
                <w:sz w:val="24"/>
                <w:szCs w:val="24"/>
                <w:lang w:eastAsia="sk-SK"/>
              </w:rPr>
              <w:t>3 591 987,86</w:t>
            </w:r>
          </w:p>
        </w:tc>
      </w:tr>
      <w:tr>
        <w:tblPrEx>
          <w:tblW w:w="8548" w:type="dxa"/>
          <w:tblCellMar>
            <w:left w:w="0" w:type="dxa"/>
            <w:right w:w="0" w:type="dxa"/>
          </w:tblCellMar>
        </w:tblPrEx>
        <w:trPr>
          <w:trHeight w:val="125"/>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25" w:lineRule="atLeast"/>
              <w:rPr>
                <w:rFonts w:ascii="Times New Roman" w:hAnsi="Times New Roman" w:cs="Times New Roman"/>
                <w:sz w:val="24"/>
                <w:szCs w:val="24"/>
                <w:lang w:eastAsia="sk-SK"/>
              </w:rPr>
            </w:pPr>
            <w:r w:rsidRPr="004A5FD3">
              <w:rPr>
                <w:rFonts w:ascii="Times New Roman" w:hAnsi="Times New Roman" w:cs="Times New Roman"/>
                <w:b/>
                <w:bCs/>
                <w:i/>
                <w:iCs/>
                <w:sz w:val="24"/>
                <w:szCs w:val="24"/>
                <w:lang w:eastAsia="sk-SK"/>
              </w:rPr>
              <w:t>- vplyv na územnú samosprávu</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25" w:lineRule="atLeast"/>
              <w:jc w:val="right"/>
              <w:rPr>
                <w:rFonts w:ascii="Times New Roman" w:hAnsi="Times New Roman" w:cs="Times New Roman"/>
                <w:sz w:val="24"/>
                <w:szCs w:val="24"/>
                <w:lang w:eastAsia="sk-SK"/>
              </w:rPr>
            </w:pPr>
            <w:r w:rsidRPr="004A5FD3">
              <w:rPr>
                <w:rFonts w:ascii="Times New Roman" w:hAnsi="Times New Roman" w:cs="Times New Roman"/>
                <w:b/>
                <w:bCs/>
                <w:i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25" w:lineRule="atLeast"/>
              <w:jc w:val="right"/>
              <w:rPr>
                <w:rFonts w:ascii="Times New Roman" w:hAnsi="Times New Roman" w:cs="Times New Roman"/>
                <w:sz w:val="24"/>
                <w:szCs w:val="24"/>
                <w:lang w:eastAsia="sk-SK"/>
              </w:rPr>
            </w:pPr>
            <w:r w:rsidRPr="004A5FD3">
              <w:rPr>
                <w:rFonts w:ascii="Times New Roman" w:hAnsi="Times New Roman" w:cs="Times New Roman"/>
                <w:b/>
                <w:bCs/>
                <w:i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25" w:lineRule="atLeast"/>
              <w:jc w:val="right"/>
              <w:rPr>
                <w:rFonts w:ascii="Times New Roman" w:hAnsi="Times New Roman" w:cs="Times New Roman"/>
                <w:sz w:val="24"/>
                <w:szCs w:val="24"/>
                <w:lang w:eastAsia="sk-SK"/>
              </w:rPr>
            </w:pPr>
            <w:r w:rsidRPr="004A5FD3">
              <w:rPr>
                <w:rFonts w:ascii="Times New Roman" w:hAnsi="Times New Roman" w:cs="Times New Roman"/>
                <w:b/>
                <w:bCs/>
                <w:iCs/>
                <w:sz w:val="24"/>
                <w:szCs w:val="24"/>
                <w:lang w:eastAsia="sk-SK"/>
              </w:rPr>
              <w:t>0</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Celková zamestnanosť – prírastok počtu pracovných miest</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10</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10</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10</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b/>
                <w:bCs/>
                <w:i/>
                <w:iCs/>
                <w:sz w:val="24"/>
                <w:szCs w:val="24"/>
                <w:lang w:eastAsia="sk-SK"/>
              </w:rPr>
              <w:t>- z toho vplyv na ŠR</w:t>
            </w:r>
            <w:r w:rsidRPr="004A5FD3">
              <w:rPr>
                <w:rFonts w:ascii="Times New Roman" w:hAnsi="Times New Roman" w:cs="Times New Roman"/>
                <w:sz w:val="24"/>
                <w:szCs w:val="24"/>
                <w:lang w:eastAsia="sk-SK"/>
              </w:rPr>
              <w:t xml:space="preserve"> </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10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10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10</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Financovanie zabezpečené v rozpočte</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0</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sz w:val="24"/>
                <w:szCs w:val="24"/>
                <w:lang w:eastAsia="sk-SK"/>
              </w:rPr>
              <w:t xml:space="preserve">v tom: za program </w:t>
            </w:r>
            <w:smartTag w:uri="urn:schemas-microsoft-com:office:smarttags" w:element="metricconverter">
              <w:smartTagPr>
                <w:attr w:name="ProductID" w:val="08C"/>
              </w:smartTagPr>
              <w:r w:rsidRPr="004A5FD3">
                <w:rPr>
                  <w:rFonts w:ascii="Times New Roman" w:hAnsi="Times New Roman" w:cs="Times New Roman"/>
                  <w:sz w:val="24"/>
                  <w:szCs w:val="24"/>
                  <w:lang w:eastAsia="sk-SK"/>
                </w:rPr>
                <w:t>08C</w:t>
              </w:r>
            </w:smartTag>
            <w:r w:rsidRPr="004A5FD3">
              <w:rPr>
                <w:rFonts w:ascii="Times New Roman" w:hAnsi="Times New Roman" w:cs="Times New Roman"/>
                <w:sz w:val="24"/>
                <w:szCs w:val="24"/>
                <w:lang w:eastAsia="sk-SK"/>
              </w:rPr>
              <w:t xml:space="preserve"> – Verejná správa podprogram 08C02 – Riadiaca a kontrolná činnosť verejnej správy</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0</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sz w:val="24"/>
                <w:szCs w:val="24"/>
                <w:lang w:eastAsia="sk-SK"/>
              </w:rPr>
              <w:t>v tom: za program 06V – Ochrana verejného poriadku a bezpečnosti</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0</w:t>
            </w:r>
          </w:p>
        </w:tc>
      </w:tr>
      <w:tr>
        <w:tblPrEx>
          <w:tblW w:w="8548" w:type="dxa"/>
          <w:tblCellMar>
            <w:left w:w="0" w:type="dxa"/>
            <w:right w:w="0" w:type="dxa"/>
          </w:tblCellMar>
        </w:tblPrEx>
        <w:tc>
          <w:tcPr>
            <w:tcW w:w="4348"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40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40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40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r>
    </w:tbl>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2.2. Financovanie návrhu</w:t>
      </w:r>
    </w:p>
    <w:p w:rsidR="004A5FD3" w:rsidRPr="004A5FD3" w:rsidP="004A5FD3">
      <w:pPr>
        <w:bidi w:val="0"/>
        <w:spacing w:after="0" w:line="240" w:lineRule="auto"/>
        <w:jc w:val="right"/>
        <w:rPr>
          <w:rFonts w:ascii="Times New Roman" w:hAnsi="Times New Roman" w:cs="Times New Roman"/>
          <w:sz w:val="24"/>
          <w:szCs w:val="24"/>
          <w:lang w:eastAsia="sk-SK"/>
        </w:rPr>
      </w:pPr>
      <w:r w:rsidRPr="004A5FD3">
        <w:rPr>
          <w:rFonts w:ascii="Times New Roman" w:hAnsi="Times New Roman" w:cs="Times New Roman"/>
          <w:sz w:val="20"/>
          <w:szCs w:val="20"/>
          <w:lang w:eastAsia="sk-SK"/>
        </w:rPr>
        <w:t>Tabuľka č. 2</w:t>
      </w:r>
    </w:p>
    <w:tbl>
      <w:tblPr>
        <w:tblStyle w:val="TableNormal"/>
        <w:tblW w:w="8173" w:type="dxa"/>
        <w:tblCellMar>
          <w:left w:w="0" w:type="dxa"/>
          <w:right w:w="0" w:type="dxa"/>
        </w:tblCellMar>
      </w:tblPr>
      <w:tblGrid>
        <w:gridCol w:w="3973"/>
        <w:gridCol w:w="1400"/>
        <w:gridCol w:w="1400"/>
        <w:gridCol w:w="1400"/>
      </w:tblGrid>
      <w:tr>
        <w:tblPrEx>
          <w:tblW w:w="8173" w:type="dxa"/>
          <w:tblCellMar>
            <w:left w:w="0" w:type="dxa"/>
            <w:right w:w="0" w:type="dxa"/>
          </w:tblCellMar>
        </w:tblPrEx>
        <w:trPr>
          <w:gridAfter w:val="3"/>
          <w:wAfter w:w="4200" w:type="dxa"/>
          <w:trHeight w:val="276"/>
        </w:trPr>
        <w:tc>
          <w:tcPr>
            <w:tcW w:w="3973"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A5FD3" w:rsidRPr="004A5FD3" w:rsidP="004A5FD3">
            <w:pPr>
              <w:bidi w:val="0"/>
              <w:spacing w:after="0" w:line="70" w:lineRule="atLeast"/>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Financovanie</w:t>
            </w:r>
          </w:p>
        </w:tc>
      </w:tr>
      <w:tr>
        <w:tblPrEx>
          <w:tblW w:w="8173"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A5FD3" w:rsidRPr="004A5FD3" w:rsidP="004A5FD3">
            <w:pPr>
              <w:bidi w:val="0"/>
              <w:spacing w:after="0" w:line="240" w:lineRule="auto"/>
              <w:rPr>
                <w:rFonts w:ascii="Times New Roman" w:hAnsi="Times New Roman" w:cs="Times New Roman"/>
                <w:sz w:val="24"/>
                <w:szCs w:val="24"/>
                <w:lang w:eastAsia="sk-SK"/>
              </w:rPr>
            </w:pPr>
          </w:p>
        </w:tc>
        <w:tc>
          <w:tcPr>
            <w:tcW w:w="140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A5FD3" w:rsidRPr="004A5FD3" w:rsidP="004A5FD3">
            <w:pPr>
              <w:bidi w:val="0"/>
              <w:spacing w:after="0" w:line="70" w:lineRule="atLeast"/>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2013</w:t>
            </w:r>
          </w:p>
        </w:tc>
        <w:tc>
          <w:tcPr>
            <w:tcW w:w="140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A5FD3" w:rsidRPr="004A5FD3" w:rsidP="004A5FD3">
            <w:pPr>
              <w:bidi w:val="0"/>
              <w:spacing w:after="0" w:line="70" w:lineRule="atLeast"/>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2014</w:t>
            </w:r>
          </w:p>
        </w:tc>
        <w:tc>
          <w:tcPr>
            <w:tcW w:w="140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A5FD3" w:rsidRPr="004A5FD3" w:rsidP="004A5FD3">
            <w:pPr>
              <w:bidi w:val="0"/>
              <w:spacing w:after="0" w:line="70" w:lineRule="atLeast"/>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2015</w:t>
            </w:r>
          </w:p>
        </w:tc>
      </w:tr>
      <w:tr>
        <w:tblPrEx>
          <w:tblW w:w="8173" w:type="dxa"/>
          <w:tblCellMar>
            <w:left w:w="0" w:type="dxa"/>
            <w:right w:w="0" w:type="dxa"/>
          </w:tblCellMar>
        </w:tblPrEx>
        <w:trPr>
          <w:trHeight w:val="70"/>
        </w:trPr>
        <w:tc>
          <w:tcPr>
            <w:tcW w:w="39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Celkový vplyv na rozpočet verejnej správy ( - príjmy, + výdavky)</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3 624 487,86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3 591 987,86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3 591 987,86</w:t>
            </w:r>
          </w:p>
        </w:tc>
      </w:tr>
      <w:tr>
        <w:tblPrEx>
          <w:tblW w:w="8173" w:type="dxa"/>
          <w:tblCellMar>
            <w:left w:w="0" w:type="dxa"/>
            <w:right w:w="0" w:type="dxa"/>
          </w:tblCellMar>
        </w:tblPrEx>
        <w:trPr>
          <w:trHeight w:val="70"/>
        </w:trPr>
        <w:tc>
          <w:tcPr>
            <w:tcW w:w="39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sz w:val="24"/>
                <w:szCs w:val="24"/>
                <w:lang w:eastAsia="sk-SK"/>
              </w:rPr>
              <w:t>  z toho vplyv na ŠR</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3 624 487,86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3 591 987,86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3 591 987,86</w:t>
            </w:r>
          </w:p>
        </w:tc>
      </w:tr>
      <w:tr>
        <w:tblPrEx>
          <w:tblW w:w="8173" w:type="dxa"/>
          <w:tblCellMar>
            <w:left w:w="0" w:type="dxa"/>
            <w:right w:w="0" w:type="dxa"/>
          </w:tblCellMar>
        </w:tblPrEx>
        <w:trPr>
          <w:trHeight w:val="151"/>
        </w:trPr>
        <w:tc>
          <w:tcPr>
            <w:tcW w:w="39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51" w:lineRule="atLeast"/>
              <w:rPr>
                <w:rFonts w:ascii="Times New Roman" w:hAnsi="Times New Roman" w:cs="Times New Roman"/>
                <w:sz w:val="24"/>
                <w:szCs w:val="24"/>
                <w:lang w:eastAsia="sk-SK"/>
              </w:rPr>
            </w:pPr>
            <w:r w:rsidRPr="004A5FD3">
              <w:rPr>
                <w:rFonts w:ascii="Times New Roman" w:hAnsi="Times New Roman" w:cs="Times New Roman"/>
                <w:sz w:val="24"/>
                <w:szCs w:val="24"/>
                <w:lang w:eastAsia="sk-SK"/>
              </w:rPr>
              <w:t>  financovanie zabezpečené v rozpočte</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51"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51"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51"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0</w:t>
            </w:r>
          </w:p>
        </w:tc>
      </w:tr>
      <w:tr>
        <w:tblPrEx>
          <w:tblW w:w="8173" w:type="dxa"/>
          <w:tblCellMar>
            <w:left w:w="0" w:type="dxa"/>
            <w:right w:w="0" w:type="dxa"/>
          </w:tblCellMar>
        </w:tblPrEx>
        <w:trPr>
          <w:trHeight w:val="135"/>
        </w:trPr>
        <w:tc>
          <w:tcPr>
            <w:tcW w:w="39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35" w:lineRule="atLeast"/>
              <w:rPr>
                <w:rFonts w:ascii="Times New Roman" w:hAnsi="Times New Roman" w:cs="Times New Roman"/>
                <w:sz w:val="24"/>
                <w:szCs w:val="24"/>
                <w:lang w:eastAsia="sk-SK"/>
              </w:rPr>
            </w:pPr>
            <w:r w:rsidRPr="004A5FD3">
              <w:rPr>
                <w:rFonts w:ascii="Times New Roman" w:hAnsi="Times New Roman" w:cs="Times New Roman"/>
                <w:sz w:val="24"/>
                <w:szCs w:val="24"/>
                <w:lang w:eastAsia="sk-SK"/>
              </w:rPr>
              <w:t>  ostatné zdroje financovania</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35"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35"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135" w:lineRule="atLeast"/>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0</w:t>
            </w:r>
          </w:p>
        </w:tc>
      </w:tr>
      <w:tr>
        <w:tblPrEx>
          <w:tblW w:w="8173" w:type="dxa"/>
          <w:tblCellMar>
            <w:left w:w="0" w:type="dxa"/>
            <w:right w:w="0" w:type="dxa"/>
          </w:tblCellMar>
        </w:tblPrEx>
        <w:trPr>
          <w:trHeight w:val="70"/>
        </w:trPr>
        <w:tc>
          <w:tcPr>
            <w:tcW w:w="39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Rozpočtovo nekrytý vplyv / úspora</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3 624 487,86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3 591 987,86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70" w:lineRule="atLeast"/>
              <w:jc w:val="right"/>
              <w:rPr>
                <w:rFonts w:ascii="Times New Roman" w:hAnsi="Times New Roman" w:cs="Times New Roman"/>
                <w:b/>
                <w:sz w:val="24"/>
                <w:szCs w:val="24"/>
                <w:lang w:eastAsia="sk-SK"/>
              </w:rPr>
            </w:pPr>
            <w:r w:rsidRPr="004A5FD3">
              <w:rPr>
                <w:rFonts w:ascii="Times New Roman" w:hAnsi="Times New Roman" w:cs="Times New Roman"/>
                <w:b/>
                <w:sz w:val="24"/>
                <w:szCs w:val="24"/>
                <w:lang w:eastAsia="sk-SK"/>
              </w:rPr>
              <w:t>3 591 987,86</w:t>
            </w:r>
          </w:p>
        </w:tc>
      </w:tr>
      <w:tr>
        <w:tblPrEx>
          <w:tblW w:w="8173" w:type="dxa"/>
          <w:tblCellMar>
            <w:left w:w="0" w:type="dxa"/>
            <w:right w:w="0" w:type="dxa"/>
          </w:tblCellMar>
        </w:tblPrEx>
        <w:tc>
          <w:tcPr>
            <w:tcW w:w="3973"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40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40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40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r>
    </w:tbl>
    <w:p w:rsidR="004A5FD3" w:rsidRPr="004A5FD3" w:rsidP="004A5FD3">
      <w:pPr>
        <w:bidi w:val="0"/>
        <w:spacing w:after="0" w:line="240" w:lineRule="auto"/>
        <w:rPr>
          <w:rFonts w:ascii="Times New Roman" w:hAnsi="Times New Roman" w:cs="Times New Roman"/>
          <w:sz w:val="24"/>
          <w:szCs w:val="24"/>
          <w:lang w:eastAsia="sk-SK"/>
        </w:rPr>
      </w:pPr>
    </w:p>
    <w:p w:rsidR="004A5FD3" w:rsidRPr="004A5FD3" w:rsidP="004A5FD3">
      <w:pPr>
        <w:bidi w:val="0"/>
        <w:spacing w:after="0" w:line="240" w:lineRule="auto"/>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b/>
          <w:bCs/>
          <w:sz w:val="24"/>
          <w:szCs w:val="24"/>
          <w:lang w:eastAsia="sk-SK"/>
        </w:rPr>
      </w:pPr>
      <w:r w:rsidRPr="004A5FD3">
        <w:rPr>
          <w:rFonts w:ascii="Times New Roman" w:hAnsi="Times New Roman" w:cs="Times New Roman"/>
          <w:b/>
          <w:bCs/>
          <w:sz w:val="24"/>
          <w:szCs w:val="24"/>
          <w:lang w:eastAsia="sk-SK"/>
        </w:rPr>
        <w:t>Návrh na riešenie úbytku príjmov alebo zvýšených výdavkov podľa § 33 ods. 1 zákona č. 523/2004 Z. z. o rozpočtových pravidlách verejnej správy:</w:t>
      </w:r>
    </w:p>
    <w:p w:rsidR="004A5FD3" w:rsidRPr="004A5FD3" w:rsidP="004A5FD3">
      <w:pPr>
        <w:bidi w:val="0"/>
        <w:spacing w:after="0" w:line="240" w:lineRule="auto"/>
        <w:rPr>
          <w:rFonts w:ascii="Times New Roman" w:hAnsi="Times New Roman" w:cs="Times New Roman"/>
          <w:sz w:val="24"/>
          <w:szCs w:val="24"/>
          <w:lang w:eastAsia="sk-SK"/>
        </w:rPr>
      </w:pPr>
    </w:p>
    <w:p w:rsidR="004A5FD3" w:rsidRPr="004A5FD3" w:rsidP="004A5FD3">
      <w:pPr>
        <w:pBdr>
          <w:top w:val="single" w:sz="4" w:space="1" w:color="000000"/>
          <w:left w:val="single" w:sz="4" w:space="4" w:color="000000"/>
          <w:bottom w:val="single" w:sz="4" w:space="1" w:color="000000"/>
          <w:right w:val="single" w:sz="4" w:space="4" w:color="000000"/>
        </w:pBd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Návrh zákona s účinnosťou od 1.7.2013 v nadväznosti na zriadenie registra fyzických osôb a centrálnej ohlasovne si vyžaduje zvýšenie limitu finančných prostriedkov, ktoré nie sú zohľadnené v návrhu rozpočtu verejnej správy na roky 2013 – 2015 a ministerstvo vnútra ich nie je schopné zabezpečiť v rámci oznámených limitov. Na základe uvedeného žiada zvýšiť rozpočtové výdavky kapitoly o tieto rozpočtovo nekryté finančné prostriedky.</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2.3. Popis a charakteristika návrhu</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2.3.1. Popis návrhu:</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Akú problematiku návrhu rieši? Kto bude návrh implementovať? Kde sa budú služby poskytovať?</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Návrh rieši problematiku zrušenia štátnej správy na úrovni kraja. Implementuje Ministerstvo vnútra SR.</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2.3.2. Charakteristika návrhu podľa bodu  2.3.2. Metodiky :</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bdr w:val="single" w:sz="4" w:space="0" w:color="000000" w:frame="1"/>
          <w:lang w:eastAsia="sk-SK"/>
        </w:rPr>
        <w:t xml:space="preserve">     </w:t>
      </w:r>
      <w:r w:rsidRPr="004A5FD3">
        <w:rPr>
          <w:rFonts w:ascii="Times New Roman" w:hAnsi="Times New Roman" w:cs="Times New Roman"/>
          <w:b/>
          <w:bCs/>
          <w:sz w:val="24"/>
          <w:szCs w:val="24"/>
          <w:lang w:eastAsia="sk-SK"/>
        </w:rPr>
        <w:t xml:space="preserve">  </w:t>
      </w:r>
      <w:r w:rsidRPr="004A5FD3">
        <w:rPr>
          <w:rFonts w:ascii="Times New Roman" w:hAnsi="Times New Roman" w:cs="Times New Roman"/>
          <w:sz w:val="24"/>
          <w:szCs w:val="24"/>
          <w:lang w:eastAsia="sk-SK"/>
        </w:rPr>
        <w:t>zmena sadzby</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bdr w:val="single" w:sz="4" w:space="0" w:color="000000" w:frame="1"/>
          <w:lang w:eastAsia="sk-SK"/>
        </w:rPr>
        <w:t xml:space="preserve">     </w:t>
      </w:r>
      <w:r w:rsidRPr="004A5FD3">
        <w:rPr>
          <w:rFonts w:ascii="Times New Roman" w:hAnsi="Times New Roman" w:cs="Times New Roman"/>
          <w:sz w:val="24"/>
          <w:szCs w:val="24"/>
          <w:lang w:eastAsia="sk-SK"/>
        </w:rPr>
        <w:t>  zmena v nároku</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bdr w:val="single" w:sz="4" w:space="0" w:color="000000" w:frame="1"/>
          <w:lang w:eastAsia="sk-SK"/>
        </w:rPr>
        <w:t xml:space="preserve">     </w:t>
      </w:r>
      <w:r w:rsidRPr="004A5FD3">
        <w:rPr>
          <w:rFonts w:ascii="Times New Roman" w:hAnsi="Times New Roman" w:cs="Times New Roman"/>
          <w:sz w:val="24"/>
          <w:szCs w:val="24"/>
          <w:lang w:eastAsia="sk-SK"/>
        </w:rPr>
        <w:t>  nová služba alebo nariadenie (alebo ich zrušenie)</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bdr w:val="single" w:sz="4" w:space="0" w:color="000000" w:frame="1"/>
          <w:lang w:eastAsia="sk-SK"/>
        </w:rPr>
        <w:t xml:space="preserve">     </w:t>
      </w:r>
      <w:r w:rsidRPr="004A5FD3">
        <w:rPr>
          <w:rFonts w:ascii="Times New Roman" w:hAnsi="Times New Roman" w:cs="Times New Roman"/>
          <w:sz w:val="24"/>
          <w:szCs w:val="24"/>
          <w:lang w:eastAsia="sk-SK"/>
        </w:rPr>
        <w:t>  kombinovaný návrh</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bdr w:val="single" w:sz="4" w:space="0" w:color="000000" w:frame="1"/>
          <w:lang w:eastAsia="sk-SK"/>
        </w:rPr>
        <w:t xml:space="preserve">     </w:t>
      </w:r>
      <w:r w:rsidRPr="004A5FD3">
        <w:rPr>
          <w:rFonts w:ascii="Times New Roman" w:hAnsi="Times New Roman" w:cs="Times New Roman"/>
          <w:sz w:val="24"/>
          <w:szCs w:val="24"/>
          <w:lang w:eastAsia="sk-SK"/>
        </w:rPr>
        <w:t xml:space="preserve">  iné </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2.3.3. Predpoklady vývoja objemu aktivít:</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Jasne popíšte, v prípade potreby použite nižšie uvedenú tabuľku. Uveďte aj odhady základov daní a/alebo poplatkov, ak sa ich táto zmena týka.</w:t>
      </w:r>
    </w:p>
    <w:p w:rsidR="004A5FD3" w:rsidRPr="004A5FD3" w:rsidP="004A5FD3">
      <w:pPr>
        <w:bidi w:val="0"/>
        <w:spacing w:after="0" w:line="240" w:lineRule="auto"/>
        <w:jc w:val="right"/>
        <w:rPr>
          <w:rFonts w:ascii="Times New Roman" w:hAnsi="Times New Roman" w:cs="Times New Roman"/>
          <w:sz w:val="20"/>
          <w:szCs w:val="20"/>
          <w:lang w:eastAsia="sk-SK"/>
        </w:rPr>
      </w:pPr>
    </w:p>
    <w:p w:rsidR="004A5FD3" w:rsidRPr="004A5FD3" w:rsidP="004A5FD3">
      <w:pPr>
        <w:bidi w:val="0"/>
        <w:spacing w:after="0" w:line="240" w:lineRule="auto"/>
        <w:jc w:val="right"/>
        <w:rPr>
          <w:rFonts w:ascii="Times New Roman" w:hAnsi="Times New Roman" w:cs="Times New Roman"/>
          <w:sz w:val="20"/>
          <w:szCs w:val="20"/>
          <w:lang w:eastAsia="sk-SK"/>
        </w:rPr>
      </w:pPr>
    </w:p>
    <w:p w:rsidR="004A5FD3" w:rsidRPr="004A5FD3" w:rsidP="004A5FD3">
      <w:pPr>
        <w:bidi w:val="0"/>
        <w:spacing w:after="0" w:line="240" w:lineRule="auto"/>
        <w:jc w:val="right"/>
        <w:rPr>
          <w:rFonts w:ascii="Times New Roman" w:hAnsi="Times New Roman" w:cs="Times New Roman"/>
          <w:sz w:val="24"/>
          <w:szCs w:val="24"/>
          <w:lang w:eastAsia="sk-SK"/>
        </w:rPr>
      </w:pPr>
      <w:r w:rsidRPr="004A5FD3">
        <w:rPr>
          <w:rFonts w:ascii="Times New Roman" w:hAnsi="Times New Roman" w:cs="Times New Roman"/>
          <w:sz w:val="20"/>
          <w:szCs w:val="20"/>
          <w:lang w:eastAsia="sk-SK"/>
        </w:rPr>
        <w:t xml:space="preserve">Tabuľka č. 3 </w:t>
      </w:r>
    </w:p>
    <w:tbl>
      <w:tblPr>
        <w:tblStyle w:val="TableNormal"/>
        <w:tblW w:w="0" w:type="auto"/>
        <w:tblCellMar>
          <w:left w:w="0" w:type="dxa"/>
          <w:right w:w="0" w:type="dxa"/>
        </w:tblCellMar>
      </w:tblPr>
      <w:tblGrid>
        <w:gridCol w:w="4530"/>
        <w:gridCol w:w="1134"/>
        <w:gridCol w:w="1134"/>
        <w:gridCol w:w="1134"/>
      </w:tblGrid>
      <w:tr>
        <w:tblPrEx>
          <w:tblW w:w="0" w:type="auto"/>
          <w:tblCellMar>
            <w:left w:w="0" w:type="dxa"/>
            <w:right w:w="0" w:type="dxa"/>
          </w:tblCellMar>
        </w:tblPrEx>
        <w:trPr>
          <w:gridAfter w:val="3"/>
          <w:wAfter w:w="3402" w:type="dxa"/>
          <w:trHeight w:val="276"/>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A5FD3" w:rsidRPr="004A5FD3" w:rsidP="004A5FD3">
            <w:pPr>
              <w:bidi w:val="0"/>
              <w:spacing w:after="0" w:line="70" w:lineRule="atLeast"/>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Objem aktivít</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A5FD3" w:rsidRPr="004A5FD3" w:rsidP="004A5FD3">
            <w:pPr>
              <w:bidi w:val="0"/>
              <w:spacing w:after="0" w:line="240" w:lineRule="auto"/>
              <w:rPr>
                <w:rFonts w:ascii="Times New Roman" w:hAnsi="Times New Roman" w:cs="Times New Roman"/>
                <w:sz w:val="24"/>
                <w:szCs w:val="24"/>
                <w:lang w:eastAsia="sk-SK"/>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A5FD3" w:rsidRPr="004A5FD3" w:rsidP="004A5FD3">
            <w:pPr>
              <w:bidi w:val="0"/>
              <w:spacing w:after="0" w:line="70" w:lineRule="atLeast"/>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A5FD3" w:rsidRPr="004A5FD3" w:rsidP="004A5FD3">
            <w:pPr>
              <w:bidi w:val="0"/>
              <w:spacing w:after="0" w:line="70" w:lineRule="atLeast"/>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A5FD3" w:rsidRPr="004A5FD3" w:rsidP="004A5FD3">
            <w:pPr>
              <w:bidi w:val="0"/>
              <w:spacing w:after="0" w:line="70" w:lineRule="atLeast"/>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2015</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color w:val="000000"/>
                <w:sz w:val="24"/>
                <w:szCs w:val="24"/>
                <w:lang w:eastAsia="sk-SK"/>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color w:val="000000"/>
                <w:sz w:val="24"/>
                <w:szCs w:val="24"/>
                <w:lang w:eastAsia="sk-SK"/>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color w:val="000000"/>
                <w:sz w:val="24"/>
                <w:szCs w:val="24"/>
                <w:lang w:eastAsia="sk-SK"/>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color w:val="000000"/>
                <w:sz w:val="24"/>
                <w:szCs w:val="24"/>
                <w:lang w:eastAsia="sk-SK"/>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A5FD3" w:rsidRPr="004A5FD3" w:rsidP="004A5FD3">
            <w:pPr>
              <w:bidi w:val="0"/>
              <w:spacing w:after="0" w:line="70" w:lineRule="atLeast"/>
              <w:rPr>
                <w:rFonts w:ascii="Times New Roman" w:hAnsi="Times New Roman" w:cs="Times New Roman"/>
                <w:sz w:val="24"/>
                <w:szCs w:val="24"/>
                <w:lang w:eastAsia="sk-SK"/>
              </w:rPr>
            </w:pPr>
            <w:r w:rsidRPr="004A5FD3">
              <w:rPr>
                <w:rFonts w:ascii="Times New Roman" w:hAnsi="Times New Roman" w:cs="Times New Roman"/>
                <w:color w:val="000000"/>
                <w:sz w:val="24"/>
                <w:szCs w:val="24"/>
                <w:lang w:eastAsia="sk-SK"/>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A5FD3" w:rsidRPr="004A5FD3" w:rsidP="004A5FD3">
            <w:pPr>
              <w:bidi w:val="0"/>
              <w:spacing w:after="0" w:line="70" w:lineRule="atLeast"/>
              <w:jc w:val="right"/>
              <w:rPr>
                <w:rFonts w:ascii="Times New Roman" w:hAnsi="Times New Roman" w:cs="Times New Roman"/>
                <w:sz w:val="24"/>
                <w:szCs w:val="24"/>
                <w:lang w:eastAsia="sk-SK"/>
              </w:rPr>
            </w:pPr>
            <w:r w:rsidRPr="004A5FD3">
              <w:rPr>
                <w:rFonts w:ascii="Times New Roman" w:hAnsi="Times New Roman" w:cs="Times New Roman"/>
                <w:color w:val="000000"/>
                <w:sz w:val="24"/>
                <w:szCs w:val="24"/>
                <w:lang w:eastAsia="sk-SK"/>
              </w:rPr>
              <w:t> </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134"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134"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134"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r>
    </w:tbl>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p w:rsidR="004A5FD3" w:rsidRPr="004A5FD3" w:rsidP="004A5FD3">
      <w:pPr>
        <w:bidi w:val="0"/>
        <w:spacing w:after="0" w:line="240" w:lineRule="auto"/>
        <w:rPr>
          <w:rFonts w:ascii="Times New Roman" w:hAnsi="Times New Roman" w:cs="Times New Roman"/>
          <w:sz w:val="24"/>
          <w:szCs w:val="24"/>
          <w:lang w:eastAsia="sk-SK"/>
        </w:rPr>
      </w:pP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2.3.4. Výpočty vplyvov na verejné financie</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p w:rsidR="004A5FD3" w:rsidRPr="004A5FD3" w:rsidP="004A5FD3">
      <w:pPr>
        <w:bidi w:val="0"/>
        <w:spacing w:after="0" w:line="240" w:lineRule="auto"/>
        <w:rPr>
          <w:rFonts w:ascii="Times New Roman" w:hAnsi="Times New Roman" w:cs="Times New Roman"/>
          <w:b/>
          <w:i/>
          <w:sz w:val="24"/>
          <w:szCs w:val="24"/>
          <w:lang w:eastAsia="sk-SK"/>
        </w:rPr>
      </w:pPr>
      <w:r w:rsidRPr="004A5FD3">
        <w:rPr>
          <w:rFonts w:ascii="Times New Roman" w:hAnsi="Times New Roman" w:cs="Times New Roman"/>
          <w:b/>
          <w:i/>
          <w:sz w:val="24"/>
          <w:szCs w:val="24"/>
          <w:lang w:eastAsia="sk-SK"/>
        </w:rPr>
        <w:t xml:space="preserve">PROGRAM </w:t>
      </w:r>
      <w:smartTag w:uri="urn:schemas-microsoft-com:office:smarttags" w:element="metricconverter">
        <w:smartTagPr>
          <w:attr w:name="ProductID" w:val="08C"/>
        </w:smartTagPr>
        <w:r w:rsidRPr="004A5FD3">
          <w:rPr>
            <w:rFonts w:ascii="Times New Roman" w:hAnsi="Times New Roman" w:cs="Times New Roman"/>
            <w:b/>
            <w:i/>
            <w:sz w:val="24"/>
            <w:szCs w:val="24"/>
            <w:lang w:eastAsia="sk-SK"/>
          </w:rPr>
          <w:t>08C</w:t>
        </w:r>
      </w:smartTag>
      <w:r w:rsidRPr="004A5FD3">
        <w:rPr>
          <w:rFonts w:ascii="Times New Roman" w:hAnsi="Times New Roman" w:cs="Times New Roman"/>
          <w:b/>
          <w:i/>
          <w:sz w:val="24"/>
          <w:szCs w:val="24"/>
          <w:lang w:eastAsia="sk-SK"/>
        </w:rPr>
        <w:t xml:space="preserve"> – VEREJNÁ SPRÁVA</w:t>
      </w:r>
    </w:p>
    <w:p w:rsidR="004A5FD3" w:rsidRPr="004A5FD3" w:rsidP="004A5FD3">
      <w:pPr>
        <w:bidi w:val="0"/>
        <w:spacing w:after="0" w:line="240" w:lineRule="auto"/>
        <w:rPr>
          <w:rFonts w:ascii="Times New Roman" w:hAnsi="Times New Roman" w:cs="Times New Roman"/>
          <w:b/>
          <w:i/>
          <w:sz w:val="24"/>
          <w:szCs w:val="24"/>
          <w:lang w:eastAsia="sk-SK"/>
        </w:rPr>
      </w:pPr>
      <w:r w:rsidRPr="004A5FD3">
        <w:rPr>
          <w:rFonts w:ascii="Times New Roman" w:hAnsi="Times New Roman" w:cs="Times New Roman"/>
          <w:b/>
          <w:i/>
          <w:sz w:val="24"/>
          <w:szCs w:val="24"/>
          <w:lang w:eastAsia="sk-SK"/>
        </w:rPr>
        <w:t>PODPROGRAM 08C02 – RIADIACA A KONTROLNÁ ČINNOSŤ VEREJNEJ SPRÁVY</w:t>
      </w:r>
    </w:p>
    <w:p w:rsidR="004A5FD3" w:rsidRPr="004A5FD3" w:rsidP="004A5FD3">
      <w:pPr>
        <w:bidi w:val="0"/>
        <w:spacing w:after="0" w:line="240" w:lineRule="auto"/>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tab/>
        <w:t xml:space="preserve">Zriadenie registra fyzických osôb a centrálnej ohlasovne podľa navrhovanej právnej úpravy vyžaduje nárast výdavkov v roku 2013 vo výške 237 487,86 €, v rokoch </w:t>
      </w:r>
      <w:smartTag w:uri="urn:schemas-microsoft-com:office:smarttags" w:element="metricconverter">
        <w:smartTagPr>
          <w:attr w:name="ProductID" w:val="2014 a"/>
        </w:smartTagPr>
        <w:r w:rsidRPr="004A5FD3">
          <w:rPr>
            <w:rFonts w:ascii="Times New Roman" w:hAnsi="Times New Roman" w:cs="Times New Roman"/>
            <w:sz w:val="24"/>
            <w:szCs w:val="24"/>
            <w:lang w:eastAsia="sk-SK"/>
          </w:rPr>
          <w:t>2014 a</w:t>
        </w:r>
      </w:smartTag>
      <w:r w:rsidRPr="004A5FD3">
        <w:rPr>
          <w:rFonts w:ascii="Times New Roman" w:hAnsi="Times New Roman" w:cs="Times New Roman"/>
          <w:sz w:val="24"/>
          <w:szCs w:val="24"/>
          <w:lang w:eastAsia="sk-SK"/>
        </w:rPr>
        <w:t xml:space="preserve"> 2015 vo výške 204 987,86 €.</w:t>
      </w:r>
    </w:p>
    <w:p w:rsidR="004A5FD3" w:rsidRPr="004A5FD3" w:rsidP="004A5FD3">
      <w:pPr>
        <w:bidi w:val="0"/>
        <w:spacing w:after="0" w:line="240" w:lineRule="auto"/>
        <w:jc w:val="both"/>
        <w:rPr>
          <w:rFonts w:ascii="Times New Roman" w:hAnsi="Times New Roman" w:cs="Times New Roman"/>
          <w:sz w:val="24"/>
          <w:szCs w:val="24"/>
          <w:lang w:eastAsia="sk-SK"/>
        </w:rPr>
      </w:pPr>
    </w:p>
    <w:tbl>
      <w:tblPr>
        <w:tblStyle w:val="TableNormal"/>
        <w:tblW w:w="5871" w:type="dxa"/>
        <w:tblInd w:w="55" w:type="dxa"/>
        <w:tblCellMar>
          <w:left w:w="70" w:type="dxa"/>
          <w:right w:w="70" w:type="dxa"/>
        </w:tblCellMar>
      </w:tblPr>
      <w:tblGrid>
        <w:gridCol w:w="1959"/>
        <w:gridCol w:w="1296"/>
        <w:gridCol w:w="1361"/>
        <w:gridCol w:w="1255"/>
      </w:tblGrid>
      <w:tr>
        <w:tblPrEx>
          <w:tblW w:w="5871" w:type="dxa"/>
          <w:tblInd w:w="55" w:type="dxa"/>
          <w:tblCellMar>
            <w:left w:w="70" w:type="dxa"/>
            <w:right w:w="70" w:type="dxa"/>
          </w:tblCellMar>
        </w:tblPrEx>
        <w:trPr>
          <w:trHeight w:val="300"/>
        </w:trPr>
        <w:tc>
          <w:tcPr>
            <w:tcW w:w="4616" w:type="dxa"/>
            <w:gridSpan w:val="3"/>
            <w:tcBorders>
              <w:top w:val="nil"/>
              <w:left w:val="nil"/>
              <w:bottom w:val="nil"/>
              <w:right w:val="nil"/>
            </w:tcBorders>
            <w:noWrap/>
            <w:textDirection w:val="lrTb"/>
            <w:vAlign w:val="bottom"/>
          </w:tcPr>
          <w:p w:rsidR="004A5FD3" w:rsidRPr="004A5FD3" w:rsidP="004A5FD3">
            <w:pPr>
              <w:bidi w:val="0"/>
              <w:spacing w:after="0" w:line="240" w:lineRule="auto"/>
              <w:rPr>
                <w:rFonts w:ascii="Arial" w:hAnsi="Arial" w:cs="Arial"/>
                <w:b/>
                <w:bCs/>
                <w:sz w:val="24"/>
                <w:szCs w:val="24"/>
                <w:u w:val="single"/>
                <w:lang w:eastAsia="sk-SK"/>
              </w:rPr>
            </w:pPr>
            <w:r w:rsidRPr="004A5FD3">
              <w:rPr>
                <w:rFonts w:ascii="Arial" w:hAnsi="Arial" w:cs="Arial"/>
                <w:b/>
                <w:bCs/>
                <w:u w:val="single"/>
                <w:lang w:eastAsia="sk-SK"/>
              </w:rPr>
              <w:t>Predpokladané výdavky na rok 2013</w:t>
            </w:r>
          </w:p>
        </w:tc>
        <w:tc>
          <w:tcPr>
            <w:tcW w:w="1255" w:type="dxa"/>
            <w:tcBorders>
              <w:top w:val="nil"/>
              <w:left w:val="nil"/>
              <w:bottom w:val="nil"/>
              <w:right w:val="nil"/>
            </w:tcBorders>
            <w:noWrap/>
            <w:textDirection w:val="lrTb"/>
            <w:vAlign w:val="bottom"/>
          </w:tcPr>
          <w:p w:rsidR="004A5FD3" w:rsidRPr="004A5FD3" w:rsidP="004A5FD3">
            <w:pPr>
              <w:bidi w:val="0"/>
              <w:spacing w:after="0" w:line="240" w:lineRule="auto"/>
              <w:rPr>
                <w:rFonts w:ascii="Arial" w:hAnsi="Arial" w:cs="Arial"/>
                <w:sz w:val="20"/>
                <w:szCs w:val="20"/>
                <w:lang w:eastAsia="sk-SK"/>
              </w:rPr>
            </w:pPr>
          </w:p>
        </w:tc>
      </w:tr>
      <w:tr>
        <w:tblPrEx>
          <w:tblW w:w="5871" w:type="dxa"/>
          <w:tblInd w:w="55" w:type="dxa"/>
          <w:tblCellMar>
            <w:left w:w="70" w:type="dxa"/>
            <w:right w:w="70" w:type="dxa"/>
          </w:tblCellMar>
        </w:tblPrEx>
        <w:trPr>
          <w:trHeight w:val="270"/>
        </w:trPr>
        <w:tc>
          <w:tcPr>
            <w:tcW w:w="1959" w:type="dxa"/>
            <w:tcBorders>
              <w:top w:val="nil"/>
              <w:left w:val="nil"/>
              <w:bottom w:val="nil"/>
              <w:right w:val="nil"/>
            </w:tcBorders>
            <w:noWrap/>
            <w:textDirection w:val="lrTb"/>
            <w:vAlign w:val="bottom"/>
          </w:tcPr>
          <w:p w:rsidR="004A5FD3" w:rsidRPr="004A5FD3" w:rsidP="004A5FD3">
            <w:pPr>
              <w:bidi w:val="0"/>
              <w:spacing w:after="0" w:line="240" w:lineRule="auto"/>
              <w:rPr>
                <w:rFonts w:ascii="Arial" w:hAnsi="Arial" w:cs="Arial"/>
                <w:sz w:val="20"/>
                <w:szCs w:val="20"/>
                <w:lang w:eastAsia="sk-SK"/>
              </w:rPr>
            </w:pPr>
          </w:p>
        </w:tc>
        <w:tc>
          <w:tcPr>
            <w:tcW w:w="1296" w:type="dxa"/>
            <w:tcBorders>
              <w:top w:val="nil"/>
              <w:left w:val="nil"/>
              <w:bottom w:val="nil"/>
              <w:right w:val="nil"/>
            </w:tcBorders>
            <w:noWrap/>
            <w:textDirection w:val="lrTb"/>
            <w:vAlign w:val="bottom"/>
          </w:tcPr>
          <w:p w:rsidR="004A5FD3" w:rsidRPr="004A5FD3" w:rsidP="004A5FD3">
            <w:pPr>
              <w:bidi w:val="0"/>
              <w:spacing w:after="0" w:line="240" w:lineRule="auto"/>
              <w:rPr>
                <w:rFonts w:ascii="Arial" w:hAnsi="Arial" w:cs="Arial"/>
                <w:sz w:val="20"/>
                <w:szCs w:val="20"/>
                <w:lang w:eastAsia="sk-SK"/>
              </w:rPr>
            </w:pPr>
          </w:p>
        </w:tc>
        <w:tc>
          <w:tcPr>
            <w:tcW w:w="1361" w:type="dxa"/>
            <w:tcBorders>
              <w:top w:val="nil"/>
              <w:left w:val="nil"/>
              <w:bottom w:val="nil"/>
              <w:right w:val="nil"/>
            </w:tcBorders>
            <w:noWrap/>
            <w:textDirection w:val="lrTb"/>
            <w:vAlign w:val="bottom"/>
          </w:tcPr>
          <w:p w:rsidR="004A5FD3" w:rsidRPr="004A5FD3" w:rsidP="004A5FD3">
            <w:pPr>
              <w:bidi w:val="0"/>
              <w:spacing w:after="0" w:line="240" w:lineRule="auto"/>
              <w:rPr>
                <w:rFonts w:ascii="Arial" w:hAnsi="Arial" w:cs="Arial"/>
                <w:sz w:val="20"/>
                <w:szCs w:val="20"/>
                <w:lang w:eastAsia="sk-SK"/>
              </w:rPr>
            </w:pPr>
          </w:p>
        </w:tc>
        <w:tc>
          <w:tcPr>
            <w:tcW w:w="1255" w:type="dxa"/>
            <w:tcBorders>
              <w:top w:val="nil"/>
              <w:left w:val="nil"/>
              <w:bottom w:val="nil"/>
              <w:right w:val="nil"/>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v €</w:t>
            </w:r>
          </w:p>
        </w:tc>
      </w:tr>
      <w:tr>
        <w:tblPrEx>
          <w:tblW w:w="5871" w:type="dxa"/>
          <w:tblInd w:w="55" w:type="dxa"/>
          <w:tblCellMar>
            <w:left w:w="70" w:type="dxa"/>
            <w:right w:w="70" w:type="dxa"/>
          </w:tblCellMar>
        </w:tblPrEx>
        <w:trPr>
          <w:trHeight w:val="525"/>
        </w:trPr>
        <w:tc>
          <w:tcPr>
            <w:tcW w:w="1959" w:type="dxa"/>
            <w:tcBorders>
              <w:top w:val="single" w:sz="8" w:space="0" w:color="auto"/>
              <w:left w:val="single" w:sz="8" w:space="0" w:color="auto"/>
              <w:bottom w:val="single" w:sz="8" w:space="0" w:color="auto"/>
              <w:right w:val="single" w:sz="8" w:space="0" w:color="auto"/>
            </w:tcBorders>
            <w:noWrap/>
            <w:textDirection w:val="lrTb"/>
            <w:vAlign w:val="bottom"/>
          </w:tcPr>
          <w:p w:rsidR="004A5FD3" w:rsidRPr="004A5FD3" w:rsidP="004A5FD3">
            <w:pPr>
              <w:bidi w:val="0"/>
              <w:spacing w:after="0" w:line="240" w:lineRule="auto"/>
              <w:jc w:val="center"/>
              <w:rPr>
                <w:rFonts w:ascii="Arial" w:hAnsi="Arial" w:cs="Arial"/>
                <w:b/>
                <w:bCs/>
                <w:sz w:val="20"/>
                <w:szCs w:val="20"/>
                <w:lang w:eastAsia="sk-SK"/>
              </w:rPr>
            </w:pPr>
            <w:r w:rsidRPr="004A5FD3">
              <w:rPr>
                <w:rFonts w:ascii="Arial" w:hAnsi="Arial" w:cs="Arial"/>
                <w:b/>
                <w:bCs/>
                <w:sz w:val="20"/>
                <w:szCs w:val="20"/>
                <w:lang w:eastAsia="sk-SK"/>
              </w:rPr>
              <w:t>kategória</w:t>
            </w:r>
          </w:p>
        </w:tc>
        <w:tc>
          <w:tcPr>
            <w:tcW w:w="1296" w:type="dxa"/>
            <w:tcBorders>
              <w:top w:val="single" w:sz="8" w:space="0" w:color="auto"/>
              <w:left w:val="nil"/>
              <w:bottom w:val="single" w:sz="8" w:space="0" w:color="auto"/>
              <w:right w:val="single" w:sz="4" w:space="0" w:color="auto"/>
            </w:tcBorders>
            <w:textDirection w:val="lrTb"/>
            <w:vAlign w:val="bottom"/>
          </w:tcPr>
          <w:p w:rsidR="004A5FD3" w:rsidRPr="004A5FD3" w:rsidP="004A5FD3">
            <w:pPr>
              <w:bidi w:val="0"/>
              <w:spacing w:after="0" w:line="240" w:lineRule="auto"/>
              <w:ind w:right="14"/>
              <w:jc w:val="center"/>
              <w:rPr>
                <w:rFonts w:ascii="Arial" w:hAnsi="Arial" w:cs="Arial"/>
                <w:b/>
                <w:bCs/>
                <w:sz w:val="20"/>
                <w:szCs w:val="20"/>
                <w:lang w:eastAsia="sk-SK"/>
              </w:rPr>
            </w:pPr>
            <w:r w:rsidRPr="004A5FD3">
              <w:rPr>
                <w:rFonts w:ascii="Arial" w:hAnsi="Arial" w:cs="Arial"/>
                <w:b/>
                <w:bCs/>
                <w:sz w:val="20"/>
                <w:szCs w:val="20"/>
                <w:lang w:eastAsia="sk-SK"/>
              </w:rPr>
              <w:t>opakujúce sa výdavky</w:t>
            </w:r>
          </w:p>
        </w:tc>
        <w:tc>
          <w:tcPr>
            <w:tcW w:w="1361" w:type="dxa"/>
            <w:tcBorders>
              <w:top w:val="single" w:sz="8" w:space="0" w:color="auto"/>
              <w:left w:val="nil"/>
              <w:bottom w:val="single" w:sz="8" w:space="0" w:color="auto"/>
              <w:right w:val="single" w:sz="4" w:space="0" w:color="auto"/>
            </w:tcBorders>
            <w:textDirection w:val="lrTb"/>
            <w:vAlign w:val="bottom"/>
          </w:tcPr>
          <w:p w:rsidR="004A5FD3" w:rsidRPr="004A5FD3" w:rsidP="004A5FD3">
            <w:pPr>
              <w:bidi w:val="0"/>
              <w:spacing w:after="0" w:line="240" w:lineRule="auto"/>
              <w:jc w:val="center"/>
              <w:rPr>
                <w:rFonts w:ascii="Arial" w:hAnsi="Arial" w:cs="Arial"/>
                <w:b/>
                <w:bCs/>
                <w:sz w:val="20"/>
                <w:szCs w:val="20"/>
                <w:lang w:eastAsia="sk-SK"/>
              </w:rPr>
            </w:pPr>
            <w:r w:rsidRPr="004A5FD3">
              <w:rPr>
                <w:rFonts w:ascii="Arial" w:hAnsi="Arial" w:cs="Arial"/>
                <w:b/>
                <w:bCs/>
                <w:sz w:val="20"/>
                <w:szCs w:val="20"/>
                <w:lang w:eastAsia="sk-SK"/>
              </w:rPr>
              <w:t>jednorazové výdavky</w:t>
            </w:r>
          </w:p>
        </w:tc>
        <w:tc>
          <w:tcPr>
            <w:tcW w:w="1255" w:type="dxa"/>
            <w:tcBorders>
              <w:top w:val="single" w:sz="8" w:space="0" w:color="auto"/>
              <w:left w:val="nil"/>
              <w:bottom w:val="single" w:sz="8" w:space="0" w:color="auto"/>
              <w:right w:val="single" w:sz="8" w:space="0" w:color="auto"/>
            </w:tcBorders>
            <w:textDirection w:val="lrTb"/>
            <w:vAlign w:val="bottom"/>
          </w:tcPr>
          <w:p w:rsidR="004A5FD3" w:rsidRPr="004A5FD3" w:rsidP="004A5FD3">
            <w:pPr>
              <w:bidi w:val="0"/>
              <w:spacing w:after="0" w:line="240" w:lineRule="auto"/>
              <w:jc w:val="center"/>
              <w:rPr>
                <w:rFonts w:ascii="Arial" w:hAnsi="Arial" w:cs="Arial"/>
                <w:b/>
                <w:bCs/>
                <w:sz w:val="20"/>
                <w:szCs w:val="20"/>
                <w:lang w:eastAsia="sk-SK"/>
              </w:rPr>
            </w:pPr>
            <w:r w:rsidRPr="004A5FD3">
              <w:rPr>
                <w:rFonts w:ascii="Arial" w:hAnsi="Arial" w:cs="Arial"/>
                <w:b/>
                <w:bCs/>
                <w:sz w:val="20"/>
                <w:szCs w:val="20"/>
                <w:lang w:eastAsia="sk-SK"/>
              </w:rPr>
              <w:t>Výdavky spolu</w:t>
            </w:r>
          </w:p>
        </w:tc>
      </w:tr>
      <w:tr>
        <w:tblPrEx>
          <w:tblW w:w="5871" w:type="dxa"/>
          <w:tblInd w:w="55" w:type="dxa"/>
          <w:tblCellMar>
            <w:left w:w="70" w:type="dxa"/>
            <w:right w:w="70" w:type="dxa"/>
          </w:tblCellMar>
        </w:tblPrEx>
        <w:trPr>
          <w:trHeight w:val="255"/>
        </w:trPr>
        <w:tc>
          <w:tcPr>
            <w:tcW w:w="1959" w:type="dxa"/>
            <w:tcBorders>
              <w:top w:val="nil"/>
              <w:left w:val="single" w:sz="8" w:space="0" w:color="auto"/>
              <w:bottom w:val="single" w:sz="4" w:space="0" w:color="auto"/>
              <w:right w:val="single" w:sz="8" w:space="0" w:color="auto"/>
            </w:tcBorders>
            <w:noWrap/>
            <w:textDirection w:val="lrTb"/>
            <w:vAlign w:val="center"/>
          </w:tcPr>
          <w:p w:rsidR="004A5FD3" w:rsidRPr="004A5FD3" w:rsidP="004A5FD3">
            <w:pPr>
              <w:bidi w:val="0"/>
              <w:spacing w:after="0" w:line="240" w:lineRule="auto"/>
              <w:rPr>
                <w:rFonts w:ascii="Arial" w:hAnsi="Arial" w:cs="Arial"/>
                <w:sz w:val="20"/>
                <w:szCs w:val="20"/>
                <w:lang w:eastAsia="sk-SK"/>
              </w:rPr>
            </w:pPr>
            <w:r w:rsidRPr="004A5FD3">
              <w:rPr>
                <w:rFonts w:ascii="Arial" w:hAnsi="Arial" w:cs="Arial"/>
                <w:sz w:val="20"/>
                <w:szCs w:val="20"/>
                <w:lang w:eastAsia="sk-SK"/>
              </w:rPr>
              <w:t>610</w:t>
            </w:r>
          </w:p>
        </w:tc>
        <w:tc>
          <w:tcPr>
            <w:tcW w:w="1296" w:type="dxa"/>
            <w:tcBorders>
              <w:top w:val="nil"/>
              <w:left w:val="nil"/>
              <w:bottom w:val="single" w:sz="4" w:space="0" w:color="auto"/>
              <w:right w:val="single" w:sz="4"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145 971,00</w:t>
            </w:r>
          </w:p>
        </w:tc>
        <w:tc>
          <w:tcPr>
            <w:tcW w:w="1361" w:type="dxa"/>
            <w:tcBorders>
              <w:top w:val="nil"/>
              <w:left w:val="nil"/>
              <w:bottom w:val="single" w:sz="4" w:space="0" w:color="auto"/>
              <w:right w:val="single" w:sz="4"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0,00</w:t>
            </w:r>
          </w:p>
        </w:tc>
        <w:tc>
          <w:tcPr>
            <w:tcW w:w="1255" w:type="dxa"/>
            <w:tcBorders>
              <w:top w:val="nil"/>
              <w:left w:val="nil"/>
              <w:bottom w:val="single" w:sz="4" w:space="0" w:color="auto"/>
              <w:right w:val="single" w:sz="8"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145 971,00</w:t>
            </w:r>
          </w:p>
        </w:tc>
      </w:tr>
      <w:tr>
        <w:tblPrEx>
          <w:tblW w:w="5871" w:type="dxa"/>
          <w:tblInd w:w="55" w:type="dxa"/>
          <w:tblCellMar>
            <w:left w:w="70" w:type="dxa"/>
            <w:right w:w="70" w:type="dxa"/>
          </w:tblCellMar>
        </w:tblPrEx>
        <w:trPr>
          <w:trHeight w:val="255"/>
        </w:trPr>
        <w:tc>
          <w:tcPr>
            <w:tcW w:w="1959" w:type="dxa"/>
            <w:tcBorders>
              <w:top w:val="nil"/>
              <w:left w:val="single" w:sz="8" w:space="0" w:color="auto"/>
              <w:bottom w:val="single" w:sz="4" w:space="0" w:color="auto"/>
              <w:right w:val="single" w:sz="8" w:space="0" w:color="auto"/>
            </w:tcBorders>
            <w:noWrap/>
            <w:textDirection w:val="lrTb"/>
            <w:vAlign w:val="center"/>
          </w:tcPr>
          <w:p w:rsidR="004A5FD3" w:rsidRPr="004A5FD3" w:rsidP="004A5FD3">
            <w:pPr>
              <w:bidi w:val="0"/>
              <w:spacing w:after="0" w:line="240" w:lineRule="auto"/>
              <w:rPr>
                <w:rFonts w:ascii="Arial" w:hAnsi="Arial" w:cs="Arial"/>
                <w:sz w:val="20"/>
                <w:szCs w:val="20"/>
                <w:lang w:eastAsia="sk-SK"/>
              </w:rPr>
            </w:pPr>
            <w:r w:rsidRPr="004A5FD3">
              <w:rPr>
                <w:rFonts w:ascii="Arial" w:hAnsi="Arial" w:cs="Arial"/>
                <w:sz w:val="20"/>
                <w:szCs w:val="20"/>
                <w:lang w:eastAsia="sk-SK"/>
              </w:rPr>
              <w:t>620</w:t>
            </w:r>
          </w:p>
        </w:tc>
        <w:tc>
          <w:tcPr>
            <w:tcW w:w="1296" w:type="dxa"/>
            <w:tcBorders>
              <w:top w:val="nil"/>
              <w:left w:val="nil"/>
              <w:bottom w:val="single" w:sz="4" w:space="0" w:color="auto"/>
              <w:right w:val="single" w:sz="4"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51 016,86</w:t>
            </w:r>
          </w:p>
        </w:tc>
        <w:tc>
          <w:tcPr>
            <w:tcW w:w="1361" w:type="dxa"/>
            <w:tcBorders>
              <w:top w:val="nil"/>
              <w:left w:val="nil"/>
              <w:bottom w:val="single" w:sz="4" w:space="0" w:color="auto"/>
              <w:right w:val="single" w:sz="4"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0,00</w:t>
            </w:r>
          </w:p>
        </w:tc>
        <w:tc>
          <w:tcPr>
            <w:tcW w:w="1255" w:type="dxa"/>
            <w:tcBorders>
              <w:top w:val="nil"/>
              <w:left w:val="nil"/>
              <w:bottom w:val="single" w:sz="4" w:space="0" w:color="auto"/>
              <w:right w:val="single" w:sz="8"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51 016,86</w:t>
            </w:r>
          </w:p>
        </w:tc>
      </w:tr>
      <w:tr>
        <w:tblPrEx>
          <w:tblW w:w="5871" w:type="dxa"/>
          <w:tblInd w:w="55" w:type="dxa"/>
          <w:tblCellMar>
            <w:left w:w="70" w:type="dxa"/>
            <w:right w:w="70" w:type="dxa"/>
          </w:tblCellMar>
        </w:tblPrEx>
        <w:trPr>
          <w:trHeight w:val="255"/>
        </w:trPr>
        <w:tc>
          <w:tcPr>
            <w:tcW w:w="1959" w:type="dxa"/>
            <w:tcBorders>
              <w:top w:val="nil"/>
              <w:left w:val="single" w:sz="8" w:space="0" w:color="auto"/>
              <w:bottom w:val="single" w:sz="4" w:space="0" w:color="auto"/>
              <w:right w:val="single" w:sz="8" w:space="0" w:color="auto"/>
            </w:tcBorders>
            <w:noWrap/>
            <w:textDirection w:val="lrTb"/>
            <w:vAlign w:val="bottom"/>
          </w:tcPr>
          <w:p w:rsidR="004A5FD3" w:rsidRPr="004A5FD3" w:rsidP="004A5FD3">
            <w:pPr>
              <w:bidi w:val="0"/>
              <w:spacing w:after="0" w:line="240" w:lineRule="auto"/>
              <w:rPr>
                <w:rFonts w:ascii="Arial" w:hAnsi="Arial" w:cs="Arial"/>
                <w:sz w:val="20"/>
                <w:szCs w:val="20"/>
                <w:lang w:eastAsia="sk-SK"/>
              </w:rPr>
            </w:pPr>
            <w:r w:rsidRPr="004A5FD3">
              <w:rPr>
                <w:rFonts w:ascii="Arial" w:hAnsi="Arial" w:cs="Arial"/>
                <w:sz w:val="20"/>
                <w:szCs w:val="20"/>
                <w:lang w:eastAsia="sk-SK"/>
              </w:rPr>
              <w:t>630</w:t>
            </w:r>
          </w:p>
        </w:tc>
        <w:tc>
          <w:tcPr>
            <w:tcW w:w="1296" w:type="dxa"/>
            <w:tcBorders>
              <w:top w:val="nil"/>
              <w:left w:val="nil"/>
              <w:bottom w:val="single" w:sz="4" w:space="0" w:color="auto"/>
              <w:right w:val="single" w:sz="4"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0,00</w:t>
            </w:r>
          </w:p>
        </w:tc>
        <w:tc>
          <w:tcPr>
            <w:tcW w:w="1361" w:type="dxa"/>
            <w:tcBorders>
              <w:top w:val="nil"/>
              <w:left w:val="nil"/>
              <w:bottom w:val="single" w:sz="4" w:space="0" w:color="auto"/>
              <w:right w:val="single" w:sz="4"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25 000,00</w:t>
            </w:r>
          </w:p>
        </w:tc>
        <w:tc>
          <w:tcPr>
            <w:tcW w:w="1255" w:type="dxa"/>
            <w:tcBorders>
              <w:top w:val="nil"/>
              <w:left w:val="nil"/>
              <w:bottom w:val="single" w:sz="4" w:space="0" w:color="auto"/>
              <w:right w:val="single" w:sz="8"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25 000,00</w:t>
            </w:r>
          </w:p>
        </w:tc>
      </w:tr>
      <w:tr>
        <w:tblPrEx>
          <w:tblW w:w="5871" w:type="dxa"/>
          <w:tblInd w:w="55" w:type="dxa"/>
          <w:tblCellMar>
            <w:left w:w="70" w:type="dxa"/>
            <w:right w:w="70" w:type="dxa"/>
          </w:tblCellMar>
        </w:tblPrEx>
        <w:trPr>
          <w:trHeight w:val="270"/>
        </w:trPr>
        <w:tc>
          <w:tcPr>
            <w:tcW w:w="1959" w:type="dxa"/>
            <w:tcBorders>
              <w:top w:val="nil"/>
              <w:left w:val="single" w:sz="8" w:space="0" w:color="auto"/>
              <w:bottom w:val="nil"/>
              <w:right w:val="single" w:sz="8" w:space="0" w:color="auto"/>
            </w:tcBorders>
            <w:noWrap/>
            <w:textDirection w:val="lrTb"/>
            <w:vAlign w:val="bottom"/>
          </w:tcPr>
          <w:p w:rsidR="004A5FD3" w:rsidRPr="004A5FD3" w:rsidP="004A5FD3">
            <w:pPr>
              <w:bidi w:val="0"/>
              <w:spacing w:after="0" w:line="240" w:lineRule="auto"/>
              <w:rPr>
                <w:rFonts w:ascii="Arial" w:hAnsi="Arial" w:cs="Arial"/>
                <w:sz w:val="20"/>
                <w:szCs w:val="20"/>
                <w:lang w:eastAsia="sk-SK"/>
              </w:rPr>
            </w:pPr>
            <w:r w:rsidRPr="004A5FD3">
              <w:rPr>
                <w:rFonts w:ascii="Arial" w:hAnsi="Arial" w:cs="Arial"/>
                <w:sz w:val="20"/>
                <w:szCs w:val="20"/>
                <w:lang w:eastAsia="sk-SK"/>
              </w:rPr>
              <w:t>700</w:t>
            </w:r>
          </w:p>
        </w:tc>
        <w:tc>
          <w:tcPr>
            <w:tcW w:w="1296" w:type="dxa"/>
            <w:tcBorders>
              <w:top w:val="nil"/>
              <w:left w:val="nil"/>
              <w:bottom w:val="nil"/>
              <w:right w:val="single" w:sz="4"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0,00</w:t>
            </w:r>
          </w:p>
        </w:tc>
        <w:tc>
          <w:tcPr>
            <w:tcW w:w="1361" w:type="dxa"/>
            <w:tcBorders>
              <w:top w:val="nil"/>
              <w:left w:val="nil"/>
              <w:bottom w:val="nil"/>
              <w:right w:val="single" w:sz="4"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15 500,00</w:t>
            </w:r>
          </w:p>
        </w:tc>
        <w:tc>
          <w:tcPr>
            <w:tcW w:w="1255" w:type="dxa"/>
            <w:tcBorders>
              <w:top w:val="nil"/>
              <w:left w:val="nil"/>
              <w:bottom w:val="nil"/>
              <w:right w:val="single" w:sz="8"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15 500,00</w:t>
            </w:r>
          </w:p>
        </w:tc>
      </w:tr>
      <w:tr>
        <w:tblPrEx>
          <w:tblW w:w="5871" w:type="dxa"/>
          <w:tblInd w:w="55" w:type="dxa"/>
          <w:tblCellMar>
            <w:left w:w="70" w:type="dxa"/>
            <w:right w:w="70" w:type="dxa"/>
          </w:tblCellMar>
        </w:tblPrEx>
        <w:trPr>
          <w:trHeight w:val="255"/>
        </w:trPr>
        <w:tc>
          <w:tcPr>
            <w:tcW w:w="1959" w:type="dxa"/>
            <w:tcBorders>
              <w:top w:val="single" w:sz="8" w:space="0" w:color="auto"/>
              <w:left w:val="single" w:sz="8" w:space="0" w:color="auto"/>
              <w:bottom w:val="single" w:sz="8" w:space="0" w:color="auto"/>
              <w:right w:val="single" w:sz="8" w:space="0" w:color="auto"/>
            </w:tcBorders>
            <w:noWrap/>
            <w:textDirection w:val="lrTb"/>
            <w:vAlign w:val="bottom"/>
          </w:tcPr>
          <w:p w:rsidR="004A5FD3" w:rsidRPr="004A5FD3" w:rsidP="004A5FD3">
            <w:pPr>
              <w:bidi w:val="0"/>
              <w:spacing w:after="0" w:line="240" w:lineRule="auto"/>
              <w:rPr>
                <w:rFonts w:ascii="Arial" w:hAnsi="Arial" w:cs="Arial"/>
                <w:b/>
                <w:bCs/>
                <w:sz w:val="20"/>
                <w:szCs w:val="20"/>
                <w:lang w:eastAsia="sk-SK"/>
              </w:rPr>
            </w:pPr>
            <w:r w:rsidRPr="004A5FD3">
              <w:rPr>
                <w:rFonts w:ascii="Arial" w:hAnsi="Arial" w:cs="Arial"/>
                <w:b/>
                <w:bCs/>
                <w:sz w:val="20"/>
                <w:szCs w:val="20"/>
                <w:lang w:eastAsia="sk-SK"/>
              </w:rPr>
              <w:t>VÝDAVKY SPOLU</w:t>
            </w:r>
          </w:p>
        </w:tc>
        <w:tc>
          <w:tcPr>
            <w:tcW w:w="1296" w:type="dxa"/>
            <w:tcBorders>
              <w:top w:val="single" w:sz="8" w:space="0" w:color="auto"/>
              <w:left w:val="nil"/>
              <w:bottom w:val="single" w:sz="8" w:space="0" w:color="auto"/>
              <w:right w:val="single" w:sz="4" w:space="0" w:color="auto"/>
            </w:tcBorders>
            <w:noWrap/>
            <w:textDirection w:val="lrTb"/>
            <w:vAlign w:val="bottom"/>
          </w:tcPr>
          <w:p w:rsidR="004A5FD3" w:rsidRPr="004A5FD3" w:rsidP="004A5FD3">
            <w:pPr>
              <w:bidi w:val="0"/>
              <w:spacing w:after="0" w:line="240" w:lineRule="auto"/>
              <w:jc w:val="right"/>
              <w:rPr>
                <w:rFonts w:ascii="Arial" w:hAnsi="Arial" w:cs="Arial"/>
                <w:b/>
                <w:bCs/>
                <w:sz w:val="20"/>
                <w:szCs w:val="20"/>
                <w:lang w:eastAsia="sk-SK"/>
              </w:rPr>
            </w:pPr>
            <w:r w:rsidRPr="004A5FD3">
              <w:rPr>
                <w:rFonts w:ascii="Arial" w:hAnsi="Arial" w:cs="Arial"/>
                <w:b/>
                <w:bCs/>
                <w:sz w:val="20"/>
                <w:szCs w:val="20"/>
                <w:lang w:eastAsia="sk-SK"/>
              </w:rPr>
              <w:t>196 987,86</w:t>
            </w:r>
          </w:p>
        </w:tc>
        <w:tc>
          <w:tcPr>
            <w:tcW w:w="1361" w:type="dxa"/>
            <w:tcBorders>
              <w:top w:val="single" w:sz="8" w:space="0" w:color="auto"/>
              <w:left w:val="nil"/>
              <w:bottom w:val="single" w:sz="8" w:space="0" w:color="auto"/>
              <w:right w:val="single" w:sz="4" w:space="0" w:color="auto"/>
            </w:tcBorders>
            <w:noWrap/>
            <w:textDirection w:val="lrTb"/>
            <w:vAlign w:val="bottom"/>
          </w:tcPr>
          <w:p w:rsidR="004A5FD3" w:rsidRPr="004A5FD3" w:rsidP="004A5FD3">
            <w:pPr>
              <w:bidi w:val="0"/>
              <w:spacing w:after="0" w:line="240" w:lineRule="auto"/>
              <w:jc w:val="right"/>
              <w:rPr>
                <w:rFonts w:ascii="Arial" w:hAnsi="Arial" w:cs="Arial"/>
                <w:b/>
                <w:bCs/>
                <w:sz w:val="20"/>
                <w:szCs w:val="20"/>
                <w:lang w:eastAsia="sk-SK"/>
              </w:rPr>
            </w:pPr>
            <w:r w:rsidRPr="004A5FD3">
              <w:rPr>
                <w:rFonts w:ascii="Arial" w:hAnsi="Arial" w:cs="Arial"/>
                <w:b/>
                <w:bCs/>
                <w:sz w:val="20"/>
                <w:szCs w:val="20"/>
                <w:lang w:eastAsia="sk-SK"/>
              </w:rPr>
              <w:t>40 500,00</w:t>
            </w:r>
          </w:p>
        </w:tc>
        <w:tc>
          <w:tcPr>
            <w:tcW w:w="1255" w:type="dxa"/>
            <w:tcBorders>
              <w:top w:val="single" w:sz="8" w:space="0" w:color="auto"/>
              <w:left w:val="nil"/>
              <w:bottom w:val="single" w:sz="8" w:space="0" w:color="auto"/>
              <w:right w:val="single" w:sz="8" w:space="0" w:color="auto"/>
            </w:tcBorders>
            <w:noWrap/>
            <w:textDirection w:val="lrTb"/>
            <w:vAlign w:val="bottom"/>
          </w:tcPr>
          <w:p w:rsidR="004A5FD3" w:rsidRPr="004A5FD3" w:rsidP="004A5FD3">
            <w:pPr>
              <w:bidi w:val="0"/>
              <w:spacing w:after="0" w:line="240" w:lineRule="auto"/>
              <w:jc w:val="right"/>
              <w:rPr>
                <w:rFonts w:ascii="Arial" w:hAnsi="Arial" w:cs="Arial"/>
                <w:b/>
                <w:bCs/>
                <w:sz w:val="20"/>
                <w:szCs w:val="20"/>
                <w:lang w:eastAsia="sk-SK"/>
              </w:rPr>
            </w:pPr>
            <w:r w:rsidRPr="004A5FD3">
              <w:rPr>
                <w:rFonts w:ascii="Arial" w:hAnsi="Arial" w:cs="Arial"/>
                <w:b/>
                <w:bCs/>
                <w:sz w:val="20"/>
                <w:szCs w:val="20"/>
                <w:lang w:eastAsia="sk-SK"/>
              </w:rPr>
              <w:t>237 487,86</w:t>
            </w:r>
          </w:p>
        </w:tc>
      </w:tr>
    </w:tbl>
    <w:p w:rsidR="004A5FD3" w:rsidRPr="004A5FD3" w:rsidP="004A5FD3">
      <w:pPr>
        <w:bidi w:val="0"/>
        <w:spacing w:after="0" w:line="240" w:lineRule="auto"/>
        <w:jc w:val="both"/>
        <w:rPr>
          <w:rFonts w:ascii="Times New Roman" w:hAnsi="Times New Roman" w:cs="Times New Roman"/>
          <w:sz w:val="24"/>
          <w:szCs w:val="24"/>
          <w:lang w:eastAsia="sk-SK"/>
        </w:rPr>
      </w:pPr>
    </w:p>
    <w:tbl>
      <w:tblPr>
        <w:tblStyle w:val="TableNormal"/>
        <w:tblW w:w="5755" w:type="dxa"/>
        <w:tblInd w:w="55" w:type="dxa"/>
        <w:tblCellMar>
          <w:left w:w="70" w:type="dxa"/>
          <w:right w:w="70" w:type="dxa"/>
        </w:tblCellMar>
      </w:tblPr>
      <w:tblGrid>
        <w:gridCol w:w="1937"/>
        <w:gridCol w:w="1318"/>
        <w:gridCol w:w="1345"/>
        <w:gridCol w:w="1155"/>
      </w:tblGrid>
      <w:tr>
        <w:tblPrEx>
          <w:tblW w:w="5755" w:type="dxa"/>
          <w:tblInd w:w="55" w:type="dxa"/>
          <w:tblCellMar>
            <w:left w:w="70" w:type="dxa"/>
            <w:right w:w="70" w:type="dxa"/>
          </w:tblCellMar>
        </w:tblPrEx>
        <w:trPr>
          <w:trHeight w:val="300"/>
        </w:trPr>
        <w:tc>
          <w:tcPr>
            <w:tcW w:w="5755" w:type="dxa"/>
            <w:gridSpan w:val="4"/>
            <w:tcBorders>
              <w:top w:val="nil"/>
              <w:left w:val="nil"/>
              <w:bottom w:val="nil"/>
              <w:right w:val="nil"/>
            </w:tcBorders>
            <w:noWrap/>
            <w:textDirection w:val="lrTb"/>
            <w:vAlign w:val="bottom"/>
          </w:tcPr>
          <w:p w:rsidR="004A5FD3" w:rsidRPr="004A5FD3" w:rsidP="004A5FD3">
            <w:pPr>
              <w:bidi w:val="0"/>
              <w:spacing w:after="0" w:line="240" w:lineRule="auto"/>
              <w:rPr>
                <w:rFonts w:ascii="Arial" w:hAnsi="Arial" w:cs="Arial"/>
                <w:b/>
                <w:bCs/>
                <w:sz w:val="24"/>
                <w:szCs w:val="24"/>
                <w:u w:val="single"/>
                <w:lang w:eastAsia="sk-SK"/>
              </w:rPr>
            </w:pPr>
          </w:p>
          <w:p w:rsidR="004A5FD3" w:rsidRPr="004A5FD3" w:rsidP="004A5FD3">
            <w:pPr>
              <w:bidi w:val="0"/>
              <w:spacing w:after="0" w:line="240" w:lineRule="auto"/>
              <w:rPr>
                <w:rFonts w:ascii="Arial" w:hAnsi="Arial" w:cs="Arial"/>
                <w:b/>
                <w:bCs/>
                <w:sz w:val="24"/>
                <w:szCs w:val="24"/>
                <w:u w:val="single"/>
                <w:lang w:eastAsia="sk-SK"/>
              </w:rPr>
            </w:pPr>
            <w:r w:rsidRPr="004A5FD3">
              <w:rPr>
                <w:rFonts w:ascii="Arial" w:hAnsi="Arial" w:cs="Arial"/>
                <w:b/>
                <w:bCs/>
                <w:u w:val="single"/>
                <w:lang w:eastAsia="sk-SK"/>
              </w:rPr>
              <w:t xml:space="preserve">Predpokladané výdavky na roky </w:t>
            </w:r>
            <w:smartTag w:uri="urn:schemas-microsoft-com:office:smarttags" w:element="metricconverter">
              <w:smartTagPr>
                <w:attr w:name="ProductID" w:val="08C"/>
              </w:smartTagPr>
              <w:r w:rsidRPr="004A5FD3">
                <w:rPr>
                  <w:rFonts w:ascii="Arial" w:hAnsi="Arial" w:cs="Arial"/>
                  <w:b/>
                  <w:bCs/>
                  <w:u w:val="single"/>
                  <w:lang w:eastAsia="sk-SK"/>
                </w:rPr>
                <w:t>2014 a</w:t>
              </w:r>
            </w:smartTag>
            <w:r w:rsidRPr="004A5FD3">
              <w:rPr>
                <w:rFonts w:ascii="Arial" w:hAnsi="Arial" w:cs="Arial"/>
                <w:b/>
                <w:bCs/>
                <w:u w:val="single"/>
                <w:lang w:eastAsia="sk-SK"/>
              </w:rPr>
              <w:t xml:space="preserve"> 2015</w:t>
            </w:r>
          </w:p>
        </w:tc>
      </w:tr>
      <w:tr>
        <w:tblPrEx>
          <w:tblW w:w="5755" w:type="dxa"/>
          <w:tblInd w:w="55" w:type="dxa"/>
          <w:tblCellMar>
            <w:left w:w="70" w:type="dxa"/>
            <w:right w:w="70" w:type="dxa"/>
          </w:tblCellMar>
        </w:tblPrEx>
        <w:trPr>
          <w:trHeight w:val="270"/>
        </w:trPr>
        <w:tc>
          <w:tcPr>
            <w:tcW w:w="1937" w:type="dxa"/>
            <w:tcBorders>
              <w:top w:val="nil"/>
              <w:left w:val="nil"/>
              <w:bottom w:val="nil"/>
              <w:right w:val="nil"/>
            </w:tcBorders>
            <w:noWrap/>
            <w:textDirection w:val="lrTb"/>
            <w:vAlign w:val="bottom"/>
          </w:tcPr>
          <w:p w:rsidR="004A5FD3" w:rsidRPr="004A5FD3" w:rsidP="004A5FD3">
            <w:pPr>
              <w:bidi w:val="0"/>
              <w:spacing w:after="0" w:line="240" w:lineRule="auto"/>
              <w:rPr>
                <w:rFonts w:ascii="Arial" w:hAnsi="Arial" w:cs="Arial"/>
                <w:sz w:val="20"/>
                <w:szCs w:val="20"/>
                <w:lang w:eastAsia="sk-SK"/>
              </w:rPr>
            </w:pPr>
          </w:p>
        </w:tc>
        <w:tc>
          <w:tcPr>
            <w:tcW w:w="1318" w:type="dxa"/>
            <w:tcBorders>
              <w:top w:val="nil"/>
              <w:left w:val="nil"/>
              <w:bottom w:val="nil"/>
              <w:right w:val="nil"/>
            </w:tcBorders>
            <w:noWrap/>
            <w:textDirection w:val="lrTb"/>
            <w:vAlign w:val="bottom"/>
          </w:tcPr>
          <w:p w:rsidR="004A5FD3" w:rsidRPr="004A5FD3" w:rsidP="004A5FD3">
            <w:pPr>
              <w:bidi w:val="0"/>
              <w:spacing w:after="0" w:line="240" w:lineRule="auto"/>
              <w:rPr>
                <w:rFonts w:ascii="Arial" w:hAnsi="Arial" w:cs="Arial"/>
                <w:sz w:val="20"/>
                <w:szCs w:val="20"/>
                <w:lang w:eastAsia="sk-SK"/>
              </w:rPr>
            </w:pPr>
          </w:p>
        </w:tc>
        <w:tc>
          <w:tcPr>
            <w:tcW w:w="1345" w:type="dxa"/>
            <w:tcBorders>
              <w:top w:val="nil"/>
              <w:left w:val="nil"/>
              <w:bottom w:val="nil"/>
              <w:right w:val="nil"/>
            </w:tcBorders>
            <w:noWrap/>
            <w:textDirection w:val="lrTb"/>
            <w:vAlign w:val="bottom"/>
          </w:tcPr>
          <w:p w:rsidR="004A5FD3" w:rsidRPr="004A5FD3" w:rsidP="004A5FD3">
            <w:pPr>
              <w:bidi w:val="0"/>
              <w:spacing w:after="0" w:line="240" w:lineRule="auto"/>
              <w:rPr>
                <w:rFonts w:ascii="Arial" w:hAnsi="Arial" w:cs="Arial"/>
                <w:sz w:val="20"/>
                <w:szCs w:val="20"/>
                <w:lang w:eastAsia="sk-SK"/>
              </w:rPr>
            </w:pPr>
          </w:p>
        </w:tc>
        <w:tc>
          <w:tcPr>
            <w:tcW w:w="1155" w:type="dxa"/>
            <w:tcBorders>
              <w:top w:val="nil"/>
              <w:left w:val="nil"/>
              <w:bottom w:val="nil"/>
              <w:right w:val="nil"/>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v €</w:t>
            </w:r>
          </w:p>
        </w:tc>
      </w:tr>
      <w:tr>
        <w:tblPrEx>
          <w:tblW w:w="5755" w:type="dxa"/>
          <w:tblInd w:w="55" w:type="dxa"/>
          <w:tblCellMar>
            <w:left w:w="70" w:type="dxa"/>
            <w:right w:w="70" w:type="dxa"/>
          </w:tblCellMar>
        </w:tblPrEx>
        <w:trPr>
          <w:trHeight w:val="525"/>
        </w:trPr>
        <w:tc>
          <w:tcPr>
            <w:tcW w:w="1937" w:type="dxa"/>
            <w:tcBorders>
              <w:top w:val="single" w:sz="8" w:space="0" w:color="auto"/>
              <w:left w:val="single" w:sz="8" w:space="0" w:color="auto"/>
              <w:bottom w:val="single" w:sz="8" w:space="0" w:color="auto"/>
              <w:right w:val="single" w:sz="8" w:space="0" w:color="auto"/>
            </w:tcBorders>
            <w:noWrap/>
            <w:textDirection w:val="lrTb"/>
            <w:vAlign w:val="bottom"/>
          </w:tcPr>
          <w:p w:rsidR="004A5FD3" w:rsidRPr="004A5FD3" w:rsidP="004A5FD3">
            <w:pPr>
              <w:bidi w:val="0"/>
              <w:spacing w:after="0" w:line="240" w:lineRule="auto"/>
              <w:jc w:val="center"/>
              <w:rPr>
                <w:rFonts w:ascii="Arial" w:hAnsi="Arial" w:cs="Arial"/>
                <w:b/>
                <w:bCs/>
                <w:sz w:val="20"/>
                <w:szCs w:val="20"/>
                <w:lang w:eastAsia="sk-SK"/>
              </w:rPr>
            </w:pPr>
            <w:r w:rsidRPr="004A5FD3">
              <w:rPr>
                <w:rFonts w:ascii="Arial" w:hAnsi="Arial" w:cs="Arial"/>
                <w:b/>
                <w:bCs/>
                <w:sz w:val="20"/>
                <w:szCs w:val="20"/>
                <w:lang w:eastAsia="sk-SK"/>
              </w:rPr>
              <w:t>kategória</w:t>
            </w:r>
          </w:p>
        </w:tc>
        <w:tc>
          <w:tcPr>
            <w:tcW w:w="1318" w:type="dxa"/>
            <w:tcBorders>
              <w:top w:val="single" w:sz="8" w:space="0" w:color="auto"/>
              <w:left w:val="nil"/>
              <w:bottom w:val="single" w:sz="8" w:space="0" w:color="auto"/>
              <w:right w:val="single" w:sz="4" w:space="0" w:color="auto"/>
            </w:tcBorders>
            <w:textDirection w:val="lrTb"/>
            <w:vAlign w:val="bottom"/>
          </w:tcPr>
          <w:p w:rsidR="004A5FD3" w:rsidRPr="004A5FD3" w:rsidP="004A5FD3">
            <w:pPr>
              <w:bidi w:val="0"/>
              <w:spacing w:after="0" w:line="240" w:lineRule="auto"/>
              <w:jc w:val="center"/>
              <w:rPr>
                <w:rFonts w:ascii="Arial" w:hAnsi="Arial" w:cs="Arial"/>
                <w:b/>
                <w:bCs/>
                <w:sz w:val="20"/>
                <w:szCs w:val="20"/>
                <w:lang w:eastAsia="sk-SK"/>
              </w:rPr>
            </w:pPr>
            <w:r w:rsidRPr="004A5FD3">
              <w:rPr>
                <w:rFonts w:ascii="Arial" w:hAnsi="Arial" w:cs="Arial"/>
                <w:b/>
                <w:bCs/>
                <w:sz w:val="20"/>
                <w:szCs w:val="20"/>
                <w:lang w:eastAsia="sk-SK"/>
              </w:rPr>
              <w:t>opakujúce sa výdavky</w:t>
            </w:r>
          </w:p>
        </w:tc>
        <w:tc>
          <w:tcPr>
            <w:tcW w:w="1345" w:type="dxa"/>
            <w:tcBorders>
              <w:top w:val="single" w:sz="8" w:space="0" w:color="auto"/>
              <w:left w:val="nil"/>
              <w:bottom w:val="single" w:sz="8" w:space="0" w:color="auto"/>
              <w:right w:val="single" w:sz="4" w:space="0" w:color="auto"/>
            </w:tcBorders>
            <w:textDirection w:val="lrTb"/>
            <w:vAlign w:val="bottom"/>
          </w:tcPr>
          <w:p w:rsidR="004A5FD3" w:rsidRPr="004A5FD3" w:rsidP="004A5FD3">
            <w:pPr>
              <w:bidi w:val="0"/>
              <w:spacing w:after="0" w:line="240" w:lineRule="auto"/>
              <w:jc w:val="center"/>
              <w:rPr>
                <w:rFonts w:ascii="Arial" w:hAnsi="Arial" w:cs="Arial"/>
                <w:b/>
                <w:bCs/>
                <w:sz w:val="20"/>
                <w:szCs w:val="20"/>
                <w:lang w:eastAsia="sk-SK"/>
              </w:rPr>
            </w:pPr>
            <w:r w:rsidRPr="004A5FD3">
              <w:rPr>
                <w:rFonts w:ascii="Arial" w:hAnsi="Arial" w:cs="Arial"/>
                <w:b/>
                <w:bCs/>
                <w:sz w:val="20"/>
                <w:szCs w:val="20"/>
                <w:lang w:eastAsia="sk-SK"/>
              </w:rPr>
              <w:t>jednorazové výdavky</w:t>
            </w:r>
          </w:p>
        </w:tc>
        <w:tc>
          <w:tcPr>
            <w:tcW w:w="1155" w:type="dxa"/>
            <w:tcBorders>
              <w:top w:val="single" w:sz="8" w:space="0" w:color="auto"/>
              <w:left w:val="nil"/>
              <w:bottom w:val="single" w:sz="8" w:space="0" w:color="auto"/>
              <w:right w:val="single" w:sz="8" w:space="0" w:color="auto"/>
            </w:tcBorders>
            <w:textDirection w:val="lrTb"/>
            <w:vAlign w:val="bottom"/>
          </w:tcPr>
          <w:p w:rsidR="004A5FD3" w:rsidRPr="004A5FD3" w:rsidP="004A5FD3">
            <w:pPr>
              <w:bidi w:val="0"/>
              <w:spacing w:after="0" w:line="240" w:lineRule="auto"/>
              <w:jc w:val="center"/>
              <w:rPr>
                <w:rFonts w:ascii="Arial" w:hAnsi="Arial" w:cs="Arial"/>
                <w:b/>
                <w:bCs/>
                <w:sz w:val="20"/>
                <w:szCs w:val="20"/>
                <w:lang w:eastAsia="sk-SK"/>
              </w:rPr>
            </w:pPr>
            <w:r w:rsidRPr="004A5FD3">
              <w:rPr>
                <w:rFonts w:ascii="Arial" w:hAnsi="Arial" w:cs="Arial"/>
                <w:b/>
                <w:bCs/>
                <w:sz w:val="20"/>
                <w:szCs w:val="20"/>
                <w:lang w:eastAsia="sk-SK"/>
              </w:rPr>
              <w:t>Výdavky spolu</w:t>
            </w:r>
          </w:p>
        </w:tc>
      </w:tr>
      <w:tr>
        <w:tblPrEx>
          <w:tblW w:w="5755" w:type="dxa"/>
          <w:tblInd w:w="55" w:type="dxa"/>
          <w:tblCellMar>
            <w:left w:w="70" w:type="dxa"/>
            <w:right w:w="70" w:type="dxa"/>
          </w:tblCellMar>
        </w:tblPrEx>
        <w:trPr>
          <w:trHeight w:val="255"/>
        </w:trPr>
        <w:tc>
          <w:tcPr>
            <w:tcW w:w="1937" w:type="dxa"/>
            <w:tcBorders>
              <w:top w:val="nil"/>
              <w:left w:val="single" w:sz="8" w:space="0" w:color="auto"/>
              <w:bottom w:val="single" w:sz="4" w:space="0" w:color="auto"/>
              <w:right w:val="single" w:sz="8" w:space="0" w:color="auto"/>
            </w:tcBorders>
            <w:noWrap/>
            <w:textDirection w:val="lrTb"/>
            <w:vAlign w:val="center"/>
          </w:tcPr>
          <w:p w:rsidR="004A5FD3" w:rsidRPr="004A5FD3" w:rsidP="004A5FD3">
            <w:pPr>
              <w:bidi w:val="0"/>
              <w:spacing w:after="0" w:line="240" w:lineRule="auto"/>
              <w:rPr>
                <w:rFonts w:ascii="Arial" w:hAnsi="Arial" w:cs="Arial"/>
                <w:sz w:val="20"/>
                <w:szCs w:val="20"/>
                <w:lang w:eastAsia="sk-SK"/>
              </w:rPr>
            </w:pPr>
            <w:r w:rsidRPr="004A5FD3">
              <w:rPr>
                <w:rFonts w:ascii="Arial" w:hAnsi="Arial" w:cs="Arial"/>
                <w:sz w:val="20"/>
                <w:szCs w:val="20"/>
                <w:lang w:eastAsia="sk-SK"/>
              </w:rPr>
              <w:t>610</w:t>
            </w:r>
          </w:p>
        </w:tc>
        <w:tc>
          <w:tcPr>
            <w:tcW w:w="1318" w:type="dxa"/>
            <w:tcBorders>
              <w:top w:val="nil"/>
              <w:left w:val="nil"/>
              <w:bottom w:val="single" w:sz="4" w:space="0" w:color="auto"/>
              <w:right w:val="single" w:sz="4"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145 971,00</w:t>
            </w:r>
          </w:p>
        </w:tc>
        <w:tc>
          <w:tcPr>
            <w:tcW w:w="1345" w:type="dxa"/>
            <w:tcBorders>
              <w:top w:val="nil"/>
              <w:left w:val="nil"/>
              <w:bottom w:val="single" w:sz="4" w:space="0" w:color="auto"/>
              <w:right w:val="single" w:sz="4"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0,00</w:t>
            </w:r>
          </w:p>
        </w:tc>
        <w:tc>
          <w:tcPr>
            <w:tcW w:w="1155" w:type="dxa"/>
            <w:tcBorders>
              <w:top w:val="nil"/>
              <w:left w:val="nil"/>
              <w:bottom w:val="single" w:sz="4" w:space="0" w:color="auto"/>
              <w:right w:val="single" w:sz="8"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145 971,00</w:t>
            </w:r>
          </w:p>
        </w:tc>
      </w:tr>
      <w:tr>
        <w:tblPrEx>
          <w:tblW w:w="5755" w:type="dxa"/>
          <w:tblInd w:w="55" w:type="dxa"/>
          <w:tblCellMar>
            <w:left w:w="70" w:type="dxa"/>
            <w:right w:w="70" w:type="dxa"/>
          </w:tblCellMar>
        </w:tblPrEx>
        <w:trPr>
          <w:trHeight w:val="255"/>
        </w:trPr>
        <w:tc>
          <w:tcPr>
            <w:tcW w:w="1937" w:type="dxa"/>
            <w:tcBorders>
              <w:top w:val="nil"/>
              <w:left w:val="single" w:sz="8" w:space="0" w:color="auto"/>
              <w:bottom w:val="single" w:sz="4" w:space="0" w:color="auto"/>
              <w:right w:val="single" w:sz="8" w:space="0" w:color="auto"/>
            </w:tcBorders>
            <w:noWrap/>
            <w:textDirection w:val="lrTb"/>
            <w:vAlign w:val="center"/>
          </w:tcPr>
          <w:p w:rsidR="004A5FD3" w:rsidRPr="004A5FD3" w:rsidP="004A5FD3">
            <w:pPr>
              <w:bidi w:val="0"/>
              <w:spacing w:after="0" w:line="240" w:lineRule="auto"/>
              <w:rPr>
                <w:rFonts w:ascii="Arial" w:hAnsi="Arial" w:cs="Arial"/>
                <w:sz w:val="20"/>
                <w:szCs w:val="20"/>
                <w:lang w:eastAsia="sk-SK"/>
              </w:rPr>
            </w:pPr>
            <w:r w:rsidRPr="004A5FD3">
              <w:rPr>
                <w:rFonts w:ascii="Arial" w:hAnsi="Arial" w:cs="Arial"/>
                <w:sz w:val="20"/>
                <w:szCs w:val="20"/>
                <w:lang w:eastAsia="sk-SK"/>
              </w:rPr>
              <w:t>620</w:t>
            </w:r>
          </w:p>
        </w:tc>
        <w:tc>
          <w:tcPr>
            <w:tcW w:w="1318" w:type="dxa"/>
            <w:tcBorders>
              <w:top w:val="nil"/>
              <w:left w:val="nil"/>
              <w:bottom w:val="single" w:sz="4" w:space="0" w:color="auto"/>
              <w:right w:val="single" w:sz="4"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51 016,86</w:t>
            </w:r>
          </w:p>
        </w:tc>
        <w:tc>
          <w:tcPr>
            <w:tcW w:w="1345" w:type="dxa"/>
            <w:tcBorders>
              <w:top w:val="nil"/>
              <w:left w:val="nil"/>
              <w:bottom w:val="single" w:sz="4" w:space="0" w:color="auto"/>
              <w:right w:val="single" w:sz="4"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0,00</w:t>
            </w:r>
          </w:p>
        </w:tc>
        <w:tc>
          <w:tcPr>
            <w:tcW w:w="1155" w:type="dxa"/>
            <w:tcBorders>
              <w:top w:val="nil"/>
              <w:left w:val="nil"/>
              <w:bottom w:val="single" w:sz="4" w:space="0" w:color="auto"/>
              <w:right w:val="single" w:sz="8"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51 016,86</w:t>
            </w:r>
          </w:p>
        </w:tc>
      </w:tr>
      <w:tr>
        <w:tblPrEx>
          <w:tblW w:w="5755" w:type="dxa"/>
          <w:tblInd w:w="55" w:type="dxa"/>
          <w:tblCellMar>
            <w:left w:w="70" w:type="dxa"/>
            <w:right w:w="70" w:type="dxa"/>
          </w:tblCellMar>
        </w:tblPrEx>
        <w:trPr>
          <w:trHeight w:val="255"/>
        </w:trPr>
        <w:tc>
          <w:tcPr>
            <w:tcW w:w="1937" w:type="dxa"/>
            <w:tcBorders>
              <w:top w:val="nil"/>
              <w:left w:val="single" w:sz="8" w:space="0" w:color="auto"/>
              <w:bottom w:val="single" w:sz="4" w:space="0" w:color="auto"/>
              <w:right w:val="single" w:sz="8" w:space="0" w:color="auto"/>
            </w:tcBorders>
            <w:noWrap/>
            <w:textDirection w:val="lrTb"/>
            <w:vAlign w:val="bottom"/>
          </w:tcPr>
          <w:p w:rsidR="004A5FD3" w:rsidRPr="004A5FD3" w:rsidP="004A5FD3">
            <w:pPr>
              <w:bidi w:val="0"/>
              <w:spacing w:after="0" w:line="240" w:lineRule="auto"/>
              <w:rPr>
                <w:rFonts w:ascii="Arial" w:hAnsi="Arial" w:cs="Arial"/>
                <w:sz w:val="20"/>
                <w:szCs w:val="20"/>
                <w:lang w:eastAsia="sk-SK"/>
              </w:rPr>
            </w:pPr>
            <w:r w:rsidRPr="004A5FD3">
              <w:rPr>
                <w:rFonts w:ascii="Arial" w:hAnsi="Arial" w:cs="Arial"/>
                <w:sz w:val="20"/>
                <w:szCs w:val="20"/>
                <w:lang w:eastAsia="sk-SK"/>
              </w:rPr>
              <w:t>630</w:t>
            </w:r>
          </w:p>
        </w:tc>
        <w:tc>
          <w:tcPr>
            <w:tcW w:w="1318" w:type="dxa"/>
            <w:tcBorders>
              <w:top w:val="nil"/>
              <w:left w:val="nil"/>
              <w:bottom w:val="single" w:sz="4" w:space="0" w:color="auto"/>
              <w:right w:val="single" w:sz="4"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8 000,00</w:t>
            </w:r>
          </w:p>
        </w:tc>
        <w:tc>
          <w:tcPr>
            <w:tcW w:w="1345" w:type="dxa"/>
            <w:tcBorders>
              <w:top w:val="nil"/>
              <w:left w:val="nil"/>
              <w:bottom w:val="single" w:sz="4" w:space="0" w:color="auto"/>
              <w:right w:val="single" w:sz="4"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0,00</w:t>
            </w:r>
          </w:p>
        </w:tc>
        <w:tc>
          <w:tcPr>
            <w:tcW w:w="1155" w:type="dxa"/>
            <w:tcBorders>
              <w:top w:val="nil"/>
              <w:left w:val="nil"/>
              <w:bottom w:val="single" w:sz="4" w:space="0" w:color="auto"/>
              <w:right w:val="single" w:sz="8"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8 000,00</w:t>
            </w:r>
          </w:p>
        </w:tc>
      </w:tr>
      <w:tr>
        <w:tblPrEx>
          <w:tblW w:w="5755" w:type="dxa"/>
          <w:tblInd w:w="55" w:type="dxa"/>
          <w:tblCellMar>
            <w:left w:w="70" w:type="dxa"/>
            <w:right w:w="70" w:type="dxa"/>
          </w:tblCellMar>
        </w:tblPrEx>
        <w:trPr>
          <w:trHeight w:val="270"/>
        </w:trPr>
        <w:tc>
          <w:tcPr>
            <w:tcW w:w="1937" w:type="dxa"/>
            <w:tcBorders>
              <w:top w:val="nil"/>
              <w:left w:val="single" w:sz="8" w:space="0" w:color="auto"/>
              <w:bottom w:val="nil"/>
              <w:right w:val="single" w:sz="8" w:space="0" w:color="auto"/>
            </w:tcBorders>
            <w:noWrap/>
            <w:textDirection w:val="lrTb"/>
            <w:vAlign w:val="bottom"/>
          </w:tcPr>
          <w:p w:rsidR="004A5FD3" w:rsidRPr="004A5FD3" w:rsidP="004A5FD3">
            <w:pPr>
              <w:bidi w:val="0"/>
              <w:spacing w:after="0" w:line="240" w:lineRule="auto"/>
              <w:rPr>
                <w:rFonts w:ascii="Arial" w:hAnsi="Arial" w:cs="Arial"/>
                <w:sz w:val="20"/>
                <w:szCs w:val="20"/>
                <w:lang w:eastAsia="sk-SK"/>
              </w:rPr>
            </w:pPr>
            <w:r w:rsidRPr="004A5FD3">
              <w:rPr>
                <w:rFonts w:ascii="Arial" w:hAnsi="Arial" w:cs="Arial"/>
                <w:sz w:val="20"/>
                <w:szCs w:val="20"/>
                <w:lang w:eastAsia="sk-SK"/>
              </w:rPr>
              <w:t>700</w:t>
            </w:r>
          </w:p>
        </w:tc>
        <w:tc>
          <w:tcPr>
            <w:tcW w:w="1318" w:type="dxa"/>
            <w:tcBorders>
              <w:top w:val="nil"/>
              <w:left w:val="nil"/>
              <w:bottom w:val="nil"/>
              <w:right w:val="single" w:sz="4"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0,00</w:t>
            </w:r>
          </w:p>
        </w:tc>
        <w:tc>
          <w:tcPr>
            <w:tcW w:w="1345" w:type="dxa"/>
            <w:tcBorders>
              <w:top w:val="nil"/>
              <w:left w:val="nil"/>
              <w:bottom w:val="nil"/>
              <w:right w:val="single" w:sz="4"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0,00</w:t>
            </w:r>
          </w:p>
        </w:tc>
        <w:tc>
          <w:tcPr>
            <w:tcW w:w="1155" w:type="dxa"/>
            <w:tcBorders>
              <w:top w:val="nil"/>
              <w:left w:val="nil"/>
              <w:bottom w:val="nil"/>
              <w:right w:val="single" w:sz="8" w:space="0" w:color="auto"/>
            </w:tcBorders>
            <w:noWrap/>
            <w:textDirection w:val="lrTb"/>
            <w:vAlign w:val="bottom"/>
          </w:tcPr>
          <w:p w:rsidR="004A5FD3" w:rsidRPr="004A5FD3" w:rsidP="004A5FD3">
            <w:pPr>
              <w:bidi w:val="0"/>
              <w:spacing w:after="0" w:line="240" w:lineRule="auto"/>
              <w:jc w:val="right"/>
              <w:rPr>
                <w:rFonts w:ascii="Arial" w:hAnsi="Arial" w:cs="Arial"/>
                <w:sz w:val="20"/>
                <w:szCs w:val="20"/>
                <w:lang w:eastAsia="sk-SK"/>
              </w:rPr>
            </w:pPr>
            <w:r w:rsidRPr="004A5FD3">
              <w:rPr>
                <w:rFonts w:ascii="Arial" w:hAnsi="Arial" w:cs="Arial"/>
                <w:sz w:val="20"/>
                <w:szCs w:val="20"/>
                <w:lang w:eastAsia="sk-SK"/>
              </w:rPr>
              <w:t>0,00</w:t>
            </w:r>
          </w:p>
        </w:tc>
      </w:tr>
      <w:tr>
        <w:tblPrEx>
          <w:tblW w:w="5755" w:type="dxa"/>
          <w:tblInd w:w="55" w:type="dxa"/>
          <w:tblCellMar>
            <w:left w:w="70" w:type="dxa"/>
            <w:right w:w="70" w:type="dxa"/>
          </w:tblCellMar>
        </w:tblPrEx>
        <w:trPr>
          <w:trHeight w:val="270"/>
        </w:trPr>
        <w:tc>
          <w:tcPr>
            <w:tcW w:w="1937" w:type="dxa"/>
            <w:tcBorders>
              <w:top w:val="single" w:sz="8" w:space="0" w:color="auto"/>
              <w:left w:val="single" w:sz="8" w:space="0" w:color="auto"/>
              <w:bottom w:val="single" w:sz="8" w:space="0" w:color="auto"/>
              <w:right w:val="single" w:sz="8" w:space="0" w:color="auto"/>
            </w:tcBorders>
            <w:noWrap/>
            <w:textDirection w:val="lrTb"/>
            <w:vAlign w:val="bottom"/>
          </w:tcPr>
          <w:p w:rsidR="004A5FD3" w:rsidRPr="004A5FD3" w:rsidP="004A5FD3">
            <w:pPr>
              <w:bidi w:val="0"/>
              <w:spacing w:after="0" w:line="240" w:lineRule="auto"/>
              <w:rPr>
                <w:rFonts w:ascii="Arial" w:hAnsi="Arial" w:cs="Arial"/>
                <w:b/>
                <w:bCs/>
                <w:sz w:val="20"/>
                <w:szCs w:val="20"/>
                <w:lang w:eastAsia="sk-SK"/>
              </w:rPr>
            </w:pPr>
            <w:r w:rsidRPr="004A5FD3">
              <w:rPr>
                <w:rFonts w:ascii="Arial" w:hAnsi="Arial" w:cs="Arial"/>
                <w:b/>
                <w:bCs/>
                <w:sz w:val="20"/>
                <w:szCs w:val="20"/>
                <w:lang w:eastAsia="sk-SK"/>
              </w:rPr>
              <w:t>VÝDAVKY SPOLU</w:t>
            </w:r>
          </w:p>
        </w:tc>
        <w:tc>
          <w:tcPr>
            <w:tcW w:w="1318" w:type="dxa"/>
            <w:tcBorders>
              <w:top w:val="single" w:sz="8" w:space="0" w:color="auto"/>
              <w:left w:val="nil"/>
              <w:bottom w:val="single" w:sz="8" w:space="0" w:color="auto"/>
              <w:right w:val="single" w:sz="4" w:space="0" w:color="auto"/>
            </w:tcBorders>
            <w:noWrap/>
            <w:textDirection w:val="lrTb"/>
            <w:vAlign w:val="bottom"/>
          </w:tcPr>
          <w:p w:rsidR="004A5FD3" w:rsidRPr="004A5FD3" w:rsidP="004A5FD3">
            <w:pPr>
              <w:bidi w:val="0"/>
              <w:spacing w:after="0" w:line="240" w:lineRule="auto"/>
              <w:jc w:val="right"/>
              <w:rPr>
                <w:rFonts w:ascii="Arial" w:hAnsi="Arial" w:cs="Arial"/>
                <w:b/>
                <w:bCs/>
                <w:sz w:val="20"/>
                <w:szCs w:val="20"/>
                <w:lang w:eastAsia="sk-SK"/>
              </w:rPr>
            </w:pPr>
            <w:r w:rsidRPr="004A5FD3">
              <w:rPr>
                <w:rFonts w:ascii="Arial" w:hAnsi="Arial" w:cs="Arial"/>
                <w:b/>
                <w:bCs/>
                <w:sz w:val="20"/>
                <w:szCs w:val="20"/>
                <w:lang w:eastAsia="sk-SK"/>
              </w:rPr>
              <w:t>204 987,86</w:t>
            </w:r>
          </w:p>
        </w:tc>
        <w:tc>
          <w:tcPr>
            <w:tcW w:w="1345" w:type="dxa"/>
            <w:tcBorders>
              <w:top w:val="single" w:sz="8" w:space="0" w:color="auto"/>
              <w:left w:val="nil"/>
              <w:bottom w:val="single" w:sz="8" w:space="0" w:color="auto"/>
              <w:right w:val="single" w:sz="4" w:space="0" w:color="auto"/>
            </w:tcBorders>
            <w:noWrap/>
            <w:textDirection w:val="lrTb"/>
            <w:vAlign w:val="bottom"/>
          </w:tcPr>
          <w:p w:rsidR="004A5FD3" w:rsidRPr="004A5FD3" w:rsidP="004A5FD3">
            <w:pPr>
              <w:bidi w:val="0"/>
              <w:spacing w:after="0" w:line="240" w:lineRule="auto"/>
              <w:jc w:val="right"/>
              <w:rPr>
                <w:rFonts w:ascii="Arial" w:hAnsi="Arial" w:cs="Arial"/>
                <w:b/>
                <w:bCs/>
                <w:sz w:val="20"/>
                <w:szCs w:val="20"/>
                <w:lang w:eastAsia="sk-SK"/>
              </w:rPr>
            </w:pPr>
            <w:r w:rsidRPr="004A5FD3">
              <w:rPr>
                <w:rFonts w:ascii="Arial" w:hAnsi="Arial" w:cs="Arial"/>
                <w:b/>
                <w:bCs/>
                <w:sz w:val="20"/>
                <w:szCs w:val="20"/>
                <w:lang w:eastAsia="sk-SK"/>
              </w:rPr>
              <w:t>0,00</w:t>
            </w:r>
          </w:p>
        </w:tc>
        <w:tc>
          <w:tcPr>
            <w:tcW w:w="1155" w:type="dxa"/>
            <w:tcBorders>
              <w:top w:val="single" w:sz="8" w:space="0" w:color="auto"/>
              <w:left w:val="nil"/>
              <w:bottom w:val="single" w:sz="8" w:space="0" w:color="auto"/>
              <w:right w:val="single" w:sz="8" w:space="0" w:color="auto"/>
            </w:tcBorders>
            <w:noWrap/>
            <w:textDirection w:val="lrTb"/>
            <w:vAlign w:val="bottom"/>
          </w:tcPr>
          <w:p w:rsidR="004A5FD3" w:rsidRPr="004A5FD3" w:rsidP="004A5FD3">
            <w:pPr>
              <w:bidi w:val="0"/>
              <w:spacing w:after="0" w:line="240" w:lineRule="auto"/>
              <w:jc w:val="right"/>
              <w:rPr>
                <w:rFonts w:ascii="Arial" w:hAnsi="Arial" w:cs="Arial"/>
                <w:b/>
                <w:bCs/>
                <w:sz w:val="20"/>
                <w:szCs w:val="20"/>
                <w:lang w:eastAsia="sk-SK"/>
              </w:rPr>
            </w:pPr>
            <w:r w:rsidRPr="004A5FD3">
              <w:rPr>
                <w:rFonts w:ascii="Arial" w:hAnsi="Arial" w:cs="Arial"/>
                <w:b/>
                <w:bCs/>
                <w:sz w:val="20"/>
                <w:szCs w:val="20"/>
                <w:lang w:eastAsia="sk-SK"/>
              </w:rPr>
              <w:t>204 987,86</w:t>
            </w:r>
          </w:p>
        </w:tc>
      </w:tr>
    </w:tbl>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ab/>
        <w:t xml:space="preserve">Jednorazové výdavky súvisia so zriadením kancelárií pre 10 zamestnancov, z toho pre 9 zamestnancov v štátnej službe a 1 zamestnanca pri výkone prác vo verejnom záujme. Jednorazové bežné výdavky pozostávajú z interiérového vybavenia (kancelársky nábytok), výpočtovej a telekomunikačnej techniky vo výške 25 000 €. Jednorazové kapitálové výdavky súvisia s obstaraním technického zariadenia v sume 15 500 €. </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ab/>
        <w:t>Opakujúce sa výdavky zahŕňajú výdavky na mzdy, platy, služobné príjmy a ostatné osobné vyrovnania vo výške 145 971 € pre 10 zamestnancov, z toho pre 9 zamestnancov v štátnej službe vo výške 137 061 € a pre 1 zamestnanca pri výkone prác vo verejnom záujme vo výške    8 910 €, poistné a príspevok do poisťovní vo výške 51 016,86 € a nevyhnutné výdavky na výkon práce (napr. všeobecný materiál, kancelárske potreby, cestovné náhrady, všeobecný materiál, stravovanie, poštové a telekomunikačné služby) vo výške 8 000 €.</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b/>
          <w:i/>
          <w:sz w:val="24"/>
          <w:szCs w:val="24"/>
          <w:lang w:eastAsia="sk-SK"/>
        </w:rPr>
      </w:pPr>
      <w:r w:rsidRPr="004A5FD3">
        <w:rPr>
          <w:rFonts w:ascii="Times New Roman" w:hAnsi="Times New Roman" w:cs="Times New Roman"/>
          <w:b/>
          <w:i/>
          <w:sz w:val="24"/>
          <w:szCs w:val="24"/>
          <w:lang w:eastAsia="sk-SK"/>
        </w:rPr>
        <w:t>PROGRAM 06V – OCHRANA VEREJNÉHO PORIADKU A BEZPEČNOSTI</w:t>
      </w:r>
    </w:p>
    <w:tbl>
      <w:tblPr>
        <w:tblStyle w:val="TableNormal"/>
        <w:tblW w:w="5755" w:type="dxa"/>
        <w:tblInd w:w="55" w:type="dxa"/>
        <w:tblCellMar>
          <w:left w:w="70" w:type="dxa"/>
          <w:right w:w="70" w:type="dxa"/>
        </w:tblCellMar>
      </w:tblPr>
      <w:tblGrid>
        <w:gridCol w:w="5755"/>
      </w:tblGrid>
      <w:tr>
        <w:tblPrEx>
          <w:tblW w:w="5755" w:type="dxa"/>
          <w:tblInd w:w="55" w:type="dxa"/>
          <w:tblCellMar>
            <w:left w:w="70" w:type="dxa"/>
            <w:right w:w="70" w:type="dxa"/>
          </w:tblCellMar>
        </w:tblPrEx>
        <w:trPr>
          <w:trHeight w:val="300"/>
        </w:trPr>
        <w:tc>
          <w:tcPr>
            <w:tcW w:w="5755" w:type="dxa"/>
            <w:tcBorders>
              <w:top w:val="nil"/>
              <w:left w:val="nil"/>
              <w:bottom w:val="nil"/>
              <w:right w:val="nil"/>
            </w:tcBorders>
            <w:noWrap/>
            <w:textDirection w:val="lrTb"/>
            <w:vAlign w:val="bottom"/>
          </w:tcPr>
          <w:p w:rsidR="004A5FD3" w:rsidRPr="004A5FD3" w:rsidP="004A5FD3">
            <w:pPr>
              <w:bidi w:val="0"/>
              <w:spacing w:after="0" w:line="240" w:lineRule="auto"/>
              <w:rPr>
                <w:rFonts w:ascii="Arial" w:hAnsi="Arial" w:cs="Arial"/>
                <w:b/>
                <w:bCs/>
                <w:sz w:val="24"/>
                <w:szCs w:val="24"/>
                <w:u w:val="single"/>
                <w:lang w:eastAsia="sk-SK"/>
              </w:rPr>
            </w:pPr>
          </w:p>
          <w:p w:rsidR="004A5FD3" w:rsidRPr="004A5FD3" w:rsidP="004A5FD3">
            <w:pPr>
              <w:bidi w:val="0"/>
              <w:spacing w:after="0" w:line="240" w:lineRule="auto"/>
              <w:rPr>
                <w:rFonts w:ascii="Arial" w:hAnsi="Arial" w:cs="Arial"/>
                <w:b/>
                <w:bCs/>
                <w:sz w:val="24"/>
                <w:szCs w:val="24"/>
                <w:u w:val="single"/>
                <w:lang w:eastAsia="sk-SK"/>
              </w:rPr>
            </w:pPr>
            <w:r w:rsidRPr="004A5FD3">
              <w:rPr>
                <w:rFonts w:ascii="Arial" w:hAnsi="Arial" w:cs="Arial"/>
                <w:b/>
                <w:bCs/>
                <w:u w:val="single"/>
                <w:lang w:eastAsia="sk-SK"/>
              </w:rPr>
              <w:t>Predpokladané výdavky na roky 2013 – 2016</w:t>
            </w:r>
          </w:p>
        </w:tc>
      </w:tr>
    </w:tbl>
    <w:p w:rsidR="004A5FD3" w:rsidRPr="004A5FD3" w:rsidP="004A5FD3">
      <w:pPr>
        <w:bidi w:val="0"/>
        <w:spacing w:after="0" w:line="240" w:lineRule="auto"/>
        <w:jc w:val="both"/>
        <w:rPr>
          <w:rFonts w:ascii="Times New Roman" w:hAnsi="Times New Roman" w:cs="Times New Roman"/>
          <w:b/>
          <w:i/>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kategória</w:t>
        <w:tab/>
        <w:tab/>
        <w:t xml:space="preserve">    suma</w:t>
      </w:r>
    </w:p>
    <w:p w:rsidR="004A5FD3" w:rsidRPr="004A5FD3" w:rsidP="004A5FD3">
      <w:pPr>
        <w:bidi w:val="0"/>
        <w:spacing w:after="0" w:line="240" w:lineRule="auto"/>
        <w:jc w:val="both"/>
        <w:rPr>
          <w:rFonts w:ascii="Times New Roman" w:hAnsi="Times New Roman" w:cs="Times New Roman"/>
          <w:b/>
          <w:i/>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 xml:space="preserve">635009 Softvér </w:t>
        <w:tab/>
        <w:t xml:space="preserve">3 387 000 € </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ab/>
        <w:t>Výdavky vo výške 3 387 000 € sú potrebné na zabezpečenie prostriedkov na udržanie výsledkov projektu financovaného zo štrukturálnych fondov EÚ v zmysle čl. 57 Nariadenia Rady (ES) 1083/2006. Udržateľnosť prevádzky informačných systémov centrálnej ohlasovne a registra fyzických osôb si vyžaduje zabezpečiť dodávateľsky servis, podporu a údržbu príslušných zdrojových aplikácií. Taktiež je potrebné zabezpečiť podporu systémového softvéru a využívanej komunikačnej infraštruktúry.</w:t>
      </w:r>
    </w:p>
    <w:p w:rsidR="004A5FD3" w:rsidRPr="004A5FD3" w:rsidP="004A5FD3">
      <w:pPr>
        <w:bidi w:val="0"/>
        <w:spacing w:after="0" w:line="240" w:lineRule="auto"/>
        <w:jc w:val="both"/>
        <w:rPr>
          <w:rFonts w:ascii="Times New Roman" w:hAnsi="Times New Roman" w:cs="Times New Roman"/>
          <w:sz w:val="24"/>
          <w:szCs w:val="24"/>
          <w:lang w:eastAsia="sk-SK"/>
        </w:rPr>
        <w:sectPr w:rsidSect="004A5FD3">
          <w:headerReference w:type="default" r:id="rId5"/>
          <w:footerReference w:type="even" r:id="rId6"/>
          <w:footerReference w:type="default" r:id="rId7"/>
          <w:pgSz w:w="12240" w:h="15840"/>
          <w:pgMar w:top="1417" w:right="1417" w:bottom="1417" w:left="1417" w:header="708" w:footer="708" w:gutter="0"/>
          <w:lnNumType w:distance="0"/>
          <w:pgNumType w:start="10"/>
          <w:cols w:space="708"/>
          <w:noEndnote w:val="0"/>
          <w:bidi w:val="0"/>
          <w:rtlGutter/>
          <w:docGrid w:linePitch="299"/>
        </w:sectPr>
      </w:pPr>
    </w:p>
    <w:p w:rsidR="004A5FD3" w:rsidRPr="004A5FD3" w:rsidP="004A5FD3">
      <w:pPr>
        <w:bidi w:val="0"/>
        <w:spacing w:after="0" w:line="240" w:lineRule="auto"/>
        <w:jc w:val="right"/>
        <w:rPr>
          <w:rFonts w:ascii="Times New Roman" w:hAnsi="Times New Roman" w:cs="Times New Roman"/>
          <w:sz w:val="24"/>
          <w:szCs w:val="24"/>
          <w:lang w:eastAsia="sk-SK"/>
        </w:rPr>
      </w:pPr>
      <w:r w:rsidRPr="004A5FD3">
        <w:rPr>
          <w:rFonts w:ascii="Times New Roman" w:hAnsi="Times New Roman" w:cs="Times New Roman"/>
          <w:sz w:val="24"/>
          <w:szCs w:val="24"/>
          <w:lang w:eastAsia="sk-SK"/>
        </w:rPr>
        <w:t xml:space="preserve">Tabuľka č. 4 </w:t>
      </w:r>
    </w:p>
    <w:tbl>
      <w:tblPr>
        <w:tblStyle w:val="TableNormal"/>
        <w:tblW w:w="12450" w:type="dxa"/>
        <w:tblCellMar>
          <w:left w:w="0" w:type="dxa"/>
          <w:right w:w="0" w:type="dxa"/>
        </w:tblCellMar>
      </w:tblPr>
      <w:tblGrid>
        <w:gridCol w:w="4950"/>
        <w:gridCol w:w="1500"/>
        <w:gridCol w:w="1500"/>
        <w:gridCol w:w="1500"/>
        <w:gridCol w:w="3000"/>
      </w:tblGrid>
      <w:tr>
        <w:tblPrEx>
          <w:tblW w:w="12450" w:type="dxa"/>
          <w:tblCellMar>
            <w:left w:w="0" w:type="dxa"/>
            <w:right w:w="0" w:type="dxa"/>
          </w:tblCellMar>
        </w:tblPrEx>
        <w:trPr>
          <w:gridAfter w:val="2"/>
          <w:wAfter w:w="4500" w:type="dxa"/>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r w:rsidRPr="004A5FD3">
              <w:rPr>
                <w:rFonts w:ascii="Times New Roman" w:hAnsi="Times New Roman" w:cs="Times New Roman"/>
                <w:b/>
                <w:bCs/>
                <w:color w:val="FFFFFF"/>
                <w:sz w:val="24"/>
                <w:szCs w:val="24"/>
                <w:lang w:eastAsia="sk-SK"/>
              </w:rPr>
              <w:t>Príjmy (v eurách)</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poznámka</w:t>
            </w:r>
          </w:p>
        </w:tc>
      </w:tr>
      <w:tr>
        <w:tblPrEx>
          <w:tblW w:w="124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A5FD3" w:rsidRPr="004A5FD3" w:rsidP="004A5FD3">
            <w:pPr>
              <w:bidi w:val="0"/>
              <w:spacing w:after="0" w:line="240" w:lineRule="auto"/>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2013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2014</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2015</w:t>
            </w:r>
          </w:p>
        </w:tc>
        <w:tc>
          <w:tcPr>
            <w:tcW w:w="0" w:type="auto"/>
            <w:tcBorders>
              <w:top w:val="single" w:sz="4" w:space="0" w:color="000000"/>
              <w:left w:val="single" w:sz="4" w:space="0" w:color="000000"/>
              <w:bottom w:val="single" w:sz="4" w:space="0" w:color="000000"/>
              <w:right w:val="single" w:sz="4" w:space="0" w:color="000000"/>
            </w:tcBorders>
            <w:textDirection w:val="lrTb"/>
            <w:vAlign w:val="center"/>
          </w:tcPr>
          <w:p w:rsidR="004A5FD3" w:rsidRPr="004A5FD3" w:rsidP="004A5FD3">
            <w:pPr>
              <w:bidi w:val="0"/>
              <w:spacing w:after="0" w:line="240" w:lineRule="auto"/>
              <w:rPr>
                <w:rFonts w:ascii="Times New Roman" w:hAnsi="Times New Roman" w:cs="Times New Roman"/>
                <w:sz w:val="24"/>
                <w:szCs w:val="24"/>
                <w:lang w:eastAsia="sk-SK"/>
              </w:rPr>
            </w:pPr>
          </w:p>
        </w:tc>
      </w:tr>
      <w:tr>
        <w:tblPrEx>
          <w:tblW w:w="124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Daňové príjmy (100)</w:t>
            </w:r>
            <w:r w:rsidRPr="004A5FD3">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0 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24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Nedaňové príjmy (200)</w:t>
            </w:r>
            <w:r w:rsidRPr="004A5FD3">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24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Granty a transfery (300)</w:t>
            </w:r>
            <w:r w:rsidRPr="004A5FD3">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24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24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0 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0 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24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color w:val="FFFFFF"/>
                <w:sz w:val="24"/>
                <w:szCs w:val="24"/>
                <w:lang w:eastAsia="sk-SK"/>
              </w:rPr>
              <w:t> </w:t>
            </w:r>
          </w:p>
        </w:tc>
      </w:tr>
      <w:tr>
        <w:tblPrEx>
          <w:tblW w:w="12450" w:type="dxa"/>
          <w:tblCellMar>
            <w:left w:w="0" w:type="dxa"/>
            <w:right w:w="0" w:type="dxa"/>
          </w:tblCellMar>
        </w:tblPrEx>
        <w:tc>
          <w:tcPr>
            <w:tcW w:w="495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300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r>
    </w:tbl>
    <w:p w:rsidR="004A5FD3" w:rsidRPr="004A5FD3" w:rsidP="004A5FD3">
      <w:pPr>
        <w:bidi w:val="0"/>
        <w:spacing w:after="0" w:line="240" w:lineRule="auto"/>
        <w:jc w:val="both"/>
        <w:rPr>
          <w:rFonts w:ascii="Times New Roman" w:hAnsi="Times New Roman" w:cs="Times New Roman"/>
          <w:sz w:val="20"/>
          <w:szCs w:val="20"/>
          <w:lang w:eastAsia="sk-SK"/>
        </w:rPr>
      </w:pPr>
    </w:p>
    <w:p w:rsidR="004A5FD3" w:rsidRPr="004A5FD3" w:rsidP="004A5FD3">
      <w:pPr>
        <w:bidi w:val="0"/>
        <w:spacing w:after="0" w:line="240" w:lineRule="auto"/>
        <w:jc w:val="both"/>
        <w:rPr>
          <w:rFonts w:ascii="Times New Roman" w:hAnsi="Times New Roman" w:cs="Times New Roman"/>
          <w:sz w:val="20"/>
          <w:szCs w:val="20"/>
          <w:lang w:eastAsia="sk-SK"/>
        </w:rPr>
      </w:pPr>
    </w:p>
    <w:p w:rsidR="004A5FD3" w:rsidRPr="004A5FD3" w:rsidP="004A5FD3">
      <w:pPr>
        <w:bidi w:val="0"/>
        <w:spacing w:after="0" w:line="240" w:lineRule="auto"/>
        <w:jc w:val="both"/>
        <w:rPr>
          <w:rFonts w:ascii="Times New Roman" w:hAnsi="Times New Roman" w:cs="Times New Roman"/>
          <w:lang w:eastAsia="sk-SK"/>
        </w:rPr>
      </w:pPr>
      <w:r w:rsidRPr="004A5FD3">
        <w:rPr>
          <w:rFonts w:ascii="Times New Roman" w:hAnsi="Times New Roman" w:cs="Times New Roman"/>
          <w:b/>
          <w:lang w:eastAsia="sk-SK"/>
        </w:rPr>
        <w:t>PROGRAM  08C – VEREJNÁ SPRÁVA (PODPROGRAM  08C02 – RIADIACA A KONTROLNÁ ČINNOSŤ VEREJNEJ SPRÁVY)</w:t>
      </w:r>
      <w:r w:rsidRPr="004A5FD3">
        <w:rPr>
          <w:rFonts w:ascii="Times New Roman" w:hAnsi="Times New Roman" w:cs="Times New Roman"/>
          <w:lang w:eastAsia="sk-SK"/>
        </w:rPr>
        <w:t xml:space="preserve">       </w:t>
      </w:r>
    </w:p>
    <w:p w:rsidR="004A5FD3" w:rsidRPr="004A5FD3" w:rsidP="004A5FD3">
      <w:pPr>
        <w:bidi w:val="0"/>
        <w:spacing w:after="0" w:line="240" w:lineRule="auto"/>
        <w:jc w:val="both"/>
        <w:rPr>
          <w:rFonts w:ascii="Times New Roman" w:hAnsi="Times New Roman" w:cs="Times New Roman"/>
          <w:sz w:val="20"/>
          <w:szCs w:val="20"/>
          <w:lang w:eastAsia="sk-SK"/>
        </w:rPr>
      </w:pPr>
      <w:r w:rsidRPr="004A5FD3">
        <w:rPr>
          <w:rFonts w:ascii="Times New Roman" w:hAnsi="Times New Roman" w:cs="Times New Roman"/>
          <w:lang w:eastAsia="sk-SK"/>
        </w:rPr>
        <w:t xml:space="preserve">            </w:t>
      </w:r>
      <w:r w:rsidRPr="004A5FD3">
        <w:rPr>
          <w:rFonts w:ascii="Times New Roman" w:hAnsi="Times New Roman" w:cs="Times New Roman"/>
          <w:sz w:val="20"/>
          <w:szCs w:val="20"/>
          <w:lang w:eastAsia="sk-SK"/>
        </w:rPr>
        <w:tab/>
        <w:tab/>
        <w:tab/>
        <w:tab/>
        <w:tab/>
        <w:tab/>
        <w:tab/>
        <w:tab/>
        <w:tab/>
        <w:tab/>
        <w:tab/>
        <w:tab/>
        <w:tab/>
        <w:tab/>
        <w:tab/>
        <w:tab/>
        <w:t xml:space="preserve">         </w:t>
      </w:r>
      <w:r w:rsidRPr="004A5FD3">
        <w:rPr>
          <w:rFonts w:ascii="Times New Roman" w:hAnsi="Times New Roman" w:cs="Times New Roman"/>
          <w:sz w:val="24"/>
          <w:szCs w:val="24"/>
          <w:lang w:eastAsia="sk-SK"/>
        </w:rPr>
        <w:t xml:space="preserve">Tabuľka č. 5 </w:t>
      </w:r>
    </w:p>
    <w:tbl>
      <w:tblPr>
        <w:tblStyle w:val="TableNormal"/>
        <w:tblW w:w="13910" w:type="dxa"/>
        <w:tblInd w:w="-451" w:type="dxa"/>
        <w:tblCellMar>
          <w:left w:w="0" w:type="dxa"/>
          <w:right w:w="0" w:type="dxa"/>
        </w:tblCellMar>
      </w:tblPr>
      <w:tblGrid>
        <w:gridCol w:w="7070"/>
        <w:gridCol w:w="1540"/>
        <w:gridCol w:w="680"/>
        <w:gridCol w:w="860"/>
        <w:gridCol w:w="1540"/>
        <w:gridCol w:w="2220"/>
      </w:tblGrid>
      <w:tr>
        <w:tblPrEx>
          <w:tblW w:w="13910" w:type="dxa"/>
          <w:tblInd w:w="-451" w:type="dxa"/>
          <w:tblCellMar>
            <w:left w:w="0" w:type="dxa"/>
            <w:right w:w="0" w:type="dxa"/>
          </w:tblCellMar>
        </w:tblPrEx>
        <w:trPr>
          <w:gridAfter w:val="3"/>
          <w:wAfter w:w="4620" w:type="dxa"/>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0"/>
                <w:szCs w:val="20"/>
                <w:lang w:eastAsia="sk-SK"/>
              </w:rPr>
              <w:t>Výdavky (v eurách)</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poznámka</w:t>
            </w:r>
          </w:p>
        </w:tc>
      </w:tr>
      <w:tr>
        <w:tblPrEx>
          <w:tblW w:w="13910" w:type="dxa"/>
          <w:tblInd w:w="-451" w:type="dxa"/>
          <w:tblCellMar>
            <w:left w:w="0" w:type="dxa"/>
            <w:right w:w="0" w:type="dxa"/>
          </w:tblCellMar>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A5FD3" w:rsidRPr="004A5FD3" w:rsidP="004A5FD3">
            <w:pPr>
              <w:bidi w:val="0"/>
              <w:spacing w:after="0" w:line="240" w:lineRule="auto"/>
              <w:rPr>
                <w:rFonts w:ascii="Times New Roman" w:hAnsi="Times New Roman" w:cs="Times New Roman"/>
                <w:sz w:val="24"/>
                <w:szCs w:val="24"/>
                <w:lang w:eastAsia="sk-SK"/>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0"/>
                <w:szCs w:val="20"/>
                <w:lang w:eastAsia="sk-SK"/>
              </w:rPr>
              <w:t>2013</w:t>
            </w:r>
          </w:p>
        </w:tc>
        <w:tc>
          <w:tcPr>
            <w:tcW w:w="1540" w:type="dxa"/>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0"/>
                <w:szCs w:val="20"/>
                <w:lang w:eastAsia="sk-SK"/>
              </w:rPr>
              <w:t>2014</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color w:val="FFFFFF"/>
                <w:sz w:val="20"/>
                <w:szCs w:val="20"/>
                <w:lang w:eastAsia="sk-SK"/>
              </w:rPr>
              <w:t>2015</w:t>
            </w:r>
          </w:p>
        </w:tc>
        <w:tc>
          <w:tcPr>
            <w:tcW w:w="0" w:type="auto"/>
            <w:tcBorders>
              <w:top w:val="single" w:sz="4" w:space="0" w:color="000000"/>
              <w:left w:val="single" w:sz="4" w:space="0" w:color="000000"/>
              <w:bottom w:val="single" w:sz="4" w:space="0" w:color="000000"/>
              <w:right w:val="single" w:sz="4" w:space="0" w:color="000000"/>
            </w:tcBorders>
            <w:textDirection w:val="lrTb"/>
            <w:vAlign w:val="center"/>
          </w:tcPr>
          <w:p w:rsidR="004A5FD3" w:rsidRPr="004A5FD3" w:rsidP="004A5FD3">
            <w:pPr>
              <w:bidi w:val="0"/>
              <w:spacing w:after="0" w:line="240" w:lineRule="auto"/>
              <w:rPr>
                <w:rFonts w:ascii="Times New Roman" w:hAnsi="Times New Roman" w:cs="Times New Roman"/>
                <w:sz w:val="24"/>
                <w:szCs w:val="24"/>
                <w:lang w:eastAsia="sk-SK"/>
              </w:rPr>
            </w:pP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221 987,86</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204 987,86 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sz w:val="20"/>
                <w:szCs w:val="20"/>
                <w:lang w:eastAsia="sk-SK"/>
              </w:rPr>
              <w:t>204 987,86 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145 971 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145 971 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sz w:val="20"/>
                <w:szCs w:val="20"/>
                <w:lang w:eastAsia="sk-SK"/>
              </w:rPr>
              <w:t>145 971 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51 016,86 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51 016,86 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sz w:val="20"/>
                <w:szCs w:val="20"/>
                <w:lang w:eastAsia="sk-SK"/>
              </w:rPr>
              <w:t>51 016,86 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Tovary a služby (630)</w:t>
            </w:r>
            <w:r w:rsidRPr="004A5FD3">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25 000 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8 000 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sz w:val="20"/>
                <w:szCs w:val="20"/>
                <w:lang w:eastAsia="sk-SK"/>
              </w:rPr>
              <w:t>8 000 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Bežné transfery (640)</w:t>
            </w:r>
            <w:r w:rsidRPr="004A5FD3">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0</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sz w:val="20"/>
                <w:szCs w:val="20"/>
                <w:lang w:eastAsia="sk-SK"/>
              </w:rPr>
              <w:t>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Splácanie úrokov a ostatné platby súvisiace s úvermi, pôžičkami a NFV (650)</w:t>
            </w:r>
            <w:r w:rsidRPr="004A5FD3">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0</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sz w:val="20"/>
                <w:szCs w:val="20"/>
                <w:lang w:eastAsia="sk-SK"/>
              </w:rPr>
              <w:t>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15 500</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sz w:val="20"/>
                <w:szCs w:val="20"/>
                <w:lang w:eastAsia="sk-SK"/>
              </w:rPr>
              <w:t>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Obstarávanie kapitálových aktív (710)</w:t>
            </w:r>
            <w:r w:rsidRPr="004A5FD3">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15 500 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sz w:val="20"/>
                <w:szCs w:val="20"/>
                <w:lang w:eastAsia="sk-SK"/>
              </w:rPr>
              <w:t xml:space="preserve"> 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Kapitálové transfery (720)</w:t>
            </w:r>
            <w:r w:rsidRPr="004A5FD3">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sz w:val="20"/>
                <w:szCs w:val="20"/>
                <w:lang w:eastAsia="sk-SK"/>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 </w:t>
            </w:r>
          </w:p>
        </w:tc>
        <w:tc>
          <w:tcPr>
            <w:tcW w:w="1540" w:type="dxa"/>
            <w:gridSpan w:val="2"/>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sz w:val="20"/>
                <w:szCs w:val="20"/>
                <w:lang w:eastAsia="sk-SK"/>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color w:val="FFFFFF"/>
                <w:sz w:val="20"/>
                <w:szCs w:val="20"/>
                <w:lang w:eastAsia="sk-SK"/>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0"/>
                <w:szCs w:val="20"/>
                <w:lang w:eastAsia="sk-SK"/>
              </w:rPr>
              <w:t>237 487,86</w:t>
            </w:r>
          </w:p>
        </w:tc>
        <w:tc>
          <w:tcPr>
            <w:tcW w:w="1540" w:type="dxa"/>
            <w:gridSpan w:val="2"/>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0"/>
                <w:szCs w:val="20"/>
                <w:lang w:eastAsia="sk-SK"/>
              </w:rPr>
              <w:t>204 987,86 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color w:val="FFFFFF"/>
                <w:sz w:val="20"/>
                <w:szCs w:val="20"/>
                <w:lang w:eastAsia="sk-SK"/>
              </w:rPr>
              <w:t>204 987,86 </w:t>
            </w:r>
          </w:p>
        </w:tc>
        <w:tc>
          <w:tcPr>
            <w:tcW w:w="222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0"/>
                <w:szCs w:val="20"/>
                <w:lang w:eastAsia="sk-SK"/>
              </w:rPr>
            </w:pPr>
            <w:r w:rsidRPr="004A5FD3">
              <w:rPr>
                <w:rFonts w:ascii="Times New Roman" w:hAnsi="Times New Roman" w:cs="Times New Roman"/>
                <w:color w:val="FFFFFF"/>
                <w:sz w:val="20"/>
                <w:szCs w:val="20"/>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237 487,86</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204 987,86 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sz w:val="20"/>
                <w:szCs w:val="20"/>
                <w:lang w:eastAsia="sk-SK"/>
              </w:rPr>
              <w:t>204 987,86</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Bežné výdavky</w:t>
            </w:r>
            <w:r w:rsidRPr="004A5FD3">
              <w:rPr>
                <w:rFonts w:ascii="Times New Roman" w:hAnsi="Times New Roman" w:cs="Times New Roman"/>
                <w:b/>
                <w:bCs/>
                <w:sz w:val="20"/>
                <w:szCs w:val="20"/>
                <w:lang w:eastAsia="sk-SK"/>
              </w:rPr>
              <w:t xml:space="preserve"> </w:t>
            </w:r>
            <w:r w:rsidRPr="004A5FD3">
              <w:rPr>
                <w:rFonts w:ascii="Times New Roman" w:hAnsi="Times New Roman" w:cs="Times New Roman"/>
                <w:sz w:val="20"/>
                <w:szCs w:val="20"/>
                <w:lang w:eastAsia="sk-SK"/>
              </w:rPr>
              <w:t>(600)</w:t>
            </w:r>
            <w:r w:rsidRPr="004A5FD3">
              <w:rPr>
                <w:rFonts w:ascii="Times New Roman" w:hAnsi="Times New Roman" w:cs="Times New Roman"/>
                <w:b/>
                <w:bCs/>
                <w:sz w:val="20"/>
                <w:szCs w:val="20"/>
                <w:lang w:eastAsia="sk-SK"/>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 221 987,86</w:t>
            </w:r>
          </w:p>
        </w:tc>
        <w:tc>
          <w:tcPr>
            <w:tcW w:w="1540"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204 987,86 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sz w:val="20"/>
                <w:szCs w:val="20"/>
                <w:lang w:eastAsia="sk-SK"/>
              </w:rPr>
              <w:t>204 987,86 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    </w:t>
            </w:r>
            <w:r w:rsidRPr="004A5FD3">
              <w:rPr>
                <w:rFonts w:ascii="Times New Roman" w:hAnsi="Times New Roman" w:cs="Times New Roman"/>
                <w:sz w:val="20"/>
                <w:szCs w:val="20"/>
                <w:lang w:eastAsia="sk-SK"/>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145 971</w:t>
            </w:r>
          </w:p>
        </w:tc>
        <w:tc>
          <w:tcPr>
            <w:tcW w:w="1540"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145 971 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sz w:val="20"/>
                <w:szCs w:val="20"/>
                <w:lang w:eastAsia="sk-SK"/>
              </w:rPr>
              <w:t>145 971 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15 500 </w:t>
            </w:r>
          </w:p>
        </w:tc>
        <w:tc>
          <w:tcPr>
            <w:tcW w:w="1540"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sz w:val="20"/>
                <w:szCs w:val="20"/>
                <w:lang w:eastAsia="sk-SK"/>
              </w:rPr>
              <w:t>0 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0 </w:t>
            </w:r>
          </w:p>
        </w:tc>
        <w:tc>
          <w:tcPr>
            <w:tcW w:w="1540"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0 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sz w:val="20"/>
                <w:szCs w:val="20"/>
                <w:lang w:eastAsia="sk-SK"/>
              </w:rPr>
              <w:t>0 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c>
          <w:tcPr>
            <w:tcW w:w="707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54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540" w:type="dxa"/>
            <w:gridSpan w:val="2"/>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54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222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r>
    </w:tbl>
    <w:p w:rsidR="004A5FD3" w:rsidRPr="004A5FD3" w:rsidP="004A5FD3">
      <w:pPr>
        <w:bidi w:val="0"/>
        <w:spacing w:after="0" w:line="240" w:lineRule="auto"/>
        <w:jc w:val="both"/>
        <w:rPr>
          <w:rFonts w:ascii="Times New Roman" w:hAnsi="Times New Roman" w:cs="Times New Roman"/>
          <w:sz w:val="20"/>
          <w:szCs w:val="20"/>
          <w:lang w:eastAsia="sk-SK"/>
        </w:rPr>
      </w:pPr>
    </w:p>
    <w:p w:rsidR="004A5FD3" w:rsidRPr="004A5FD3" w:rsidP="004A5FD3">
      <w:pPr>
        <w:bidi w:val="0"/>
        <w:spacing w:after="0" w:line="240" w:lineRule="auto"/>
        <w:jc w:val="both"/>
        <w:rPr>
          <w:rFonts w:ascii="Times New Roman" w:hAnsi="Times New Roman" w:cs="Times New Roman"/>
          <w:b/>
          <w:lang w:eastAsia="sk-SK"/>
        </w:rPr>
      </w:pPr>
      <w:r w:rsidRPr="004A5FD3">
        <w:rPr>
          <w:rFonts w:ascii="Times New Roman" w:hAnsi="Times New Roman" w:cs="Times New Roman"/>
          <w:b/>
          <w:lang w:eastAsia="sk-SK"/>
        </w:rPr>
        <w:t>PROGRAM  06V – OCHRANA VEREJNÉHO PORIADKU A BEZPEČNOSTI</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0"/>
          <w:szCs w:val="20"/>
          <w:lang w:eastAsia="sk-SK"/>
        </w:rPr>
        <w:t xml:space="preserve">                                                                                                                                                                                                                                           </w:t>
      </w:r>
      <w:r w:rsidRPr="004A5FD3">
        <w:rPr>
          <w:rFonts w:ascii="Times New Roman" w:hAnsi="Times New Roman" w:cs="Times New Roman"/>
          <w:sz w:val="24"/>
          <w:szCs w:val="24"/>
          <w:lang w:eastAsia="sk-SK"/>
        </w:rPr>
        <w:t xml:space="preserve">Tabuľka č. 5 </w:t>
      </w:r>
    </w:p>
    <w:tbl>
      <w:tblPr>
        <w:tblStyle w:val="TableNormal"/>
        <w:tblW w:w="13910" w:type="dxa"/>
        <w:tblInd w:w="-451" w:type="dxa"/>
        <w:tblCellMar>
          <w:left w:w="0" w:type="dxa"/>
          <w:right w:w="0" w:type="dxa"/>
        </w:tblCellMar>
      </w:tblPr>
      <w:tblGrid>
        <w:gridCol w:w="7070"/>
        <w:gridCol w:w="1540"/>
        <w:gridCol w:w="680"/>
        <w:gridCol w:w="860"/>
        <w:gridCol w:w="1540"/>
        <w:gridCol w:w="2220"/>
      </w:tblGrid>
      <w:tr>
        <w:tblPrEx>
          <w:tblW w:w="13910" w:type="dxa"/>
          <w:tblInd w:w="-451" w:type="dxa"/>
          <w:tblCellMar>
            <w:left w:w="0" w:type="dxa"/>
            <w:right w:w="0" w:type="dxa"/>
          </w:tblCellMar>
        </w:tblPrEx>
        <w:trPr>
          <w:gridAfter w:val="3"/>
          <w:wAfter w:w="4620" w:type="dxa"/>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0"/>
                <w:szCs w:val="20"/>
                <w:lang w:eastAsia="sk-SK"/>
              </w:rPr>
              <w:t>Výdavky (v eurách)</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poznámka</w:t>
            </w:r>
          </w:p>
        </w:tc>
      </w:tr>
      <w:tr>
        <w:tblPrEx>
          <w:tblW w:w="13910" w:type="dxa"/>
          <w:tblInd w:w="-451" w:type="dxa"/>
          <w:tblCellMar>
            <w:left w:w="0" w:type="dxa"/>
            <w:right w:w="0" w:type="dxa"/>
          </w:tblCellMar>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A5FD3" w:rsidRPr="004A5FD3" w:rsidP="004A5FD3">
            <w:pPr>
              <w:bidi w:val="0"/>
              <w:spacing w:after="0" w:line="240" w:lineRule="auto"/>
              <w:rPr>
                <w:rFonts w:ascii="Times New Roman" w:hAnsi="Times New Roman" w:cs="Times New Roman"/>
                <w:sz w:val="24"/>
                <w:szCs w:val="24"/>
                <w:lang w:eastAsia="sk-SK"/>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0"/>
                <w:szCs w:val="20"/>
                <w:lang w:eastAsia="sk-SK"/>
              </w:rPr>
              <w:t>2013</w:t>
            </w:r>
          </w:p>
        </w:tc>
        <w:tc>
          <w:tcPr>
            <w:tcW w:w="1540" w:type="dxa"/>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0"/>
                <w:szCs w:val="20"/>
                <w:lang w:eastAsia="sk-SK"/>
              </w:rPr>
              <w:t>2014</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color w:val="FFFFFF"/>
                <w:sz w:val="20"/>
                <w:szCs w:val="20"/>
                <w:lang w:eastAsia="sk-SK"/>
              </w:rPr>
              <w:t>2015</w:t>
            </w:r>
          </w:p>
        </w:tc>
        <w:tc>
          <w:tcPr>
            <w:tcW w:w="0" w:type="auto"/>
            <w:tcBorders>
              <w:top w:val="single" w:sz="4" w:space="0" w:color="000000"/>
              <w:left w:val="single" w:sz="4" w:space="0" w:color="000000"/>
              <w:bottom w:val="single" w:sz="4" w:space="0" w:color="000000"/>
              <w:right w:val="single" w:sz="4" w:space="0" w:color="000000"/>
            </w:tcBorders>
            <w:textDirection w:val="lrTb"/>
            <w:vAlign w:val="center"/>
          </w:tcPr>
          <w:p w:rsidR="004A5FD3" w:rsidRPr="004A5FD3" w:rsidP="004A5FD3">
            <w:pPr>
              <w:bidi w:val="0"/>
              <w:spacing w:after="0" w:line="240" w:lineRule="auto"/>
              <w:rPr>
                <w:rFonts w:ascii="Times New Roman" w:hAnsi="Times New Roman" w:cs="Times New Roman"/>
                <w:sz w:val="24"/>
                <w:szCs w:val="24"/>
                <w:lang w:eastAsia="sk-SK"/>
              </w:rPr>
            </w:pP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3 387 000 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3 387 000 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sz w:val="20"/>
                <w:szCs w:val="20"/>
                <w:lang w:eastAsia="sk-SK"/>
              </w:rPr>
              <w:t>3 387 000 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 xml:space="preserve">  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sz w:val="20"/>
                <w:szCs w:val="20"/>
                <w:lang w:eastAsia="sk-SK"/>
              </w:rPr>
              <w:t>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 0</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sz w:val="20"/>
                <w:szCs w:val="20"/>
                <w:lang w:eastAsia="sk-SK"/>
              </w:rPr>
              <w:t>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Tovary a služby (630)</w:t>
            </w:r>
            <w:r w:rsidRPr="004A5FD3">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3 387 000  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3 387 000  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3 387 000  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635009 Softvér</w:t>
            </w:r>
            <w:r>
              <w:rPr>
                <w:rFonts w:ascii="Times New Roman" w:hAnsi="Times New Roman" w:cs="Times New Roman"/>
                <w:sz w:val="24"/>
                <w:szCs w:val="24"/>
                <w:vertAlign w:val="superscript"/>
                <w:rtl w:val="0"/>
                <w:lang w:eastAsia="sk-SK"/>
              </w:rPr>
              <w:footnoteReference w:id="2"/>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Bežné transfery (640)</w:t>
            </w:r>
            <w:r w:rsidRPr="004A5FD3">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 0</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sz w:val="20"/>
                <w:szCs w:val="20"/>
                <w:lang w:eastAsia="sk-SK"/>
              </w:rPr>
              <w:t>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Splácanie úrokov a ostatné platby súvisiace s úvermi, pôžičkami a NFV (650)</w:t>
            </w:r>
            <w:r w:rsidRPr="004A5FD3">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sz w:val="20"/>
                <w:szCs w:val="20"/>
                <w:lang w:eastAsia="sk-SK"/>
              </w:rPr>
              <w:t>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sz w:val="20"/>
                <w:szCs w:val="20"/>
                <w:lang w:eastAsia="sk-SK"/>
              </w:rPr>
              <w:t>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Obstarávanie kapitálových aktív (710)</w:t>
            </w:r>
            <w:r w:rsidRPr="004A5FD3">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sz w:val="20"/>
                <w:szCs w:val="20"/>
                <w:lang w:eastAsia="sk-SK"/>
              </w:rPr>
              <w:t>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Kapitálové transfery (720)</w:t>
            </w:r>
            <w:r w:rsidRPr="004A5FD3">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sz w:val="20"/>
                <w:szCs w:val="20"/>
                <w:lang w:eastAsia="sk-SK"/>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 </w:t>
            </w:r>
          </w:p>
        </w:tc>
        <w:tc>
          <w:tcPr>
            <w:tcW w:w="1540" w:type="dxa"/>
            <w:gridSpan w:val="2"/>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color w:val="FFFFFF"/>
                <w:sz w:val="20"/>
                <w:szCs w:val="20"/>
                <w:lang w:eastAsia="sk-SK"/>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0"/>
                <w:szCs w:val="20"/>
                <w:lang w:eastAsia="sk-SK"/>
              </w:rPr>
              <w:t> 3 387 000</w:t>
            </w:r>
          </w:p>
        </w:tc>
        <w:tc>
          <w:tcPr>
            <w:tcW w:w="1540" w:type="dxa"/>
            <w:gridSpan w:val="2"/>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0"/>
                <w:szCs w:val="20"/>
                <w:lang w:eastAsia="sk-SK"/>
              </w:rPr>
              <w:t>3 387 000 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color w:val="FFFFFF"/>
                <w:sz w:val="20"/>
                <w:szCs w:val="20"/>
                <w:lang w:eastAsia="sk-SK"/>
              </w:rPr>
              <w:t>3 387 000 </w:t>
            </w:r>
          </w:p>
        </w:tc>
        <w:tc>
          <w:tcPr>
            <w:tcW w:w="222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color w:val="FFFFFF"/>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3 387 000 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3 387 000 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sz w:val="20"/>
                <w:szCs w:val="20"/>
                <w:lang w:eastAsia="sk-SK"/>
              </w:rPr>
              <w:t>3 387 000 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Bežné výdavky</w:t>
            </w:r>
            <w:r w:rsidRPr="004A5FD3">
              <w:rPr>
                <w:rFonts w:ascii="Times New Roman" w:hAnsi="Times New Roman" w:cs="Times New Roman"/>
                <w:b/>
                <w:bCs/>
                <w:sz w:val="20"/>
                <w:szCs w:val="20"/>
                <w:lang w:eastAsia="sk-SK"/>
              </w:rPr>
              <w:t xml:space="preserve"> </w:t>
            </w:r>
            <w:r w:rsidRPr="004A5FD3">
              <w:rPr>
                <w:rFonts w:ascii="Times New Roman" w:hAnsi="Times New Roman" w:cs="Times New Roman"/>
                <w:sz w:val="20"/>
                <w:szCs w:val="20"/>
                <w:lang w:eastAsia="sk-SK"/>
              </w:rPr>
              <w:t>(600)</w:t>
            </w:r>
            <w:r w:rsidRPr="004A5FD3">
              <w:rPr>
                <w:rFonts w:ascii="Times New Roman" w:hAnsi="Times New Roman" w:cs="Times New Roman"/>
                <w:b/>
                <w:bCs/>
                <w:sz w:val="20"/>
                <w:szCs w:val="20"/>
                <w:lang w:eastAsia="sk-SK"/>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3 387 000 </w:t>
            </w:r>
          </w:p>
        </w:tc>
        <w:tc>
          <w:tcPr>
            <w:tcW w:w="1540"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3 387 000 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sz w:val="20"/>
                <w:szCs w:val="20"/>
                <w:lang w:eastAsia="sk-SK"/>
              </w:rPr>
              <w:t>3 387 000 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    </w:t>
            </w:r>
            <w:r w:rsidRPr="004A5FD3">
              <w:rPr>
                <w:rFonts w:ascii="Times New Roman" w:hAnsi="Times New Roman" w:cs="Times New Roman"/>
                <w:sz w:val="20"/>
                <w:szCs w:val="20"/>
                <w:lang w:eastAsia="sk-SK"/>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 0</w:t>
            </w:r>
          </w:p>
        </w:tc>
        <w:tc>
          <w:tcPr>
            <w:tcW w:w="1540"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 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sz w:val="20"/>
                <w:szCs w:val="20"/>
                <w:lang w:eastAsia="sk-SK"/>
              </w:rPr>
              <w:t>0 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0"/>
                <w:szCs w:val="20"/>
                <w:lang w:eastAsia="sk-SK"/>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0 </w:t>
            </w:r>
          </w:p>
        </w:tc>
        <w:tc>
          <w:tcPr>
            <w:tcW w:w="1540"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0"/>
                <w:szCs w:val="20"/>
                <w:lang w:eastAsia="sk-SK"/>
              </w:rPr>
              <w:t>0 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0"/>
                <w:szCs w:val="20"/>
                <w:lang w:eastAsia="sk-SK"/>
              </w:rPr>
            </w:pPr>
            <w:r w:rsidRPr="004A5FD3">
              <w:rPr>
                <w:rFonts w:ascii="Times New Roman" w:hAnsi="Times New Roman" w:cs="Times New Roman"/>
                <w:b/>
                <w:bCs/>
                <w:sz w:val="20"/>
                <w:szCs w:val="20"/>
                <w:lang w:eastAsia="sk-SK"/>
              </w:rPr>
              <w:t>0 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bl>
    <w:p w:rsidR="004A5FD3" w:rsidRPr="004A5FD3" w:rsidP="004A5FD3">
      <w:pPr>
        <w:bidi w:val="0"/>
        <w:spacing w:after="0" w:line="240" w:lineRule="auto"/>
        <w:jc w:val="both"/>
        <w:rPr>
          <w:rFonts w:ascii="Times New Roman" w:hAnsi="Times New Roman" w:cs="Times New Roman"/>
          <w:sz w:val="20"/>
          <w:szCs w:val="20"/>
          <w:lang w:eastAsia="sk-SK"/>
        </w:rPr>
      </w:pPr>
    </w:p>
    <w:p w:rsidR="004A5FD3" w:rsidRPr="004A5FD3" w:rsidP="004A5FD3">
      <w:pPr>
        <w:bidi w:val="0"/>
        <w:spacing w:after="0" w:line="240" w:lineRule="auto"/>
        <w:jc w:val="both"/>
        <w:rPr>
          <w:rFonts w:ascii="Times New Roman" w:hAnsi="Times New Roman" w:cs="Times New Roman"/>
          <w:sz w:val="20"/>
          <w:szCs w:val="20"/>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0"/>
          <w:szCs w:val="20"/>
          <w:lang w:eastAsia="sk-SK"/>
        </w:rPr>
        <w:t xml:space="preserve">                                                                                                                                                                                                                       </w:t>
      </w:r>
      <w:r w:rsidRPr="004A5FD3">
        <w:rPr>
          <w:rFonts w:ascii="Times New Roman" w:hAnsi="Times New Roman" w:cs="Times New Roman"/>
          <w:sz w:val="24"/>
          <w:szCs w:val="24"/>
          <w:lang w:eastAsia="sk-SK"/>
        </w:rPr>
        <w:t>                </w:t>
      </w: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sz w:val="24"/>
          <w:szCs w:val="24"/>
          <w:lang w:eastAsia="sk-SK"/>
        </w:rPr>
      </w:pPr>
    </w:p>
    <w:p w:rsidR="004A5FD3" w:rsidRPr="004A5FD3" w:rsidP="004A5FD3">
      <w:pPr>
        <w:bidi w:val="0"/>
        <w:spacing w:after="0" w:line="240" w:lineRule="auto"/>
        <w:jc w:val="both"/>
        <w:rPr>
          <w:rFonts w:ascii="Times New Roman" w:hAnsi="Times New Roman" w:cs="Times New Roman"/>
          <w:b/>
          <w:lang w:eastAsia="sk-SK"/>
        </w:rPr>
      </w:pPr>
    </w:p>
    <w:p w:rsidR="004A5FD3" w:rsidRPr="004A5FD3" w:rsidP="004A5FD3">
      <w:pPr>
        <w:bidi w:val="0"/>
        <w:spacing w:after="0" w:line="240" w:lineRule="auto"/>
        <w:jc w:val="both"/>
        <w:rPr>
          <w:rFonts w:ascii="Times New Roman" w:hAnsi="Times New Roman" w:cs="Times New Roman"/>
          <w:lang w:eastAsia="sk-SK"/>
        </w:rPr>
      </w:pPr>
      <w:r w:rsidRPr="004A5FD3">
        <w:rPr>
          <w:rFonts w:ascii="Times New Roman" w:hAnsi="Times New Roman" w:cs="Times New Roman"/>
          <w:b/>
          <w:lang w:eastAsia="sk-SK"/>
        </w:rPr>
        <w:t>PROGRAM  08C – VEREJNÁ SPRÁVA (PODPROGRAM  08C02 – RIADIACA A KONTROLNÁ ČINNOSŤ VEREJNEJ SPRÁVY)</w:t>
      </w:r>
      <w:r w:rsidRPr="004A5FD3">
        <w:rPr>
          <w:rFonts w:ascii="Times New Roman" w:hAnsi="Times New Roman" w:cs="Times New Roman"/>
          <w:lang w:eastAsia="sk-SK"/>
        </w:rPr>
        <w:t xml:space="preserve">       </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ab/>
        <w:tab/>
        <w:tab/>
        <w:tab/>
        <w:tab/>
        <w:tab/>
        <w:tab/>
        <w:tab/>
        <w:tab/>
        <w:tab/>
        <w:tab/>
        <w:tab/>
        <w:tab/>
        <w:tab/>
        <w:tab/>
        <w:tab/>
        <w:t xml:space="preserve">       Tabuľka č. 6 </w:t>
      </w:r>
    </w:p>
    <w:tbl>
      <w:tblPr>
        <w:tblStyle w:val="TableNormal"/>
        <w:tblpPr w:leftFromText="141" w:rightFromText="141" w:vertAnchor="text" w:horzAnchor="margin" w:tblpXSpec="center" w:tblpY="170"/>
        <w:tblW w:w="13614" w:type="dxa"/>
        <w:tblCellMar>
          <w:left w:w="0" w:type="dxa"/>
          <w:right w:w="0" w:type="dxa"/>
        </w:tblCellMar>
      </w:tblPr>
      <w:tblGrid>
        <w:gridCol w:w="2777"/>
        <w:gridCol w:w="100"/>
        <w:gridCol w:w="100"/>
        <w:gridCol w:w="2857"/>
        <w:gridCol w:w="1569"/>
        <w:gridCol w:w="554"/>
        <w:gridCol w:w="1430"/>
        <w:gridCol w:w="1523"/>
        <w:gridCol w:w="874"/>
        <w:gridCol w:w="1830"/>
      </w:tblGrid>
      <w:tr>
        <w:tblPrEx>
          <w:tblW w:w="13614" w:type="dxa"/>
          <w:tblCellMar>
            <w:left w:w="0" w:type="dxa"/>
            <w:right w:w="0" w:type="dxa"/>
          </w:tblCellMar>
        </w:tblPrEx>
        <w:trPr>
          <w:gridAfter w:val="4"/>
          <w:wAfter w:w="5203" w:type="dxa"/>
          <w:trHeight w:val="255"/>
        </w:trPr>
        <w:tc>
          <w:tcPr>
            <w:tcW w:w="5932" w:type="dxa"/>
            <w:gridSpan w:val="4"/>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Zamestnanosť</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poznámka</w:t>
            </w:r>
          </w:p>
        </w:tc>
      </w:tr>
      <w:tr>
        <w:tblPrEx>
          <w:tblW w:w="13614" w:type="dxa"/>
          <w:tblCellMar>
            <w:left w:w="0" w:type="dxa"/>
            <w:right w:w="0" w:type="dxa"/>
          </w:tblCellMar>
        </w:tblPrEx>
        <w:trPr>
          <w:trHeight w:val="255"/>
        </w:trPr>
        <w:tc>
          <w:tcPr>
            <w:tcW w:w="5932" w:type="dxa"/>
            <w:gridSpan w:val="4"/>
            <w:vMerge/>
            <w:tcBorders>
              <w:top w:val="single" w:sz="4" w:space="0" w:color="000000"/>
              <w:left w:val="single" w:sz="4" w:space="0" w:color="000000"/>
              <w:bottom w:val="single" w:sz="4" w:space="0" w:color="000000"/>
              <w:right w:val="single" w:sz="4" w:space="0" w:color="000000"/>
            </w:tcBorders>
            <w:textDirection w:val="lrTb"/>
            <w:vAlign w:val="center"/>
          </w:tcPr>
          <w:p w:rsidR="004A5FD3" w:rsidRPr="004A5FD3" w:rsidP="004A5FD3">
            <w:pPr>
              <w:bidi w:val="0"/>
              <w:spacing w:after="0" w:line="240" w:lineRule="auto"/>
              <w:rPr>
                <w:rFonts w:ascii="Times New Roman" w:hAnsi="Times New Roman" w:cs="Times New Roman"/>
                <w:sz w:val="24"/>
                <w:szCs w:val="24"/>
                <w:lang w:eastAsia="sk-SK"/>
              </w:rPr>
            </w:pPr>
          </w:p>
        </w:tc>
        <w:tc>
          <w:tcPr>
            <w:tcW w:w="15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2013</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2014</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2015</w:t>
            </w:r>
          </w:p>
        </w:tc>
        <w:tc>
          <w:tcPr>
            <w:tcW w:w="0" w:type="auto"/>
            <w:gridSpan w:val="2"/>
            <w:tcBorders>
              <w:top w:val="single" w:sz="4" w:space="0" w:color="000000"/>
              <w:left w:val="single" w:sz="4" w:space="0" w:color="000000"/>
              <w:bottom w:val="single" w:sz="4" w:space="0" w:color="000000"/>
              <w:right w:val="single" w:sz="4" w:space="0" w:color="000000"/>
            </w:tcBorders>
            <w:textDirection w:val="lrTb"/>
            <w:vAlign w:val="center"/>
          </w:tcPr>
          <w:p w:rsidR="004A5FD3" w:rsidRPr="004A5FD3" w:rsidP="004A5FD3">
            <w:pPr>
              <w:bidi w:val="0"/>
              <w:spacing w:after="0" w:line="240" w:lineRule="auto"/>
              <w:rPr>
                <w:rFonts w:ascii="Times New Roman" w:hAnsi="Times New Roman" w:cs="Times New Roman"/>
                <w:sz w:val="24"/>
                <w:szCs w:val="24"/>
                <w:lang w:eastAsia="sk-SK"/>
              </w:rPr>
            </w:pP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Počet zamestnancov celkom*</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10 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10 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10 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z toho vplyv na ŠR</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10 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10 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10 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Priemerný mzdový výdavok (v eurách)*</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1 216 ,50 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1 216,50 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1 216,50 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z toho vplyv na ŠR</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1 216,50 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1 216,50 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1 216,50 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Osobné výdavky celkom (v eurách)</w:t>
            </w:r>
          </w:p>
        </w:tc>
        <w:tc>
          <w:tcPr>
            <w:tcW w:w="1598"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 </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color w:val="FFFFFF"/>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xml:space="preserve">Mzdy, platy, služobné príjmy a ostatné osobné vyrovnania (610)*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145 971 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145 971 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145 971 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z toho vplyv na ŠR</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145 971 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145 971 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 145 971</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Poistné a príspevok do poisťovní (620)*</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51 016,86 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51 016,86 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51 016,86</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z toho vplyv na ŠR</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51 016,86 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51 016,86 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A5FD3" w:rsidRPr="004A5FD3" w:rsidP="004A5FD3">
            <w:pPr>
              <w:bidi w:val="0"/>
              <w:spacing w:after="0" w:line="240" w:lineRule="auto"/>
              <w:jc w:val="center"/>
              <w:rPr>
                <w:rFonts w:ascii="Times New Roman" w:hAnsi="Times New Roman" w:cs="Times New Roman"/>
                <w:sz w:val="24"/>
                <w:szCs w:val="24"/>
                <w:lang w:eastAsia="sk-SK"/>
              </w:rPr>
            </w:pPr>
            <w:r w:rsidRPr="004A5FD3">
              <w:rPr>
                <w:rFonts w:ascii="Times New Roman" w:hAnsi="Times New Roman" w:cs="Times New Roman"/>
                <w:sz w:val="24"/>
                <w:szCs w:val="24"/>
                <w:lang w:eastAsia="sk-SK"/>
              </w:rPr>
              <w:t>51 016,86 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none" w:sz="0" w:space="0" w:color="auto"/>
              <w:bottom w:val="none" w:sz="0" w:space="0" w:color="auto"/>
              <w:right w:val="none" w:sz="0" w:space="0" w:color="auto"/>
            </w:tcBorders>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none" w:sz="0" w:space="0" w:color="auto"/>
              <w:bottom w:val="none" w:sz="0" w:space="0" w:color="auto"/>
              <w:right w:val="none" w:sz="0" w:space="0" w:color="auto"/>
            </w:tcBorders>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Poznámky:</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614" w:type="dxa"/>
          <w:tblCellMar>
            <w:left w:w="0" w:type="dxa"/>
            <w:right w:w="0" w:type="dxa"/>
          </w:tblCellMar>
        </w:tblPrEx>
        <w:trPr>
          <w:gridAfter w:val="8"/>
          <w:wAfter w:w="11135" w:type="dxa"/>
          <w:trHeight w:val="255"/>
        </w:trPr>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614" w:type="dxa"/>
          <w:tblCellMar>
            <w:left w:w="0" w:type="dxa"/>
            <w:right w:w="0" w:type="dxa"/>
          </w:tblCellMar>
        </w:tblPrEx>
        <w:trPr>
          <w:gridAfter w:val="6"/>
          <w:wAfter w:w="8094" w:type="dxa"/>
          <w:trHeight w:val="255"/>
        </w:trPr>
        <w:tc>
          <w:tcPr>
            <w:tcW w:w="149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c>
          <w:tcPr>
            <w:tcW w:w="1546"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tc>
      </w:tr>
      <w:tr>
        <w:tblPrEx>
          <w:tblW w:w="13614" w:type="dxa"/>
          <w:tblCellMar>
            <w:left w:w="0" w:type="dxa"/>
            <w:right w:w="0" w:type="dxa"/>
          </w:tblCellMar>
        </w:tblPrEx>
        <w:tc>
          <w:tcPr>
            <w:tcW w:w="5932" w:type="dxa"/>
            <w:gridSpan w:val="4"/>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598"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564"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491"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550"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933"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c>
          <w:tcPr>
            <w:tcW w:w="1546" w:type="dxa"/>
            <w:tcBorders>
              <w:top w:val="nil"/>
              <w:left w:val="nil"/>
              <w:bottom w:val="nil"/>
              <w:right w:val="nil"/>
            </w:tcBorders>
            <w:textDirection w:val="lrTb"/>
            <w:vAlign w:val="center"/>
          </w:tcPr>
          <w:p w:rsidR="004A5FD3" w:rsidRPr="004A5FD3" w:rsidP="004A5FD3">
            <w:pPr>
              <w:bidi w:val="0"/>
              <w:spacing w:after="0" w:line="240" w:lineRule="auto"/>
              <w:rPr>
                <w:rFonts w:ascii="Times New Roman" w:hAnsi="Times New Roman" w:cs="Times New Roman"/>
                <w:sz w:val="2"/>
                <w:szCs w:val="24"/>
                <w:lang w:eastAsia="sk-SK"/>
              </w:rPr>
            </w:pPr>
          </w:p>
        </w:tc>
      </w:tr>
    </w:tbl>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 počet zamestnancov,  mzdy a poistné rozpísať podľa spôsobu odmeňovania (napr. policajti, colníci ...)</w:t>
      </w:r>
    </w:p>
    <w:p w:rsidR="004A5FD3" w:rsidRPr="004A5FD3" w:rsidP="004A5FD3">
      <w:pPr>
        <w:bidi w:val="0"/>
        <w:spacing w:after="0" w:line="240" w:lineRule="auto"/>
        <w:jc w:val="both"/>
        <w:rPr>
          <w:rFonts w:ascii="Times New Roman" w:hAnsi="Times New Roman" w:cs="Times New Roman"/>
          <w:sz w:val="24"/>
          <w:szCs w:val="24"/>
          <w:lang w:eastAsia="sk-SK"/>
        </w:rPr>
        <w:sectPr w:rsidSect="004A5FD3">
          <w:pgSz w:w="15840" w:h="12240" w:orient="landscape"/>
          <w:pgMar w:top="1418" w:right="1418" w:bottom="1418" w:left="1418" w:header="709" w:footer="709" w:gutter="0"/>
          <w:lnNumType w:distance="0"/>
          <w:cols w:space="708"/>
          <w:noEndnote w:val="0"/>
          <w:bidi w:val="0"/>
        </w:sectPr>
      </w:pPr>
      <w:r w:rsidRPr="004A5FD3">
        <w:rPr>
          <w:rFonts w:ascii="Times New Roman" w:hAnsi="Times New Roman" w:cs="Times New Roman"/>
          <w:sz w:val="24"/>
          <w:szCs w:val="24"/>
          <w:lang w:eastAsia="sk-SK"/>
        </w:rPr>
        <w:t>Predložený návrh zákona prináša dopad na štátny rozpočet v dôsledku zvýšenia počtu funkčných miest o 10 zamestnancov a s tým súvisiace výdavky na mzdy, platy, služobné príjmy a ostatné osobné vyrovnania vo výške 145 971 €, z toho pre 9 zamestnancov   štátnej službe vo výške 137 061 € a pre 1 zamestnanca pri výkone prác vo verejnom záujme vo výške 8 910 €. Výdavky na poistné a príspevok do poisťovní tvoria 34,95 % z celkového objemu mzdových výdavkov.</w:t>
      </w:r>
    </w:p>
    <w:p w:rsidR="004A5FD3" w:rsidRPr="004A5FD3" w:rsidP="004A5FD3">
      <w:pPr>
        <w:bidi w:val="0"/>
        <w:spacing w:after="0" w:line="240" w:lineRule="auto"/>
        <w:jc w:val="center"/>
        <w:rPr>
          <w:rFonts w:ascii="Times New Roman" w:hAnsi="Times New Roman" w:cs="Times New Roman"/>
          <w:b/>
          <w:bCs/>
          <w:sz w:val="28"/>
          <w:szCs w:val="28"/>
          <w:lang w:val="en-US" w:eastAsia="sk-SK"/>
        </w:rPr>
      </w:pPr>
      <w:r w:rsidRPr="004A5FD3">
        <w:rPr>
          <w:rFonts w:ascii="Times New Roman" w:hAnsi="Times New Roman" w:cs="Times New Roman"/>
          <w:b/>
          <w:bCs/>
          <w:sz w:val="28"/>
          <w:szCs w:val="28"/>
          <w:lang w:val="en-US" w:eastAsia="sk-SK"/>
        </w:rPr>
        <w:t>Vplyvy na informatizáciu spoločnosti</w:t>
      </w:r>
    </w:p>
    <w:p w:rsidR="004A5FD3" w:rsidRPr="004A5FD3" w:rsidP="004A5FD3">
      <w:pPr>
        <w:bidi w:val="0"/>
        <w:spacing w:after="0" w:line="240" w:lineRule="auto"/>
        <w:jc w:val="both"/>
        <w:rPr>
          <w:rFonts w:ascii="Tahoma" w:hAnsi="Tahoma" w:cs="Tahoma"/>
          <w:bCs/>
          <w:sz w:val="28"/>
          <w:szCs w:val="28"/>
          <w:lang w:val="en-US" w:eastAsia="sk-SK"/>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A5FD3" w:rsidRPr="004A5FD3" w:rsidP="004A5FD3">
            <w:pPr>
              <w:bidi w:val="0"/>
              <w:spacing w:after="0" w:line="20" w:lineRule="atLeast"/>
              <w:jc w:val="both"/>
              <w:rPr>
                <w:rFonts w:ascii="Times New Roman" w:hAnsi="Times New Roman" w:cs="Times New Roman"/>
                <w:b/>
                <w:sz w:val="24"/>
                <w:szCs w:val="24"/>
                <w:lang w:eastAsia="sk-SK"/>
              </w:rPr>
            </w:pPr>
            <w:r w:rsidRPr="004A5FD3">
              <w:rPr>
                <w:rFonts w:ascii="Times New Roman" w:hAnsi="Times New Roman" w:cs="Times New Roman"/>
                <w:b/>
                <w:sz w:val="24"/>
                <w:szCs w:val="24"/>
                <w:lang w:eastAsia="sk-SK"/>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A5FD3" w:rsidRPr="004A5FD3" w:rsidP="004A5FD3">
            <w:pPr>
              <w:bidi w:val="0"/>
              <w:spacing w:after="0" w:line="240" w:lineRule="auto"/>
              <w:rPr>
                <w:rFonts w:ascii="Times New Roman" w:hAnsi="Times New Roman" w:cs="Times New Roman"/>
                <w:b/>
                <w:i/>
                <w:iCs/>
                <w:sz w:val="2"/>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A5FD3" w:rsidRPr="004A5FD3" w:rsidP="004A5FD3">
            <w:pPr>
              <w:bidi w:val="0"/>
              <w:spacing w:after="0" w:line="20" w:lineRule="atLeast"/>
              <w:jc w:val="both"/>
              <w:rPr>
                <w:rFonts w:ascii="Times New Roman" w:hAnsi="Times New Roman" w:cs="Times New Roman"/>
                <w:b/>
                <w:sz w:val="24"/>
                <w:szCs w:val="24"/>
                <w:lang w:eastAsia="sk-SK"/>
              </w:rPr>
            </w:pPr>
            <w:r w:rsidRPr="004A5FD3">
              <w:rPr>
                <w:rFonts w:ascii="Times New Roman" w:hAnsi="Times New Roman" w:cs="Times New Roman"/>
                <w:b/>
                <w:sz w:val="24"/>
                <w:szCs w:val="24"/>
                <w:lang w:eastAsia="sk-SK"/>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A5FD3" w:rsidRPr="004A5FD3" w:rsidP="004A5FD3">
            <w:pPr>
              <w:bidi w:val="0"/>
              <w:spacing w:after="0" w:line="240" w:lineRule="auto"/>
              <w:rPr>
                <w:rFonts w:ascii="Times New Roman" w:hAnsi="Times New Roman" w:cs="Times New Roman"/>
                <w:i/>
                <w:iCs/>
                <w:sz w:val="2"/>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sz w:val="24"/>
                <w:szCs w:val="24"/>
                <w:lang w:eastAsia="sk-SK"/>
              </w:rPr>
              <w:t>6.1.</w:t>
            </w:r>
            <w:r w:rsidRPr="004A5FD3">
              <w:rPr>
                <w:rFonts w:ascii="Times New Roman" w:hAnsi="Times New Roman" w:cs="Times New Roman"/>
                <w:sz w:val="24"/>
                <w:szCs w:val="24"/>
                <w:lang w:eastAsia="sk-SK"/>
              </w:rPr>
              <w:t xml:space="preserve"> Rozširujú alebo inovujú  sa existujúce alebo vytvárajú sa či zavádzajú  sa nové elektronické služby?</w:t>
            </w:r>
          </w:p>
          <w:p w:rsidR="004A5FD3" w:rsidRPr="004A5FD3" w:rsidP="004A5FD3">
            <w:pPr>
              <w:bidi w:val="0"/>
              <w:spacing w:after="0" w:line="20" w:lineRule="atLeast"/>
              <w:jc w:val="both"/>
              <w:rPr>
                <w:rFonts w:ascii="Times New Roman" w:hAnsi="Times New Roman" w:cs="Times New Roman"/>
                <w:sz w:val="24"/>
                <w:szCs w:val="24"/>
                <w:lang w:eastAsia="sk-SK"/>
              </w:rPr>
            </w:pPr>
            <w:r w:rsidRPr="004A5FD3">
              <w:rPr>
                <w:rFonts w:ascii="Times New Roman" w:hAnsi="Times New Roman" w:cs="Times New Roman"/>
                <w:i/>
                <w:iCs/>
                <w:sz w:val="24"/>
                <w:szCs w:val="24"/>
                <w:lang w:eastAsia="sk-SK"/>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rPr>
                <w:rFonts w:ascii="Times New Roman" w:hAnsi="Times New Roman" w:cs="Times New Roman"/>
                <w:sz w:val="24"/>
                <w:szCs w:val="24"/>
                <w:lang w:eastAsia="sk-SK"/>
              </w:rPr>
            </w:pPr>
            <w:r w:rsidRPr="004A5FD3">
              <w:rPr>
                <w:rFonts w:ascii="Times New Roman" w:hAnsi="Times New Roman" w:cs="Times New Roman"/>
                <w:sz w:val="24"/>
                <w:szCs w:val="24"/>
                <w:lang w:eastAsia="sk-SK"/>
              </w:rPr>
              <w:t>Realizácia projektov prispeje k rastu kvality života obyvateľov SR v súvislosti s nevyhnutnými úkonmi a aktivitami pri riešení životných situácií. Vytvorenie informačného systému registra fyzických osôb a centrálnej ohlasovne a ich prepojenie a zabezpečenie vzájomnej kontroly s ostatnými základnými registrami verejnej správy zníži nevyhnutnosť viacnásobného predkladania osobných údajov a dokladov v papierovej podobe pre jednotlivé inštitúcie verejnej správy, eliminuje sa administratívna a časová náročnosť, nevyhnutnosť osobnej účasti pri riešení životných situácií a zároveň sa znížia správne poplatky uhrádzané občanom za služby poskytované verejnou správou. Implementácia riešenia projektov zvýši sofistikovanosť, kvalitu a dostupnosť služieb pre občanov bez ohľadu na regionálnu lokalizáciu.</w:t>
            </w:r>
          </w:p>
          <w:p w:rsidR="004A5FD3" w:rsidRPr="004A5FD3" w:rsidP="004A5FD3">
            <w:pPr>
              <w:bidi w:val="0"/>
              <w:spacing w:after="0" w:line="240" w:lineRule="auto"/>
              <w:rPr>
                <w:rFonts w:ascii="Times New Roman" w:hAnsi="Times New Roman" w:cs="Times New Roman"/>
                <w:i/>
                <w:iCs/>
                <w:sz w:val="2"/>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sz w:val="24"/>
                <w:szCs w:val="24"/>
                <w:lang w:eastAsia="sk-SK"/>
              </w:rPr>
              <w:t>6.2.</w:t>
            </w:r>
            <w:r w:rsidRPr="004A5FD3">
              <w:rPr>
                <w:rFonts w:ascii="Times New Roman" w:hAnsi="Times New Roman" w:cs="Times New Roman"/>
                <w:sz w:val="24"/>
                <w:szCs w:val="24"/>
                <w:lang w:eastAsia="sk-SK"/>
              </w:rPr>
              <w:t xml:space="preserve"> Vytvárajú sa podmienky pre sémantickú interoperabilitu?</w:t>
            </w:r>
          </w:p>
          <w:p w:rsidR="004A5FD3" w:rsidRPr="004A5FD3" w:rsidP="004A5FD3">
            <w:pPr>
              <w:bidi w:val="0"/>
              <w:spacing w:after="0" w:line="20" w:lineRule="atLeast"/>
              <w:jc w:val="both"/>
              <w:rPr>
                <w:rFonts w:ascii="Times New Roman" w:hAnsi="Times New Roman" w:cs="Times New Roman"/>
                <w:sz w:val="24"/>
                <w:szCs w:val="24"/>
                <w:lang w:eastAsia="sk-SK"/>
              </w:rPr>
            </w:pPr>
            <w:r w:rsidRPr="004A5FD3">
              <w:rPr>
                <w:rFonts w:ascii="Times New Roman" w:hAnsi="Times New Roman" w:cs="Times New Roman"/>
                <w:i/>
                <w:iCs/>
                <w:sz w:val="24"/>
                <w:szCs w:val="24"/>
                <w:lang w:eastAsia="sk-SK"/>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p>
          <w:p w:rsidR="004A5FD3" w:rsidRPr="004A5FD3" w:rsidP="004A5FD3">
            <w:pPr>
              <w:bidi w:val="0"/>
              <w:spacing w:after="0" w:line="240" w:lineRule="auto"/>
              <w:rPr>
                <w:rFonts w:ascii="Times New Roman" w:hAnsi="Times New Roman" w:cs="Times New Roman"/>
                <w:i/>
                <w:iCs/>
                <w:sz w:val="2"/>
                <w:lang w:eastAsia="sk-SK"/>
              </w:rPr>
            </w:pPr>
            <w:r w:rsidRPr="004A5FD3">
              <w:rPr>
                <w:rFonts w:ascii="Times New Roman" w:hAnsi="Times New Roman" w:cs="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A5FD3" w:rsidRPr="004A5FD3" w:rsidP="004A5FD3">
            <w:pPr>
              <w:bidi w:val="0"/>
              <w:spacing w:after="0" w:line="20" w:lineRule="atLeast"/>
              <w:jc w:val="both"/>
              <w:rPr>
                <w:rFonts w:ascii="Times New Roman" w:hAnsi="Times New Roman" w:cs="Times New Roman"/>
                <w:b/>
                <w:color w:val="FFFFFF"/>
                <w:sz w:val="24"/>
                <w:szCs w:val="24"/>
                <w:lang w:eastAsia="sk-SK"/>
              </w:rPr>
            </w:pPr>
            <w:r w:rsidRPr="004A5FD3">
              <w:rPr>
                <w:rFonts w:ascii="Times New Roman" w:hAnsi="Times New Roman" w:cs="Times New Roman"/>
                <w:b/>
                <w:sz w:val="24"/>
                <w:szCs w:val="24"/>
                <w:lang w:eastAsia="sk-SK"/>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A5FD3" w:rsidRPr="004A5FD3" w:rsidP="004A5FD3">
            <w:pPr>
              <w:bidi w:val="0"/>
              <w:spacing w:after="0" w:line="240" w:lineRule="auto"/>
              <w:rPr>
                <w:rFonts w:ascii="Times New Roman" w:hAnsi="Times New Roman" w:cs="Times New Roman"/>
                <w:b/>
                <w:i/>
                <w:iCs/>
                <w:sz w:val="2"/>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sz w:val="24"/>
                <w:szCs w:val="24"/>
                <w:lang w:eastAsia="sk-SK"/>
              </w:rPr>
              <w:t>6.3.</w:t>
            </w:r>
            <w:r w:rsidRPr="004A5FD3">
              <w:rPr>
                <w:rFonts w:ascii="Times New Roman" w:hAnsi="Times New Roman" w:cs="Times New Roman"/>
                <w:sz w:val="24"/>
                <w:szCs w:val="24"/>
                <w:lang w:eastAsia="sk-SK"/>
              </w:rPr>
              <w:t xml:space="preserve"> Zabezpečuje sa vzdelávanie v oblasti počítačovej gramotnosti a rozširovanie vedomostí o IKT?</w:t>
            </w:r>
          </w:p>
          <w:p w:rsidR="004A5FD3" w:rsidRPr="004A5FD3" w:rsidP="004A5FD3">
            <w:pPr>
              <w:bidi w:val="0"/>
              <w:spacing w:after="0" w:line="20" w:lineRule="atLeast"/>
              <w:jc w:val="both"/>
              <w:rPr>
                <w:rFonts w:ascii="Times New Roman" w:hAnsi="Times New Roman" w:cs="Times New Roman"/>
                <w:sz w:val="24"/>
                <w:szCs w:val="24"/>
                <w:lang w:eastAsia="sk-SK"/>
              </w:rPr>
            </w:pPr>
            <w:r w:rsidRPr="004A5FD3">
              <w:rPr>
                <w:rFonts w:ascii="Times New Roman" w:hAnsi="Times New Roman" w:cs="Times New Roman"/>
                <w:i/>
                <w:iCs/>
                <w:sz w:val="24"/>
                <w:szCs w:val="24"/>
                <w:lang w:eastAsia="sk-SK"/>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A5FD3" w:rsidRPr="004A5FD3" w:rsidP="004A5FD3">
            <w:pPr>
              <w:bidi w:val="0"/>
              <w:spacing w:after="0" w:line="240" w:lineRule="auto"/>
              <w:rPr>
                <w:rFonts w:ascii="Times New Roman" w:hAnsi="Times New Roman" w:cs="Times New Roman"/>
                <w:i/>
                <w:iCs/>
                <w:sz w:val="2"/>
                <w:lang w:eastAsia="sk-SK"/>
              </w:rPr>
            </w:pPr>
            <w:r w:rsidRPr="004A5FD3">
              <w:rPr>
                <w:rFonts w:ascii="Times New Roman" w:hAnsi="Times New Roman" w:cs="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sz w:val="24"/>
                <w:szCs w:val="24"/>
                <w:lang w:eastAsia="sk-SK"/>
              </w:rPr>
              <w:t>6.4.</w:t>
            </w:r>
            <w:r w:rsidRPr="004A5FD3">
              <w:rPr>
                <w:rFonts w:ascii="Times New Roman" w:hAnsi="Times New Roman" w:cs="Times New Roman"/>
                <w:sz w:val="24"/>
                <w:szCs w:val="24"/>
                <w:lang w:eastAsia="sk-SK"/>
              </w:rPr>
              <w:t xml:space="preserve"> Zabezpečuje sa rozvoj elektronického vzdelávania?</w:t>
            </w:r>
          </w:p>
          <w:p w:rsidR="004A5FD3" w:rsidRPr="004A5FD3" w:rsidP="004A5FD3">
            <w:pPr>
              <w:bidi w:val="0"/>
              <w:spacing w:after="0" w:line="20" w:lineRule="atLeast"/>
              <w:jc w:val="both"/>
              <w:rPr>
                <w:rFonts w:ascii="Times New Roman" w:hAnsi="Times New Roman" w:cs="Times New Roman"/>
                <w:color w:val="FFFFFF"/>
                <w:sz w:val="24"/>
                <w:szCs w:val="24"/>
                <w:lang w:eastAsia="sk-SK"/>
              </w:rPr>
            </w:pPr>
            <w:r w:rsidRPr="004A5FD3">
              <w:rPr>
                <w:rFonts w:ascii="Times New Roman" w:hAnsi="Times New Roman" w:cs="Times New Roman"/>
                <w:i/>
                <w:iCs/>
                <w:sz w:val="24"/>
                <w:szCs w:val="24"/>
                <w:lang w:eastAsia="sk-SK"/>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p>
          <w:p w:rsidR="004A5FD3" w:rsidRPr="004A5FD3" w:rsidP="004A5FD3">
            <w:pPr>
              <w:bidi w:val="0"/>
              <w:spacing w:after="0" w:line="240" w:lineRule="auto"/>
              <w:rPr>
                <w:rFonts w:ascii="Times New Roman" w:hAnsi="Times New Roman" w:cs="Times New Roman"/>
                <w:i/>
                <w:iCs/>
                <w:sz w:val="2"/>
                <w:lang w:eastAsia="sk-SK"/>
              </w:rPr>
            </w:pPr>
            <w:r w:rsidRPr="004A5FD3">
              <w:rPr>
                <w:rFonts w:ascii="Times New Roman" w:hAnsi="Times New Roman" w:cs="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sz w:val="24"/>
                <w:szCs w:val="24"/>
                <w:lang w:eastAsia="sk-SK"/>
              </w:rPr>
              <w:t>6.5.</w:t>
            </w:r>
            <w:r w:rsidRPr="004A5FD3">
              <w:rPr>
                <w:rFonts w:ascii="Times New Roman" w:hAnsi="Times New Roman" w:cs="Times New Roman"/>
                <w:sz w:val="24"/>
                <w:szCs w:val="24"/>
                <w:lang w:eastAsia="sk-SK"/>
              </w:rPr>
              <w:t xml:space="preserve"> Zabezpečuje sa podporná a propagačná aktivita zameraná na zvyšovanie povedomia o informatizácii a IKT?</w:t>
            </w:r>
          </w:p>
          <w:p w:rsidR="004A5FD3" w:rsidRPr="004A5FD3" w:rsidP="004A5FD3">
            <w:pPr>
              <w:bidi w:val="0"/>
              <w:spacing w:after="0" w:line="20" w:lineRule="atLeast"/>
              <w:jc w:val="both"/>
              <w:rPr>
                <w:rFonts w:ascii="Times New Roman" w:hAnsi="Times New Roman" w:cs="Times New Roman"/>
                <w:color w:val="FFFFFF"/>
                <w:sz w:val="24"/>
                <w:szCs w:val="24"/>
                <w:lang w:eastAsia="sk-SK"/>
              </w:rPr>
            </w:pPr>
            <w:r w:rsidRPr="004A5FD3">
              <w:rPr>
                <w:rFonts w:ascii="Times New Roman" w:hAnsi="Times New Roman" w:cs="Times New Roman"/>
                <w:i/>
                <w:iCs/>
                <w:sz w:val="24"/>
                <w:szCs w:val="24"/>
                <w:lang w:eastAsia="sk-SK"/>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rPr>
                <w:rFonts w:ascii="Times New Roman" w:hAnsi="Times New Roman" w:cs="Times New Roman"/>
                <w:i/>
                <w:iCs/>
                <w:sz w:val="2"/>
                <w:lang w:eastAsia="sk-SK"/>
              </w:rPr>
            </w:pPr>
            <w:r w:rsidRPr="004A5FD3">
              <w:rPr>
                <w:rFonts w:ascii="Times New Roman" w:hAnsi="Times New Roman" w:cs="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sz w:val="24"/>
                <w:szCs w:val="24"/>
                <w:lang w:eastAsia="sk-SK"/>
              </w:rPr>
              <w:t>6.6.</w:t>
            </w:r>
            <w:r w:rsidRPr="004A5FD3">
              <w:rPr>
                <w:rFonts w:ascii="Times New Roman" w:hAnsi="Times New Roman" w:cs="Times New Roman"/>
                <w:sz w:val="24"/>
                <w:szCs w:val="24"/>
                <w:lang w:eastAsia="sk-SK"/>
              </w:rPr>
              <w:t xml:space="preserve"> Zabezpečuje/zohľadňuje/zlepšuje sa prístup znevýhodnených osôb k službám informačnej spoločnosti?</w:t>
            </w:r>
          </w:p>
          <w:p w:rsidR="004A5FD3" w:rsidRPr="004A5FD3" w:rsidP="004A5FD3">
            <w:pPr>
              <w:bidi w:val="0"/>
              <w:spacing w:after="0" w:line="20" w:lineRule="atLeast"/>
              <w:jc w:val="both"/>
              <w:rPr>
                <w:rFonts w:ascii="Times New Roman" w:hAnsi="Times New Roman" w:cs="Times New Roman"/>
                <w:sz w:val="24"/>
                <w:szCs w:val="24"/>
                <w:lang w:eastAsia="sk-SK"/>
              </w:rPr>
            </w:pPr>
            <w:r w:rsidRPr="004A5FD3">
              <w:rPr>
                <w:rFonts w:ascii="Times New Roman" w:hAnsi="Times New Roman" w:cs="Times New Roman"/>
                <w:i/>
                <w:iCs/>
                <w:sz w:val="24"/>
                <w:szCs w:val="24"/>
                <w:lang w:eastAsia="sk-SK"/>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rPr>
                <w:rFonts w:ascii="Times New Roman" w:hAnsi="Times New Roman" w:cs="Times New Roman"/>
                <w:i/>
                <w:iCs/>
                <w:sz w:val="2"/>
                <w:lang w:eastAsia="sk-SK"/>
              </w:rPr>
            </w:pPr>
            <w:r w:rsidRPr="004A5FD3">
              <w:rPr>
                <w:rFonts w:ascii="Times New Roman" w:hAnsi="Times New Roman" w:cs="Times New Roman"/>
                <w:sz w:val="24"/>
                <w:szCs w:val="24"/>
                <w:lang w:eastAsia="sk-SK"/>
              </w:rPr>
              <w:t>Prostredníctvom Internetu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A5FD3" w:rsidRPr="004A5FD3" w:rsidP="004A5FD3">
            <w:pPr>
              <w:bidi w:val="0"/>
              <w:spacing w:after="0" w:line="20" w:lineRule="atLeast"/>
              <w:jc w:val="both"/>
              <w:rPr>
                <w:rFonts w:ascii="Times New Roman" w:hAnsi="Times New Roman" w:cs="Times New Roman"/>
                <w:b/>
                <w:sz w:val="24"/>
                <w:szCs w:val="24"/>
                <w:lang w:eastAsia="sk-SK"/>
              </w:rPr>
            </w:pPr>
            <w:r w:rsidRPr="004A5FD3">
              <w:rPr>
                <w:rFonts w:ascii="Times New Roman" w:hAnsi="Times New Roman" w:cs="Times New Roman"/>
                <w:b/>
                <w:sz w:val="24"/>
                <w:szCs w:val="24"/>
                <w:lang w:eastAsia="sk-SK"/>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A5FD3" w:rsidRPr="004A5FD3" w:rsidP="004A5FD3">
            <w:pPr>
              <w:bidi w:val="0"/>
              <w:spacing w:after="0" w:line="240" w:lineRule="auto"/>
              <w:rPr>
                <w:rFonts w:ascii="Times New Roman" w:hAnsi="Times New Roman" w:cs="Times New Roman"/>
                <w:b/>
                <w:i/>
                <w:iCs/>
                <w:sz w:val="2"/>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sz w:val="24"/>
                <w:szCs w:val="24"/>
                <w:lang w:eastAsia="sk-SK"/>
              </w:rPr>
              <w:t>6.7.</w:t>
            </w:r>
            <w:r w:rsidRPr="004A5FD3">
              <w:rPr>
                <w:rFonts w:ascii="Times New Roman" w:hAnsi="Times New Roman" w:cs="Times New Roman"/>
                <w:sz w:val="24"/>
                <w:szCs w:val="24"/>
                <w:lang w:eastAsia="sk-SK"/>
              </w:rPr>
              <w:t xml:space="preserve"> Rozširuje, inovuje, vytvára alebo zavádza sa nový informačný systém?</w:t>
            </w:r>
          </w:p>
          <w:p w:rsidR="004A5FD3" w:rsidRPr="004A5FD3" w:rsidP="004A5FD3">
            <w:pPr>
              <w:bidi w:val="0"/>
              <w:spacing w:after="0" w:line="20" w:lineRule="atLeast"/>
              <w:jc w:val="both"/>
              <w:rPr>
                <w:rFonts w:ascii="Times New Roman" w:hAnsi="Times New Roman" w:cs="Times New Roman"/>
                <w:sz w:val="24"/>
                <w:szCs w:val="24"/>
                <w:lang w:eastAsia="sk-SK"/>
              </w:rPr>
            </w:pPr>
            <w:r w:rsidRPr="004A5FD3">
              <w:rPr>
                <w:rFonts w:ascii="Times New Roman" w:hAnsi="Times New Roman" w:cs="Times New Roman"/>
                <w:i/>
                <w:iCs/>
                <w:sz w:val="24"/>
                <w:szCs w:val="24"/>
                <w:lang w:eastAsia="sk-SK"/>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rPr>
                <w:rFonts w:ascii="Times New Roman" w:hAnsi="Times New Roman" w:cs="Times New Roman"/>
                <w:i/>
                <w:iCs/>
                <w:sz w:val="2"/>
                <w:lang w:eastAsia="sk-SK"/>
              </w:rPr>
            </w:pPr>
            <w:r w:rsidRPr="004A5FD3">
              <w:rPr>
                <w:rFonts w:ascii="Times New Roman" w:hAnsi="Times New Roman" w:cs="Times New Roman"/>
                <w:sz w:val="24"/>
                <w:szCs w:val="24"/>
                <w:lang w:eastAsia="sk-SK"/>
              </w:rPr>
              <w:t>Popísané v bode 6.1.</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sz w:val="24"/>
                <w:szCs w:val="24"/>
                <w:lang w:eastAsia="sk-SK"/>
              </w:rPr>
              <w:t>6.8.</w:t>
            </w:r>
            <w:r w:rsidRPr="004A5FD3">
              <w:rPr>
                <w:rFonts w:ascii="Times New Roman" w:hAnsi="Times New Roman" w:cs="Times New Roman"/>
                <w:sz w:val="24"/>
                <w:szCs w:val="24"/>
                <w:lang w:eastAsia="sk-SK"/>
              </w:rPr>
              <w:t xml:space="preserve"> Rozširuje sa prístupnosť k internetu?</w:t>
            </w:r>
          </w:p>
          <w:p w:rsidR="004A5FD3" w:rsidRPr="004A5FD3" w:rsidP="004A5FD3">
            <w:pPr>
              <w:bidi w:val="0"/>
              <w:spacing w:after="0" w:line="20" w:lineRule="atLeast"/>
              <w:jc w:val="both"/>
              <w:rPr>
                <w:rFonts w:ascii="Times New Roman" w:hAnsi="Times New Roman" w:cs="Times New Roman"/>
                <w:sz w:val="24"/>
                <w:szCs w:val="24"/>
                <w:lang w:eastAsia="sk-SK"/>
              </w:rPr>
            </w:pPr>
            <w:r w:rsidRPr="004A5FD3">
              <w:rPr>
                <w:rFonts w:ascii="Times New Roman" w:hAnsi="Times New Roman" w:cs="Times New Roman"/>
                <w:i/>
                <w:iCs/>
                <w:sz w:val="24"/>
                <w:szCs w:val="24"/>
                <w:lang w:eastAsia="sk-SK"/>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rPr>
                <w:rFonts w:ascii="Times New Roman" w:hAnsi="Times New Roman" w:cs="Times New Roman"/>
                <w:i/>
                <w:iCs/>
                <w:sz w:val="2"/>
                <w:lang w:eastAsia="sk-SK"/>
              </w:rPr>
            </w:pPr>
            <w:r w:rsidRPr="004A5FD3">
              <w:rPr>
                <w:rFonts w:ascii="Times New Roman" w:hAnsi="Times New Roman" w:cs="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sz w:val="24"/>
                <w:szCs w:val="24"/>
                <w:lang w:eastAsia="sk-SK"/>
              </w:rPr>
              <w:t>6.9.</w:t>
            </w:r>
            <w:r w:rsidRPr="004A5FD3">
              <w:rPr>
                <w:rFonts w:ascii="Times New Roman" w:hAnsi="Times New Roman" w:cs="Times New Roman"/>
                <w:sz w:val="24"/>
                <w:szCs w:val="24"/>
                <w:lang w:eastAsia="sk-SK"/>
              </w:rPr>
              <w:t xml:space="preserve"> Rozširuje sa prístupnosť k elektronickým službám?</w:t>
            </w:r>
          </w:p>
          <w:p w:rsidR="004A5FD3" w:rsidRPr="004A5FD3" w:rsidP="004A5FD3">
            <w:pPr>
              <w:bidi w:val="0"/>
              <w:spacing w:after="0" w:line="20" w:lineRule="atLeast"/>
              <w:rPr>
                <w:rFonts w:ascii="Times New Roman" w:hAnsi="Times New Roman" w:cs="Times New Roman"/>
                <w:sz w:val="24"/>
                <w:szCs w:val="24"/>
                <w:lang w:eastAsia="sk-SK"/>
              </w:rPr>
            </w:pPr>
            <w:r w:rsidRPr="004A5FD3">
              <w:rPr>
                <w:rFonts w:ascii="Times New Roman" w:hAnsi="Times New Roman" w:cs="Times New Roman"/>
                <w:i/>
                <w:iCs/>
                <w:sz w:val="24"/>
                <w:szCs w:val="24"/>
                <w:lang w:eastAsia="sk-SK"/>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rPr>
                <w:rFonts w:ascii="Times New Roman" w:hAnsi="Times New Roman" w:cs="Times New Roman"/>
                <w:i/>
                <w:iCs/>
                <w:sz w:val="2"/>
                <w:lang w:eastAsia="sk-SK"/>
              </w:rPr>
            </w:pPr>
            <w:r w:rsidRPr="004A5FD3">
              <w:rPr>
                <w:rFonts w:ascii="Times New Roman" w:hAnsi="Times New Roman" w:cs="Times New Roman"/>
                <w:sz w:val="24"/>
                <w:szCs w:val="24"/>
                <w:lang w:eastAsia="sk-SK"/>
              </w:rPr>
              <w:t>Prostredníctvom Internetu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sz w:val="24"/>
                <w:szCs w:val="24"/>
                <w:lang w:eastAsia="sk-SK"/>
              </w:rPr>
              <w:t>6.10.</w:t>
            </w:r>
            <w:r w:rsidRPr="004A5FD3">
              <w:rPr>
                <w:rFonts w:ascii="Times New Roman" w:hAnsi="Times New Roman" w:cs="Times New Roman"/>
                <w:sz w:val="24"/>
                <w:szCs w:val="24"/>
                <w:lang w:eastAsia="sk-SK"/>
              </w:rPr>
              <w:t xml:space="preserve"> Zabezpečuje sa technická interoperabilita?</w:t>
            </w:r>
          </w:p>
          <w:p w:rsidR="004A5FD3" w:rsidRPr="004A5FD3" w:rsidP="004A5FD3">
            <w:pPr>
              <w:bidi w:val="0"/>
              <w:spacing w:after="0" w:line="20" w:lineRule="atLeast"/>
              <w:jc w:val="both"/>
              <w:rPr>
                <w:rFonts w:ascii="Times New Roman" w:hAnsi="Times New Roman" w:cs="Times New Roman"/>
                <w:sz w:val="24"/>
                <w:szCs w:val="24"/>
                <w:lang w:eastAsia="sk-SK"/>
              </w:rPr>
            </w:pPr>
            <w:r w:rsidRPr="004A5FD3">
              <w:rPr>
                <w:rFonts w:ascii="Times New Roman" w:hAnsi="Times New Roman" w:cs="Times New Roman"/>
                <w:i/>
                <w:iCs/>
                <w:sz w:val="24"/>
                <w:szCs w:val="24"/>
                <w:lang w:eastAsia="sk-SK"/>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rPr>
                <w:rFonts w:ascii="Times New Roman" w:hAnsi="Times New Roman" w:cs="Times New Roman"/>
                <w:i/>
                <w:iCs/>
                <w:sz w:val="2"/>
                <w:lang w:eastAsia="sk-SK"/>
              </w:rPr>
            </w:pPr>
            <w:r w:rsidRPr="004A5FD3">
              <w:rPr>
                <w:rFonts w:ascii="Times New Roman" w:hAnsi="Times New Roman" w:cs="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sz w:val="24"/>
                <w:szCs w:val="24"/>
                <w:lang w:eastAsia="sk-SK"/>
              </w:rPr>
              <w:t>6.11.</w:t>
            </w:r>
            <w:r w:rsidRPr="004A5FD3">
              <w:rPr>
                <w:rFonts w:ascii="Times New Roman" w:hAnsi="Times New Roman" w:cs="Times New Roman"/>
                <w:sz w:val="24"/>
                <w:szCs w:val="24"/>
                <w:lang w:eastAsia="sk-SK"/>
              </w:rPr>
              <w:t xml:space="preserve"> Zvyšuje sa bezpečnosť IT?</w:t>
            </w:r>
          </w:p>
          <w:p w:rsidR="004A5FD3" w:rsidRPr="004A5FD3" w:rsidP="004A5FD3">
            <w:pPr>
              <w:bidi w:val="0"/>
              <w:spacing w:after="0" w:line="20" w:lineRule="atLeast"/>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w:t>
            </w:r>
            <w:r w:rsidRPr="004A5FD3">
              <w:rPr>
                <w:rFonts w:ascii="Times New Roman" w:hAnsi="Times New Roman" w:cs="Times New Roman"/>
                <w:i/>
                <w:iCs/>
                <w:sz w:val="24"/>
                <w:szCs w:val="24"/>
                <w:lang w:eastAsia="sk-SK"/>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rPr>
                <w:rFonts w:ascii="Times New Roman" w:hAnsi="Times New Roman" w:cs="Times New Roman"/>
                <w:i/>
                <w:iCs/>
                <w:sz w:val="2"/>
                <w:lang w:eastAsia="sk-SK"/>
              </w:rPr>
            </w:pPr>
            <w:r w:rsidRPr="004A5FD3">
              <w:rPr>
                <w:rFonts w:ascii="Times New Roman" w:hAnsi="Times New Roman" w:cs="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sz w:val="24"/>
                <w:szCs w:val="24"/>
                <w:lang w:eastAsia="sk-SK"/>
              </w:rPr>
              <w:t>6.12.</w:t>
            </w:r>
            <w:r w:rsidRPr="004A5FD3">
              <w:rPr>
                <w:rFonts w:ascii="Times New Roman" w:hAnsi="Times New Roman" w:cs="Times New Roman"/>
                <w:sz w:val="24"/>
                <w:szCs w:val="24"/>
                <w:lang w:eastAsia="sk-SK"/>
              </w:rPr>
              <w:t xml:space="preserve"> Rozširuje sa technická infraštruktúra?</w:t>
            </w:r>
          </w:p>
          <w:p w:rsidR="004A5FD3" w:rsidRPr="004A5FD3" w:rsidP="004A5FD3">
            <w:pPr>
              <w:bidi w:val="0"/>
              <w:spacing w:after="0" w:line="20" w:lineRule="atLeast"/>
              <w:jc w:val="both"/>
              <w:rPr>
                <w:rFonts w:ascii="Times New Roman" w:hAnsi="Times New Roman" w:cs="Times New Roman"/>
                <w:i/>
                <w:iCs/>
                <w:sz w:val="24"/>
                <w:szCs w:val="24"/>
                <w:lang w:eastAsia="sk-SK"/>
              </w:rPr>
            </w:pPr>
            <w:r w:rsidRPr="004A5FD3">
              <w:rPr>
                <w:rFonts w:ascii="Times New Roman" w:hAnsi="Times New Roman" w:cs="Times New Roman"/>
                <w:sz w:val="24"/>
                <w:szCs w:val="24"/>
                <w:lang w:eastAsia="sk-SK"/>
              </w:rPr>
              <w:t>(</w:t>
            </w:r>
            <w:r w:rsidRPr="004A5FD3">
              <w:rPr>
                <w:rFonts w:ascii="Times New Roman" w:hAnsi="Times New Roman" w:cs="Times New Roman"/>
                <w:i/>
                <w:iCs/>
                <w:sz w:val="24"/>
                <w:szCs w:val="24"/>
                <w:lang w:eastAsia="sk-SK"/>
              </w:rPr>
              <w:t>Uveďte stručný popis zavádzanej infraštruktúry.)</w:t>
            </w:r>
          </w:p>
          <w:p w:rsidR="004A5FD3" w:rsidRPr="004A5FD3" w:rsidP="004A5FD3">
            <w:pPr>
              <w:bidi w:val="0"/>
              <w:spacing w:after="0" w:line="20" w:lineRule="atLeast"/>
              <w:jc w:val="both"/>
              <w:rPr>
                <w:rFonts w:ascii="Times New Roman" w:hAnsi="Times New Roman" w:cs="Times New Roman"/>
                <w:sz w:val="24"/>
                <w:szCs w:val="24"/>
                <w:lang w:eastAsia="sk-SK"/>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rPr>
                <w:rFonts w:ascii="Times New Roman" w:hAnsi="Times New Roman" w:cs="Times New Roman"/>
                <w:i/>
                <w:iCs/>
                <w:sz w:val="2"/>
                <w:lang w:eastAsia="sk-SK"/>
              </w:rPr>
            </w:pPr>
            <w:r w:rsidRPr="004A5FD3">
              <w:rPr>
                <w:rFonts w:ascii="Times New Roman" w:hAnsi="Times New Roman" w:cs="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A5FD3" w:rsidRPr="004A5FD3" w:rsidP="004A5FD3">
            <w:pPr>
              <w:bidi w:val="0"/>
              <w:spacing w:after="0" w:line="20" w:lineRule="atLeast"/>
              <w:rPr>
                <w:rFonts w:ascii="Times New Roman" w:hAnsi="Times New Roman" w:cs="Times New Roman"/>
                <w:b/>
                <w:sz w:val="24"/>
                <w:szCs w:val="24"/>
                <w:lang w:eastAsia="sk-SK"/>
              </w:rPr>
            </w:pPr>
            <w:r w:rsidRPr="004A5FD3">
              <w:rPr>
                <w:rFonts w:ascii="Times New Roman" w:hAnsi="Times New Roman" w:cs="Times New Roman"/>
                <w:b/>
                <w:sz w:val="24"/>
                <w:szCs w:val="24"/>
                <w:lang w:eastAsia="sk-SK"/>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A5FD3" w:rsidRPr="004A5FD3" w:rsidP="004A5FD3">
            <w:pPr>
              <w:bidi w:val="0"/>
              <w:spacing w:after="0" w:line="240" w:lineRule="auto"/>
              <w:jc w:val="center"/>
              <w:rPr>
                <w:rFonts w:ascii="Times New Roman" w:hAnsi="Times New Roman" w:cs="Times New Roman"/>
                <w:b/>
                <w:sz w:val="2"/>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sz w:val="24"/>
                <w:szCs w:val="24"/>
                <w:lang w:eastAsia="sk-SK"/>
              </w:rPr>
              <w:t>6.13.</w:t>
            </w:r>
            <w:r w:rsidRPr="004A5FD3">
              <w:rPr>
                <w:rFonts w:ascii="Times New Roman" w:hAnsi="Times New Roman" w:cs="Times New Roman"/>
                <w:sz w:val="24"/>
                <w:szCs w:val="24"/>
                <w:lang w:eastAsia="sk-SK"/>
              </w:rPr>
              <w:t xml:space="preserve"> Predpokladajú sa zmeny v riadení procesu informatizácie?</w:t>
            </w:r>
          </w:p>
          <w:p w:rsidR="004A5FD3" w:rsidRPr="004A5FD3" w:rsidP="004A5FD3">
            <w:pPr>
              <w:bidi w:val="0"/>
              <w:spacing w:after="0" w:line="20" w:lineRule="atLeast"/>
              <w:jc w:val="both"/>
              <w:rPr>
                <w:rFonts w:ascii="Times New Roman" w:hAnsi="Times New Roman" w:cs="Times New Roman"/>
                <w:sz w:val="24"/>
                <w:szCs w:val="24"/>
                <w:lang w:eastAsia="sk-SK"/>
              </w:rPr>
            </w:pPr>
            <w:r w:rsidRPr="004A5FD3">
              <w:rPr>
                <w:rFonts w:ascii="Times New Roman" w:hAnsi="Times New Roman" w:cs="Times New Roman"/>
                <w:i/>
                <w:iCs/>
                <w:sz w:val="24"/>
                <w:szCs w:val="24"/>
                <w:lang w:eastAsia="sk-SK"/>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rPr>
                <w:rFonts w:ascii="Times New Roman" w:hAnsi="Times New Roman" w:cs="Times New Roman"/>
                <w:i/>
                <w:iCs/>
                <w:sz w:val="2"/>
                <w:lang w:eastAsia="sk-SK"/>
              </w:rPr>
            </w:pPr>
            <w:r w:rsidRPr="004A5FD3">
              <w:rPr>
                <w:rFonts w:ascii="Times New Roman" w:hAnsi="Times New Roman" w:cs="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A5FD3" w:rsidRPr="004A5FD3" w:rsidP="004A5FD3">
            <w:pPr>
              <w:bidi w:val="0"/>
              <w:spacing w:after="0" w:line="20" w:lineRule="atLeast"/>
              <w:jc w:val="both"/>
              <w:rPr>
                <w:rFonts w:ascii="Times New Roman" w:hAnsi="Times New Roman" w:cs="Times New Roman"/>
                <w:b/>
                <w:sz w:val="24"/>
                <w:szCs w:val="24"/>
                <w:lang w:eastAsia="sk-SK"/>
              </w:rPr>
            </w:pPr>
            <w:r w:rsidRPr="004A5FD3">
              <w:rPr>
                <w:rFonts w:ascii="Times New Roman" w:hAnsi="Times New Roman" w:cs="Times New Roman"/>
                <w:b/>
                <w:sz w:val="24"/>
                <w:szCs w:val="24"/>
                <w:lang w:eastAsia="sk-SK"/>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A5FD3" w:rsidRPr="004A5FD3" w:rsidP="004A5FD3">
            <w:pPr>
              <w:bidi w:val="0"/>
              <w:spacing w:after="0" w:line="240" w:lineRule="auto"/>
              <w:rPr>
                <w:rFonts w:ascii="Times New Roman" w:hAnsi="Times New Roman" w:cs="Times New Roman"/>
                <w:b/>
                <w:i/>
                <w:iCs/>
                <w:sz w:val="2"/>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sz w:val="24"/>
                <w:szCs w:val="24"/>
                <w:lang w:eastAsia="sk-SK"/>
              </w:rPr>
              <w:t>6.14.</w:t>
            </w:r>
            <w:r w:rsidRPr="004A5FD3">
              <w:rPr>
                <w:rFonts w:ascii="Times New Roman" w:hAnsi="Times New Roman" w:cs="Times New Roman"/>
                <w:sz w:val="24"/>
                <w:szCs w:val="24"/>
                <w:lang w:eastAsia="sk-SK"/>
              </w:rPr>
              <w:t xml:space="preserve"> Vyžaduje si proces informatizácie  finančné investície?</w:t>
            </w:r>
          </w:p>
          <w:p w:rsidR="004A5FD3" w:rsidRPr="004A5FD3" w:rsidP="004A5FD3">
            <w:pPr>
              <w:bidi w:val="0"/>
              <w:spacing w:after="0" w:line="20" w:lineRule="atLeast"/>
              <w:rPr>
                <w:rFonts w:ascii="Times New Roman" w:hAnsi="Times New Roman" w:cs="Times New Roman"/>
                <w:sz w:val="24"/>
                <w:szCs w:val="24"/>
                <w:lang w:eastAsia="sk-SK"/>
              </w:rPr>
            </w:pPr>
            <w:r w:rsidRPr="004A5FD3">
              <w:rPr>
                <w:rFonts w:ascii="Times New Roman" w:hAnsi="Times New Roman" w:cs="Times New Roman"/>
                <w:i/>
                <w:iCs/>
                <w:sz w:val="24"/>
                <w:szCs w:val="24"/>
                <w:lang w:eastAsia="sk-SK"/>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rPr>
                <w:rFonts w:ascii="Times New Roman" w:hAnsi="Times New Roman" w:cs="Times New Roman"/>
                <w:i/>
                <w:iCs/>
                <w:sz w:val="2"/>
                <w:lang w:eastAsia="sk-SK"/>
              </w:rPr>
            </w:pPr>
            <w:r w:rsidRPr="004A5FD3">
              <w:rPr>
                <w:rFonts w:ascii="Times New Roman" w:hAnsi="Times New Roman" w:cs="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A5FD3" w:rsidRPr="004A5FD3" w:rsidP="004A5FD3">
            <w:pPr>
              <w:bidi w:val="0"/>
              <w:spacing w:after="0" w:line="20" w:lineRule="atLeast"/>
              <w:jc w:val="both"/>
              <w:rPr>
                <w:rFonts w:ascii="Times New Roman" w:hAnsi="Times New Roman" w:cs="Times New Roman"/>
                <w:b/>
                <w:sz w:val="24"/>
                <w:szCs w:val="24"/>
                <w:lang w:eastAsia="sk-SK"/>
              </w:rPr>
            </w:pPr>
            <w:r w:rsidRPr="004A5FD3">
              <w:rPr>
                <w:rFonts w:ascii="Times New Roman" w:hAnsi="Times New Roman" w:cs="Times New Roman"/>
                <w:b/>
                <w:sz w:val="24"/>
                <w:szCs w:val="24"/>
                <w:lang w:eastAsia="sk-SK"/>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A5FD3" w:rsidRPr="004A5FD3" w:rsidP="004A5FD3">
            <w:pPr>
              <w:bidi w:val="0"/>
              <w:spacing w:after="0" w:line="240" w:lineRule="auto"/>
              <w:rPr>
                <w:rFonts w:ascii="Times New Roman" w:hAnsi="Times New Roman" w:cs="Times New Roman"/>
                <w:b/>
                <w:i/>
                <w:iCs/>
                <w:sz w:val="2"/>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rPr>
                <w:rFonts w:ascii="Times New Roman" w:hAnsi="Times New Roman" w:cs="Times New Roman"/>
                <w:sz w:val="24"/>
                <w:szCs w:val="24"/>
                <w:lang w:eastAsia="sk-SK"/>
              </w:rPr>
            </w:pPr>
            <w:r w:rsidRPr="004A5FD3">
              <w:rPr>
                <w:rFonts w:ascii="Times New Roman" w:hAnsi="Times New Roman" w:cs="Times New Roman"/>
                <w:b/>
                <w:sz w:val="24"/>
                <w:szCs w:val="24"/>
                <w:lang w:eastAsia="sk-SK"/>
              </w:rPr>
              <w:t>6.15.</w:t>
            </w:r>
            <w:r w:rsidRPr="004A5FD3">
              <w:rPr>
                <w:rFonts w:ascii="Times New Roman" w:hAnsi="Times New Roman" w:cs="Times New Roman"/>
                <w:sz w:val="24"/>
                <w:szCs w:val="24"/>
                <w:lang w:eastAsia="sk-SK"/>
              </w:rPr>
              <w:t xml:space="preserve"> Predpokladá nelegislatívny materiál potrebu úpravy legislatívneho prostredia  procesu informatizácie?</w:t>
            </w:r>
          </w:p>
          <w:p w:rsidR="004A5FD3" w:rsidRPr="004A5FD3" w:rsidP="004A5FD3">
            <w:pPr>
              <w:bidi w:val="0"/>
              <w:spacing w:after="0" w:line="20" w:lineRule="atLeast"/>
              <w:rPr>
                <w:rFonts w:ascii="Times New Roman" w:hAnsi="Times New Roman" w:cs="Times New Roman"/>
                <w:sz w:val="24"/>
                <w:szCs w:val="24"/>
                <w:lang w:eastAsia="sk-SK"/>
              </w:rPr>
            </w:pPr>
            <w:r w:rsidRPr="004A5FD3">
              <w:rPr>
                <w:rFonts w:ascii="Times New Roman" w:hAnsi="Times New Roman" w:cs="Times New Roman"/>
                <w:i/>
                <w:iCs/>
                <w:sz w:val="24"/>
                <w:szCs w:val="24"/>
                <w:lang w:eastAsia="sk-SK"/>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A5FD3" w:rsidRPr="004A5FD3" w:rsidP="004A5FD3">
            <w:pPr>
              <w:bidi w:val="0"/>
              <w:spacing w:after="0" w:line="240" w:lineRule="auto"/>
              <w:rPr>
                <w:rFonts w:ascii="Times New Roman" w:hAnsi="Times New Roman" w:cs="Times New Roman"/>
                <w:i/>
                <w:iCs/>
                <w:sz w:val="2"/>
                <w:lang w:eastAsia="sk-SK"/>
              </w:rPr>
            </w:pPr>
            <w:r w:rsidRPr="004A5FD3">
              <w:rPr>
                <w:rFonts w:ascii="Times New Roman" w:hAnsi="Times New Roman" w:cs="Times New Roman"/>
                <w:sz w:val="24"/>
                <w:szCs w:val="24"/>
                <w:lang w:eastAsia="sk-SK"/>
              </w:rPr>
              <w:t>nie</w:t>
            </w:r>
          </w:p>
        </w:tc>
      </w:tr>
    </w:tbl>
    <w:p w:rsidR="004A5FD3" w:rsidRPr="004A5FD3" w:rsidP="004A5FD3">
      <w:pPr>
        <w:bidi w:val="0"/>
        <w:spacing w:after="0" w:line="240" w:lineRule="atLeast"/>
        <w:jc w:val="center"/>
        <w:rPr>
          <w:rFonts w:ascii="Times New Roman" w:hAnsi="Times New Roman" w:cs="Times New Roman"/>
          <w:b/>
          <w:sz w:val="28"/>
          <w:szCs w:val="28"/>
          <w:lang w:eastAsia="sk-SK"/>
        </w:rPr>
      </w:pPr>
    </w:p>
    <w:p w:rsidR="004A5FD3" w:rsidRPr="004A5FD3" w:rsidP="004A5FD3">
      <w:pPr>
        <w:bidi w:val="0"/>
        <w:spacing w:after="0" w:line="240" w:lineRule="atLeast"/>
        <w:jc w:val="center"/>
        <w:rPr>
          <w:rFonts w:ascii="Times New Roman" w:hAnsi="Times New Roman" w:cs="Times New Roman"/>
          <w:b/>
          <w:sz w:val="28"/>
          <w:szCs w:val="28"/>
          <w:lang w:eastAsia="sk-SK"/>
        </w:rPr>
      </w:pPr>
    </w:p>
    <w:p w:rsidR="004A5FD3" w:rsidRPr="004A5FD3" w:rsidP="004A5FD3">
      <w:pPr>
        <w:bidi w:val="0"/>
        <w:spacing w:after="0" w:line="240" w:lineRule="atLeast"/>
        <w:jc w:val="center"/>
        <w:rPr>
          <w:rFonts w:ascii="Times New Roman" w:hAnsi="Times New Roman" w:cs="Times New Roman"/>
          <w:b/>
          <w:sz w:val="28"/>
          <w:szCs w:val="28"/>
          <w:lang w:eastAsia="sk-SK"/>
        </w:rPr>
      </w:pPr>
    </w:p>
    <w:p w:rsidR="004A5FD3" w:rsidRPr="004A5FD3" w:rsidP="004A5FD3">
      <w:pPr>
        <w:bidi w:val="0"/>
        <w:spacing w:after="0" w:line="240" w:lineRule="atLeast"/>
        <w:jc w:val="center"/>
        <w:rPr>
          <w:rFonts w:ascii="Times New Roman" w:hAnsi="Times New Roman" w:cs="Times New Roman"/>
          <w:b/>
          <w:sz w:val="28"/>
          <w:szCs w:val="28"/>
          <w:lang w:eastAsia="sk-SK"/>
        </w:rPr>
      </w:pPr>
    </w:p>
    <w:p w:rsidR="004A5FD3" w:rsidRPr="004A5FD3" w:rsidP="004A5FD3">
      <w:pPr>
        <w:bidi w:val="0"/>
        <w:spacing w:after="0" w:line="240" w:lineRule="atLeast"/>
        <w:jc w:val="center"/>
        <w:rPr>
          <w:rFonts w:ascii="Times New Roman" w:hAnsi="Times New Roman" w:cs="Times New Roman"/>
          <w:b/>
          <w:sz w:val="28"/>
          <w:szCs w:val="28"/>
          <w:lang w:eastAsia="sk-SK"/>
        </w:rPr>
      </w:pPr>
    </w:p>
    <w:p w:rsidR="004A5FD3" w:rsidRPr="004A5FD3" w:rsidP="004A5FD3">
      <w:pPr>
        <w:bidi w:val="0"/>
        <w:spacing w:after="0" w:line="240" w:lineRule="atLeast"/>
        <w:jc w:val="center"/>
        <w:rPr>
          <w:rFonts w:ascii="Times New Roman" w:hAnsi="Times New Roman" w:cs="Times New Roman"/>
          <w:b/>
          <w:sz w:val="28"/>
          <w:szCs w:val="28"/>
          <w:lang w:eastAsia="sk-SK"/>
        </w:rPr>
      </w:pPr>
    </w:p>
    <w:p w:rsidR="004A5FD3" w:rsidRPr="004A5FD3" w:rsidP="004A5FD3">
      <w:pPr>
        <w:bidi w:val="0"/>
        <w:spacing w:after="0" w:line="240" w:lineRule="atLeast"/>
        <w:jc w:val="center"/>
        <w:rPr>
          <w:rFonts w:ascii="Times New Roman" w:hAnsi="Times New Roman" w:cs="Times New Roman"/>
          <w:b/>
          <w:sz w:val="28"/>
          <w:szCs w:val="28"/>
          <w:lang w:eastAsia="sk-SK"/>
        </w:rPr>
      </w:pPr>
    </w:p>
    <w:p w:rsidR="004A5FD3" w:rsidRPr="004A5FD3" w:rsidP="004A5FD3">
      <w:pPr>
        <w:bidi w:val="0"/>
        <w:spacing w:after="0" w:line="240" w:lineRule="atLeast"/>
        <w:jc w:val="center"/>
        <w:rPr>
          <w:rFonts w:ascii="Times New Roman" w:hAnsi="Times New Roman" w:cs="Times New Roman"/>
          <w:b/>
          <w:sz w:val="28"/>
          <w:szCs w:val="28"/>
          <w:lang w:eastAsia="sk-SK"/>
        </w:rPr>
      </w:pPr>
    </w:p>
    <w:p w:rsidR="004A5FD3" w:rsidRPr="004A5FD3" w:rsidP="004A5FD3">
      <w:pPr>
        <w:bidi w:val="0"/>
        <w:spacing w:after="0" w:line="240" w:lineRule="atLeast"/>
        <w:jc w:val="center"/>
        <w:rPr>
          <w:rFonts w:ascii="Times New Roman" w:hAnsi="Times New Roman" w:cs="Times New Roman"/>
          <w:b/>
          <w:sz w:val="28"/>
          <w:szCs w:val="28"/>
          <w:lang w:eastAsia="sk-SK"/>
        </w:rPr>
      </w:pPr>
    </w:p>
    <w:p w:rsidR="004A5FD3" w:rsidRPr="004A5FD3" w:rsidP="004A5FD3">
      <w:pPr>
        <w:bidi w:val="0"/>
        <w:jc w:val="center"/>
        <w:outlineLvl w:val="4"/>
        <w:rPr>
          <w:rFonts w:ascii="Times New Roman" w:hAnsi="Times New Roman" w:cs="Times New Roman"/>
          <w:b/>
          <w:bCs/>
          <w:color w:val="303030"/>
          <w:sz w:val="24"/>
          <w:szCs w:val="24"/>
        </w:rPr>
      </w:pPr>
      <w:r w:rsidRPr="004A5FD3">
        <w:rPr>
          <w:rFonts w:ascii="Times New Roman" w:hAnsi="Times New Roman" w:cs="Times New Roman"/>
          <w:b/>
          <w:bCs/>
          <w:color w:val="303030"/>
          <w:sz w:val="24"/>
          <w:szCs w:val="24"/>
        </w:rPr>
        <w:t>DOLOŽKA ZLUČITEĽNOSTI</w:t>
      </w:r>
    </w:p>
    <w:p w:rsidR="004A5FD3" w:rsidRPr="004A5FD3" w:rsidP="004A5FD3">
      <w:pPr>
        <w:bidi w:val="0"/>
        <w:jc w:val="center"/>
        <w:outlineLvl w:val="4"/>
        <w:rPr>
          <w:rFonts w:ascii="Times New Roman" w:hAnsi="Times New Roman" w:cs="Times New Roman"/>
          <w:b/>
          <w:bCs/>
          <w:color w:val="303030"/>
          <w:sz w:val="24"/>
          <w:szCs w:val="24"/>
        </w:rPr>
      </w:pPr>
      <w:r w:rsidRPr="004A5FD3">
        <w:rPr>
          <w:rFonts w:ascii="Times New Roman" w:hAnsi="Times New Roman" w:cs="Times New Roman"/>
          <w:b/>
          <w:bCs/>
          <w:color w:val="303030"/>
          <w:sz w:val="24"/>
          <w:szCs w:val="24"/>
        </w:rPr>
        <w:t>právneho predpisu  s právom Európskej únie</w:t>
      </w:r>
    </w:p>
    <w:p w:rsidR="004A5FD3" w:rsidRPr="004A5FD3" w:rsidP="004A5FD3">
      <w:pPr>
        <w:bidi w:val="0"/>
        <w:jc w:val="both"/>
        <w:outlineLvl w:val="4"/>
        <w:rPr>
          <w:rFonts w:ascii="Times New Roman" w:hAnsi="Times New Roman" w:cs="Times New Roman"/>
          <w:b/>
          <w:bCs/>
          <w:color w:val="303030"/>
          <w:sz w:val="24"/>
          <w:szCs w:val="24"/>
        </w:rPr>
      </w:pPr>
    </w:p>
    <w:p w:rsidR="004A5FD3" w:rsidRPr="004A5FD3" w:rsidP="004A5FD3">
      <w:pPr>
        <w:bidi w:val="0"/>
        <w:jc w:val="both"/>
        <w:outlineLvl w:val="4"/>
        <w:rPr>
          <w:rFonts w:ascii="Times New Roman" w:hAnsi="Times New Roman" w:cs="Times New Roman"/>
          <w:b/>
          <w:bCs/>
          <w:color w:val="303030"/>
          <w:sz w:val="24"/>
          <w:szCs w:val="24"/>
        </w:rPr>
      </w:pPr>
    </w:p>
    <w:p w:rsidR="004A5FD3" w:rsidRPr="004A5FD3" w:rsidP="004A5FD3">
      <w:pPr>
        <w:numPr>
          <w:numId w:val="12"/>
        </w:numPr>
        <w:bidi w:val="0"/>
        <w:spacing w:after="0" w:line="240" w:lineRule="auto"/>
        <w:jc w:val="both"/>
        <w:outlineLvl w:val="4"/>
        <w:rPr>
          <w:rFonts w:ascii="Times New Roman" w:hAnsi="Times New Roman" w:cs="Times New Roman"/>
          <w:bCs/>
          <w:color w:val="303030"/>
          <w:sz w:val="24"/>
          <w:szCs w:val="24"/>
        </w:rPr>
      </w:pPr>
      <w:r w:rsidRPr="004A5FD3">
        <w:rPr>
          <w:rFonts w:ascii="Times New Roman" w:hAnsi="Times New Roman" w:cs="Times New Roman"/>
          <w:b/>
          <w:bCs/>
          <w:color w:val="303030"/>
          <w:sz w:val="24"/>
          <w:szCs w:val="24"/>
        </w:rPr>
        <w:t xml:space="preserve">Predkladateľ právneho predpisu: </w:t>
      </w:r>
    </w:p>
    <w:p w:rsidR="004A5FD3" w:rsidRPr="004A5FD3" w:rsidP="004A5FD3">
      <w:pPr>
        <w:bidi w:val="0"/>
        <w:jc w:val="both"/>
        <w:outlineLvl w:val="4"/>
        <w:rPr>
          <w:rFonts w:ascii="Times New Roman" w:hAnsi="Times New Roman" w:cs="Times New Roman"/>
          <w:bCs/>
          <w:color w:val="303030"/>
          <w:sz w:val="24"/>
          <w:szCs w:val="24"/>
        </w:rPr>
      </w:pPr>
      <w:r w:rsidRPr="004A5FD3">
        <w:rPr>
          <w:rFonts w:ascii="Times New Roman" w:hAnsi="Times New Roman" w:cs="Times New Roman"/>
          <w:bCs/>
          <w:color w:val="303030"/>
          <w:sz w:val="24"/>
          <w:szCs w:val="24"/>
        </w:rPr>
        <w:t>Vláda Slovenskej republiky</w:t>
      </w:r>
    </w:p>
    <w:p w:rsidR="004A5FD3" w:rsidRPr="004A5FD3" w:rsidP="004A5FD3">
      <w:pPr>
        <w:bidi w:val="0"/>
        <w:jc w:val="both"/>
        <w:outlineLvl w:val="4"/>
        <w:rPr>
          <w:rFonts w:ascii="Times New Roman" w:hAnsi="Times New Roman" w:cs="Times New Roman"/>
          <w:bCs/>
          <w:color w:val="303030"/>
          <w:sz w:val="24"/>
          <w:szCs w:val="24"/>
        </w:rPr>
      </w:pPr>
    </w:p>
    <w:p w:rsidR="004A5FD3" w:rsidRPr="004A5FD3" w:rsidP="004A5FD3">
      <w:pPr>
        <w:numPr>
          <w:numId w:val="12"/>
        </w:numPr>
        <w:bidi w:val="0"/>
        <w:spacing w:after="0" w:line="240" w:lineRule="auto"/>
        <w:jc w:val="both"/>
        <w:outlineLvl w:val="4"/>
        <w:rPr>
          <w:rFonts w:ascii="Times New Roman" w:hAnsi="Times New Roman" w:cs="Times New Roman"/>
          <w:bCs/>
          <w:color w:val="303030"/>
          <w:sz w:val="24"/>
          <w:szCs w:val="24"/>
        </w:rPr>
      </w:pPr>
      <w:r w:rsidRPr="004A5FD3">
        <w:rPr>
          <w:rFonts w:ascii="Times New Roman" w:hAnsi="Times New Roman" w:cs="Times New Roman"/>
          <w:b/>
          <w:bCs/>
          <w:color w:val="303030"/>
          <w:sz w:val="24"/>
          <w:szCs w:val="24"/>
        </w:rPr>
        <w:t xml:space="preserve">Názov návrhu právneho predpisu: </w:t>
      </w:r>
    </w:p>
    <w:p w:rsidR="004A5FD3" w:rsidRPr="004A5FD3" w:rsidP="004A5FD3">
      <w:pPr>
        <w:bidi w:val="0"/>
        <w:jc w:val="both"/>
        <w:outlineLvl w:val="4"/>
        <w:rPr>
          <w:rFonts w:ascii="Times New Roman" w:hAnsi="Times New Roman" w:cs="Times New Roman"/>
          <w:bCs/>
          <w:color w:val="303030"/>
          <w:sz w:val="24"/>
          <w:szCs w:val="24"/>
        </w:rPr>
      </w:pPr>
      <w:r w:rsidRPr="004A5FD3">
        <w:rPr>
          <w:rFonts w:ascii="Times New Roman" w:hAnsi="Times New Roman" w:cs="Times New Roman"/>
          <w:b/>
          <w:bCs/>
          <w:color w:val="303030"/>
          <w:sz w:val="24"/>
          <w:szCs w:val="24"/>
        </w:rPr>
        <w:t xml:space="preserve">      </w:t>
      </w:r>
      <w:r w:rsidRPr="004A5FD3">
        <w:rPr>
          <w:rFonts w:ascii="Times New Roman" w:hAnsi="Times New Roman" w:cs="Times New Roman"/>
          <w:bCs/>
          <w:color w:val="303030"/>
          <w:sz w:val="24"/>
          <w:szCs w:val="24"/>
        </w:rPr>
        <w:t>Návrh zákona, ktorým sa mení a dopĺňa zákon č. 253/1998 Z. z. o hlásení pobytu občanov Slovenskej republiky a registri obyvateľov Slovenskej republiky v znení neskorších predpisov.</w:t>
      </w:r>
    </w:p>
    <w:p w:rsidR="004A5FD3" w:rsidRPr="004A5FD3" w:rsidP="004A5FD3">
      <w:pPr>
        <w:bidi w:val="0"/>
        <w:jc w:val="both"/>
        <w:outlineLvl w:val="4"/>
        <w:rPr>
          <w:rFonts w:ascii="Times New Roman" w:hAnsi="Times New Roman" w:cs="Times New Roman"/>
          <w:bCs/>
          <w:color w:val="303030"/>
          <w:sz w:val="24"/>
          <w:szCs w:val="24"/>
        </w:rPr>
      </w:pP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b/>
          <w:bCs/>
          <w:sz w:val="24"/>
          <w:szCs w:val="24"/>
          <w:lang w:eastAsia="sk-SK"/>
        </w:rPr>
        <w:t>3.  Problematika návrhu právneho predpisu:</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 xml:space="preserve">Nie je obsiahnutá v judikatúre Súdneho dvora Európskej únie </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Vzhľadom na vnútroštátny charakter navrhovaného právneho predpisu je bezpredmetné vyjadrovať sa k bodom 4., 5. až 6.</w:t>
      </w:r>
    </w:p>
    <w:p w:rsidR="004A5FD3" w:rsidRPr="004A5FD3" w:rsidP="004A5FD3">
      <w:pPr>
        <w:bidi w:val="0"/>
        <w:spacing w:after="0" w:line="240" w:lineRule="auto"/>
        <w:jc w:val="both"/>
        <w:rPr>
          <w:rFonts w:ascii="Times New Roman" w:hAnsi="Times New Roman" w:cs="Times New Roman"/>
          <w:sz w:val="24"/>
          <w:szCs w:val="24"/>
          <w:lang w:eastAsia="sk-SK"/>
        </w:rPr>
      </w:pPr>
      <w:r w:rsidRPr="004A5FD3">
        <w:rPr>
          <w:rFonts w:ascii="Times New Roman" w:hAnsi="Times New Roman" w:cs="Times New Roman"/>
          <w:sz w:val="24"/>
          <w:szCs w:val="24"/>
          <w:lang w:eastAsia="sk-SK"/>
        </w:rPr>
        <w:t> </w:t>
      </w:r>
    </w:p>
    <w:p w:rsidR="004A5FD3" w:rsidRPr="004A5FD3" w:rsidP="004A5FD3">
      <w:pPr>
        <w:bidi w:val="0"/>
        <w:rPr>
          <w:rFonts w:ascii="Calibri" w:hAnsi="Calibri" w:cs="Times New Roman"/>
        </w:rPr>
      </w:pPr>
    </w:p>
    <w:p w:rsidR="004A5FD3" w:rsidRPr="004A5FD3" w:rsidP="004A5FD3">
      <w:pPr>
        <w:bidi w:val="0"/>
        <w:spacing w:after="0" w:line="240" w:lineRule="atLeast"/>
        <w:jc w:val="center"/>
        <w:rPr>
          <w:rFonts w:ascii="Times New Roman" w:hAnsi="Times New Roman" w:cs="Times New Roman"/>
          <w:b/>
          <w:sz w:val="28"/>
          <w:szCs w:val="28"/>
          <w:lang w:eastAsia="sk-SK"/>
        </w:rPr>
      </w:pPr>
    </w:p>
    <w:p w:rsidR="004A5FD3" w:rsidRPr="004A5FD3" w:rsidP="004A5FD3">
      <w:pPr>
        <w:bidi w:val="0"/>
        <w:spacing w:after="0" w:line="240" w:lineRule="atLeast"/>
        <w:jc w:val="center"/>
        <w:rPr>
          <w:rFonts w:ascii="Times New Roman" w:hAnsi="Times New Roman" w:cs="Times New Roman"/>
          <w:b/>
          <w:sz w:val="28"/>
          <w:szCs w:val="28"/>
          <w:lang w:eastAsia="sk-SK"/>
        </w:rPr>
      </w:pPr>
    </w:p>
    <w:p w:rsidR="004A5FD3" w:rsidRPr="004A5FD3" w:rsidP="004A5FD3">
      <w:pPr>
        <w:bidi w:val="0"/>
        <w:spacing w:after="0" w:line="240" w:lineRule="auto"/>
        <w:rPr>
          <w:rFonts w:ascii="Times New Roman" w:hAnsi="Times New Roman" w:cs="Times New Roman"/>
          <w:sz w:val="24"/>
          <w:szCs w:val="24"/>
          <w:lang w:eastAsia="sk-SK"/>
        </w:rPr>
      </w:pPr>
    </w:p>
    <w:p w:rsidR="004A5FD3" w:rsidRPr="004A5FD3" w:rsidP="004A5FD3">
      <w:pPr>
        <w:bidi w:val="0"/>
        <w:rPr>
          <w:rFonts w:ascii="Times New Roman" w:hAnsi="Times New Roman" w:cs="Times New Roman"/>
          <w:sz w:val="24"/>
          <w:szCs w:val="24"/>
        </w:rPr>
      </w:pPr>
    </w:p>
    <w:p w:rsidR="004A5FD3" w:rsidRPr="004A5FD3" w:rsidP="004A5FD3">
      <w:pPr>
        <w:bidi w:val="0"/>
        <w:jc w:val="center"/>
        <w:rPr>
          <w:rFonts w:ascii="Times New Roman" w:hAnsi="Times New Roman" w:cs="Times New Roman"/>
          <w:sz w:val="24"/>
          <w:szCs w:val="24"/>
        </w:rPr>
      </w:pPr>
    </w:p>
    <w:p w:rsidR="004A5FD3" w:rsidRPr="004A5FD3" w:rsidP="004A5FD3">
      <w:pPr>
        <w:bidi w:val="0"/>
        <w:rPr>
          <w:rFonts w:ascii="Times New Roman" w:hAnsi="Times New Roman" w:cs="Times New Roman"/>
        </w:rPr>
      </w:pPr>
    </w:p>
    <w:p w:rsidR="004A5FD3" w:rsidRPr="004A5FD3" w:rsidP="004A5FD3">
      <w:pPr>
        <w:bidi w:val="0"/>
        <w:rPr>
          <w:rFonts w:ascii="Calibri" w:hAnsi="Calibri" w:cs="Times New Roman"/>
        </w:rPr>
      </w:pPr>
    </w:p>
    <w:p w:rsidR="00F37928">
      <w:pPr>
        <w:bidi w:val="0"/>
      </w:pPr>
    </w:p>
    <w:sectPr w:rsidSect="004A5FD3">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BF" w:rsidP="004A5FD3">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E4DBF" w:rsidP="004A5FD3">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BF">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A4ED5">
      <w:rPr>
        <w:rFonts w:ascii="Times New Roman" w:hAnsi="Times New Roman"/>
        <w:noProof/>
      </w:rPr>
      <w:t>10</w:t>
    </w:r>
    <w:r>
      <w:rPr>
        <w:rFonts w:ascii="Times New Roman" w:hAnsi="Times New Roman"/>
      </w:rPr>
      <w:fldChar w:fldCharType="end"/>
    </w:r>
  </w:p>
  <w:p w:rsidR="001E4DBF" w:rsidP="004A5FD3">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C39" w:rsidP="004A5FD3">
      <w:pPr>
        <w:bidi w:val="0"/>
        <w:spacing w:after="0" w:line="240" w:lineRule="auto"/>
      </w:pPr>
      <w:r>
        <w:separator/>
      </w:r>
    </w:p>
  </w:footnote>
  <w:footnote w:type="continuationSeparator" w:id="1">
    <w:p w:rsidR="00140C39" w:rsidP="004A5FD3">
      <w:pPr>
        <w:bidi w:val="0"/>
        <w:spacing w:after="0" w:line="240" w:lineRule="auto"/>
      </w:pPr>
      <w:r>
        <w:continuationSeparator/>
      </w:r>
    </w:p>
  </w:footnote>
  <w:footnote w:id="2">
    <w:p w:rsidP="004A5FD3">
      <w:pPr>
        <w:pStyle w:val="FootnoteText"/>
        <w:bidi w:val="0"/>
      </w:pPr>
      <w:r w:rsidR="001E4DBF">
        <w:rPr>
          <w:rStyle w:val="FootnoteReference"/>
        </w:rPr>
        <w:footnoteRef/>
      </w:r>
      <w:r w:rsidR="001E4DBF">
        <w:t xml:space="preserve"> </w:t>
      </w:r>
      <w:r w:rsidR="001E4DBF">
        <w:rPr>
          <w:b/>
          <w:bCs/>
          <w:i/>
          <w:iCs/>
          <w:sz w:val="24"/>
          <w:szCs w:val="24"/>
        </w:rPr>
        <w:t>Softvér update (update-aktualizácia programového produktu)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BF">
    <w:pPr>
      <w:pStyle w:val="Header"/>
      <w:bidi w:val="0"/>
      <w:rPr>
        <w:rFonts w:ascii="Times New Roman" w:hAnsi="Times New Roman"/>
      </w:rPr>
    </w:pPr>
  </w:p>
  <w:p w:rsidR="001E4DBF" w:rsidP="004A5FD3">
    <w:pPr>
      <w:pStyle w:val="Header"/>
      <w:tabs>
        <w:tab w:val="left" w:pos="7695"/>
      </w:tabs>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3742"/>
    <w:multiLevelType w:val="hybridMultilevel"/>
    <w:tmpl w:val="6E0E9746"/>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
    <w:nsid w:val="203E17F1"/>
    <w:multiLevelType w:val="hybridMultilevel"/>
    <w:tmpl w:val="EC02AC98"/>
    <w:lvl w:ilvl="0">
      <w:start w:val="1"/>
      <w:numFmt w:val="lowerLetter"/>
      <w:lvlText w:val="%1)"/>
      <w:lvlJc w:val="left"/>
      <w:pPr>
        <w:ind w:left="1004" w:hanging="360"/>
      </w:pPr>
      <w:rPr>
        <w:rFonts w:ascii="Times New Roman" w:eastAsia="Times New Roman" w:hAnsi="Times New Roman"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
    <w:nsid w:val="23733458"/>
    <w:multiLevelType w:val="hybridMultilevel"/>
    <w:tmpl w:val="49104DAE"/>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38CC20D1"/>
    <w:multiLevelType w:val="hybridMultilevel"/>
    <w:tmpl w:val="B6C05CE2"/>
    <w:lvl w:ilvl="0">
      <w:start w:val="1"/>
      <w:numFmt w:val="decimal"/>
      <w:lvlText w:val="%1."/>
      <w:lvlJc w:val="left"/>
      <w:pPr>
        <w:tabs>
          <w:tab w:val="num" w:pos="720"/>
        </w:tabs>
        <w:ind w:left="720" w:hanging="360"/>
      </w:pPr>
      <w:rPr>
        <w:rFonts w:cs="Times New Roman" w:hint="default"/>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39ED7436"/>
    <w:multiLevelType w:val="hybridMultilevel"/>
    <w:tmpl w:val="58A89C8A"/>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
    <w:nsid w:val="41C85E81"/>
    <w:multiLevelType w:val="hybridMultilevel"/>
    <w:tmpl w:val="6C78CAD4"/>
    <w:lvl w:ilvl="0">
      <w:start w:val="1"/>
      <w:numFmt w:val="decimal"/>
      <w:lvlText w:val="%1."/>
      <w:lvlJc w:val="left"/>
      <w:pPr>
        <w:ind w:left="2136" w:hanging="360"/>
      </w:pPr>
      <w:rPr>
        <w:rFonts w:cs="Times New Roman" w:hint="default"/>
        <w:rtl w:val="0"/>
        <w:cs w:val="0"/>
      </w:rPr>
    </w:lvl>
    <w:lvl w:ilvl="1">
      <w:start w:val="1"/>
      <w:numFmt w:val="lowerLetter"/>
      <w:lvlText w:val="%2."/>
      <w:lvlJc w:val="left"/>
      <w:pPr>
        <w:ind w:left="2856" w:hanging="360"/>
      </w:pPr>
      <w:rPr>
        <w:rFonts w:cs="Times New Roman"/>
        <w:rtl w:val="0"/>
        <w:cs w:val="0"/>
      </w:rPr>
    </w:lvl>
    <w:lvl w:ilvl="2">
      <w:start w:val="1"/>
      <w:numFmt w:val="lowerRoman"/>
      <w:lvlText w:val="%3."/>
      <w:lvlJc w:val="right"/>
      <w:pPr>
        <w:ind w:left="3576" w:hanging="180"/>
      </w:pPr>
      <w:rPr>
        <w:rFonts w:cs="Times New Roman"/>
        <w:rtl w:val="0"/>
        <w:cs w:val="0"/>
      </w:rPr>
    </w:lvl>
    <w:lvl w:ilvl="3">
      <w:start w:val="1"/>
      <w:numFmt w:val="decimal"/>
      <w:lvlText w:val="%4."/>
      <w:lvlJc w:val="left"/>
      <w:pPr>
        <w:ind w:left="4296" w:hanging="360"/>
      </w:pPr>
      <w:rPr>
        <w:rFonts w:cs="Times New Roman"/>
        <w:rtl w:val="0"/>
        <w:cs w:val="0"/>
      </w:rPr>
    </w:lvl>
    <w:lvl w:ilvl="4">
      <w:start w:val="1"/>
      <w:numFmt w:val="lowerLetter"/>
      <w:lvlText w:val="%5."/>
      <w:lvlJc w:val="left"/>
      <w:pPr>
        <w:ind w:left="5016" w:hanging="360"/>
      </w:pPr>
      <w:rPr>
        <w:rFonts w:cs="Times New Roman"/>
        <w:rtl w:val="0"/>
        <w:cs w:val="0"/>
      </w:rPr>
    </w:lvl>
    <w:lvl w:ilvl="5">
      <w:start w:val="1"/>
      <w:numFmt w:val="lowerRoman"/>
      <w:lvlText w:val="%6."/>
      <w:lvlJc w:val="right"/>
      <w:pPr>
        <w:ind w:left="5736" w:hanging="180"/>
      </w:pPr>
      <w:rPr>
        <w:rFonts w:cs="Times New Roman"/>
        <w:rtl w:val="0"/>
        <w:cs w:val="0"/>
      </w:rPr>
    </w:lvl>
    <w:lvl w:ilvl="6">
      <w:start w:val="1"/>
      <w:numFmt w:val="decimal"/>
      <w:lvlText w:val="%7."/>
      <w:lvlJc w:val="left"/>
      <w:pPr>
        <w:ind w:left="6456" w:hanging="360"/>
      </w:pPr>
      <w:rPr>
        <w:rFonts w:cs="Times New Roman"/>
        <w:rtl w:val="0"/>
        <w:cs w:val="0"/>
      </w:rPr>
    </w:lvl>
    <w:lvl w:ilvl="7">
      <w:start w:val="1"/>
      <w:numFmt w:val="lowerLetter"/>
      <w:lvlText w:val="%8."/>
      <w:lvlJc w:val="left"/>
      <w:pPr>
        <w:ind w:left="7176" w:hanging="360"/>
      </w:pPr>
      <w:rPr>
        <w:rFonts w:cs="Times New Roman"/>
        <w:rtl w:val="0"/>
        <w:cs w:val="0"/>
      </w:rPr>
    </w:lvl>
    <w:lvl w:ilvl="8">
      <w:start w:val="1"/>
      <w:numFmt w:val="lowerRoman"/>
      <w:lvlText w:val="%9."/>
      <w:lvlJc w:val="right"/>
      <w:pPr>
        <w:ind w:left="7896" w:hanging="180"/>
      </w:pPr>
      <w:rPr>
        <w:rFonts w:cs="Times New Roman"/>
        <w:rtl w:val="0"/>
        <w:cs w:val="0"/>
      </w:rPr>
    </w:lvl>
  </w:abstractNum>
  <w:abstractNum w:abstractNumId="6">
    <w:nsid w:val="42DD5101"/>
    <w:multiLevelType w:val="hybridMultilevel"/>
    <w:tmpl w:val="2F286718"/>
    <w:lvl w:ilvl="0">
      <w:start w:val="1"/>
      <w:numFmt w:val="lowerLetter"/>
      <w:lvlText w:val="%1)"/>
      <w:lvlJc w:val="left"/>
      <w:pPr>
        <w:ind w:left="1776" w:hanging="360"/>
      </w:pPr>
      <w:rPr>
        <w:rFonts w:cs="Times New Roman" w:hint="default"/>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7">
    <w:nsid w:val="68D86123"/>
    <w:multiLevelType w:val="hybridMultilevel"/>
    <w:tmpl w:val="9F7CEB12"/>
    <w:lvl w:ilvl="0">
      <w:start w:val="1"/>
      <w:numFmt w:val="decimal"/>
      <w:lvlText w:val="(%1)"/>
      <w:lvlJc w:val="left"/>
      <w:pPr>
        <w:ind w:left="1080"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
    <w:nsid w:val="6A342A1F"/>
    <w:multiLevelType w:val="hybridMultilevel"/>
    <w:tmpl w:val="7E5034F6"/>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6CC05277"/>
    <w:multiLevelType w:val="hybridMultilevel"/>
    <w:tmpl w:val="B9FC9DE2"/>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0">
    <w:nsid w:val="7ABE113C"/>
    <w:multiLevelType w:val="hybridMultilevel"/>
    <w:tmpl w:val="EC762134"/>
    <w:lvl w:ilvl="0">
      <w:start w:val="1"/>
      <w:numFmt w:val="decimal"/>
      <w:lvlText w:val="%1."/>
      <w:lvlJc w:val="left"/>
      <w:pPr>
        <w:ind w:left="502"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compat/>
  <w:rsids>
    <w:rsidRoot w:val="004A5FD3"/>
    <w:rsid w:val="00033E5F"/>
    <w:rsid w:val="00140C39"/>
    <w:rsid w:val="001A4ED5"/>
    <w:rsid w:val="001E4DBF"/>
    <w:rsid w:val="004A5FD3"/>
    <w:rsid w:val="0057496B"/>
    <w:rsid w:val="005D3F68"/>
    <w:rsid w:val="005E076D"/>
    <w:rsid w:val="00941A45"/>
    <w:rsid w:val="009B6469"/>
    <w:rsid w:val="00AC4C8E"/>
    <w:rsid w:val="00BE256B"/>
    <w:rsid w:val="00D05D0D"/>
    <w:rsid w:val="00F37928"/>
    <w:rsid w:val="00FE730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2">
    <w:name w:val="heading 2"/>
    <w:basedOn w:val="Normal"/>
    <w:next w:val="Normal"/>
    <w:link w:val="Nadpis2Char"/>
    <w:uiPriority w:val="9"/>
    <w:semiHidden/>
    <w:unhideWhenUsed/>
    <w:qFormat/>
    <w:rsid w:val="004A5FD3"/>
    <w:pPr>
      <w:keepNext/>
      <w:spacing w:before="240" w:after="60" w:line="240" w:lineRule="auto"/>
      <w:jc w:val="left"/>
      <w:outlineLvl w:val="1"/>
    </w:pPr>
    <w:rPr>
      <w:rFonts w:ascii="Arial" w:hAnsi="Arial" w:cs="Arial"/>
      <w:b/>
      <w:bCs/>
      <w:i/>
      <w:iCs/>
      <w:noProof/>
      <w:sz w:val="28"/>
      <w:szCs w:val="2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4A5FD3"/>
    <w:rPr>
      <w:rFonts w:ascii="Arial" w:hAnsi="Arial" w:cs="Arial"/>
      <w:b/>
      <w:bCs/>
      <w:i/>
      <w:iCs/>
      <w:noProof/>
      <w:sz w:val="28"/>
      <w:szCs w:val="28"/>
      <w:rtl w:val="0"/>
      <w:cs w:val="0"/>
      <w:lang w:eastAsia="sk-SK"/>
    </w:rPr>
  </w:style>
  <w:style w:type="paragraph" w:styleId="ListParagraph">
    <w:name w:val="List Paragraph"/>
    <w:basedOn w:val="Normal"/>
    <w:link w:val="OdsekzoznamuChar"/>
    <w:uiPriority w:val="99"/>
    <w:qFormat/>
    <w:rsid w:val="004A5FD3"/>
    <w:pPr>
      <w:ind w:left="720"/>
      <w:contextualSpacing/>
      <w:jc w:val="left"/>
    </w:pPr>
    <w:rPr>
      <w:rFonts w:ascii="Calibri" w:hAnsi="Calibri" w:cs="Times New Roman"/>
    </w:rPr>
  </w:style>
  <w:style w:type="paragraph" w:styleId="FootnoteText">
    <w:name w:val="footnote text"/>
    <w:basedOn w:val="Normal"/>
    <w:link w:val="TextpoznmkypodiarouChar"/>
    <w:uiPriority w:val="99"/>
    <w:rsid w:val="004A5FD3"/>
    <w:pPr>
      <w:jc w:val="left"/>
    </w:pPr>
    <w:rPr>
      <w:rFonts w:ascii="Calibri" w:hAnsi="Calibri" w:cs="Times New Roman"/>
      <w:sz w:val="20"/>
      <w:szCs w:val="20"/>
    </w:rPr>
  </w:style>
  <w:style w:type="character" w:customStyle="1" w:styleId="TextpoznmkypodiarouChar">
    <w:name w:val="Text poznámky pod čiarou Char"/>
    <w:basedOn w:val="DefaultParagraphFont"/>
    <w:link w:val="FootnoteText"/>
    <w:uiPriority w:val="99"/>
    <w:locked/>
    <w:rsid w:val="004A5FD3"/>
    <w:rPr>
      <w:rFonts w:ascii="Calibri" w:hAnsi="Calibri" w:cs="Times New Roman"/>
      <w:sz w:val="20"/>
      <w:szCs w:val="20"/>
      <w:rtl w:val="0"/>
      <w:cs w:val="0"/>
    </w:rPr>
  </w:style>
  <w:style w:type="character" w:styleId="FootnoteReference">
    <w:name w:val="footnote reference"/>
    <w:basedOn w:val="DefaultParagraphFont"/>
    <w:uiPriority w:val="99"/>
    <w:rsid w:val="004A5FD3"/>
    <w:rPr>
      <w:rFonts w:cs="Times New Roman"/>
      <w:vertAlign w:val="superscript"/>
      <w:rtl w:val="0"/>
      <w:cs w:val="0"/>
    </w:rPr>
  </w:style>
  <w:style w:type="character" w:customStyle="1" w:styleId="OdsekzoznamuChar">
    <w:name w:val="Odsek zoznamu Char"/>
    <w:link w:val="ListParagraph"/>
    <w:uiPriority w:val="99"/>
    <w:locked/>
    <w:rsid w:val="004A5FD3"/>
    <w:rPr>
      <w:rFonts w:ascii="Calibri" w:hAnsi="Calibri" w:cs="Calibri"/>
    </w:rPr>
  </w:style>
  <w:style w:type="paragraph" w:styleId="Footer">
    <w:name w:val="footer"/>
    <w:basedOn w:val="Normal"/>
    <w:link w:val="PtaChar"/>
    <w:uiPriority w:val="99"/>
    <w:rsid w:val="004A5FD3"/>
    <w:pPr>
      <w:tabs>
        <w:tab w:val="center" w:pos="4536"/>
        <w:tab w:val="right" w:pos="9072"/>
      </w:tabs>
      <w:spacing w:after="0" w:line="240" w:lineRule="auto"/>
      <w:jc w:val="left"/>
    </w:pPr>
    <w:rPr>
      <w:rFonts w:ascii="Times New Roman" w:hAnsi="Times New Roman" w:cs="Times New Roman"/>
      <w:sz w:val="24"/>
      <w:szCs w:val="24"/>
      <w:lang w:eastAsia="sk-SK"/>
    </w:rPr>
  </w:style>
  <w:style w:type="character" w:customStyle="1" w:styleId="PtaChar">
    <w:name w:val="Päta Char"/>
    <w:basedOn w:val="DefaultParagraphFont"/>
    <w:link w:val="Footer"/>
    <w:uiPriority w:val="99"/>
    <w:locked/>
    <w:rsid w:val="004A5FD3"/>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4A5FD3"/>
    <w:rPr>
      <w:rFonts w:cs="Times New Roman"/>
      <w:rtl w:val="0"/>
      <w:cs w:val="0"/>
    </w:rPr>
  </w:style>
  <w:style w:type="paragraph" w:styleId="Header">
    <w:name w:val="header"/>
    <w:basedOn w:val="Normal"/>
    <w:link w:val="HlavikaChar"/>
    <w:uiPriority w:val="99"/>
    <w:rsid w:val="004A5FD3"/>
    <w:pPr>
      <w:tabs>
        <w:tab w:val="center" w:pos="4536"/>
        <w:tab w:val="right" w:pos="9072"/>
      </w:tabs>
      <w:spacing w:after="0" w:line="240" w:lineRule="auto"/>
      <w:jc w:val="left"/>
    </w:pPr>
    <w:rPr>
      <w:rFonts w:ascii="Times New Roman" w:hAnsi="Times New Roman" w:cs="Times New Roman"/>
      <w:sz w:val="24"/>
      <w:szCs w:val="24"/>
      <w:lang w:eastAsia="sk-SK"/>
    </w:rPr>
  </w:style>
  <w:style w:type="character" w:customStyle="1" w:styleId="HlavikaChar">
    <w:name w:val="Hlavička Char"/>
    <w:basedOn w:val="DefaultParagraphFont"/>
    <w:link w:val="Header"/>
    <w:uiPriority w:val="99"/>
    <w:locked/>
    <w:rsid w:val="004A5FD3"/>
    <w:rPr>
      <w:rFonts w:ascii="Times New Roman" w:hAnsi="Times New Roman" w:cs="Times New Roman"/>
      <w:sz w:val="24"/>
      <w:szCs w:val="24"/>
      <w:rtl w:val="0"/>
      <w:cs w:val="0"/>
      <w:lang w:val="x-none" w:eastAsia="sk-SK"/>
    </w:rPr>
  </w:style>
  <w:style w:type="paragraph" w:styleId="NormalWeb">
    <w:name w:val="Normal (Web)"/>
    <w:basedOn w:val="Normal"/>
    <w:uiPriority w:val="99"/>
    <w:rsid w:val="004A5FD3"/>
    <w:pPr>
      <w:spacing w:before="100" w:beforeAutospacing="1" w:after="100" w:afterAutospacing="1" w:line="240" w:lineRule="auto"/>
      <w:jc w:val="left"/>
    </w:pPr>
    <w:rPr>
      <w:rFonts w:ascii="Times New Roman" w:hAnsi="Times New Roman" w:cs="Times New Roman"/>
      <w:sz w:val="24"/>
      <w:szCs w:val="24"/>
      <w:lang w:eastAsia="sk-SK"/>
    </w:rPr>
  </w:style>
  <w:style w:type="paragraph" w:styleId="BalloonText">
    <w:name w:val="Balloon Text"/>
    <w:basedOn w:val="Normal"/>
    <w:link w:val="TextbublinyChar"/>
    <w:uiPriority w:val="99"/>
    <w:semiHidden/>
    <w:unhideWhenUsed/>
    <w:rsid w:val="009B6469"/>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B6469"/>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18</Pages>
  <Words>5285</Words>
  <Characters>30127</Characters>
  <Application>Microsoft Office Word</Application>
  <DocSecurity>0</DocSecurity>
  <Lines>0</Lines>
  <Paragraphs>0</Paragraphs>
  <ScaleCrop>false</ScaleCrop>
  <Company>MVSR</Company>
  <LinksUpToDate>false</LinksUpToDate>
  <CharactersWithSpaces>35342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Wiedemannová</dc:creator>
  <cp:lastModifiedBy>V</cp:lastModifiedBy>
  <cp:revision>2</cp:revision>
  <cp:lastPrinted>2013-02-21T10:24:00Z</cp:lastPrinted>
  <dcterms:created xsi:type="dcterms:W3CDTF">2013-02-22T14:55:00Z</dcterms:created>
  <dcterms:modified xsi:type="dcterms:W3CDTF">2013-02-22T14:55:00Z</dcterms:modified>
</cp:coreProperties>
</file>