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5FD3" w:rsidRPr="004A5FD3" w:rsidP="004A5FD3">
      <w:pPr>
        <w:bidi w:val="0"/>
        <w:spacing w:after="0" w:line="240" w:lineRule="auto"/>
        <w:jc w:val="center"/>
        <w:outlineLvl w:val="4"/>
        <w:rPr>
          <w:rFonts w:ascii="Times New Roman" w:hAnsi="Times New Roman" w:cs="Arial"/>
          <w:b/>
          <w:bCs/>
          <w:sz w:val="26"/>
          <w:szCs w:val="26"/>
          <w:lang w:eastAsia="sk-SK"/>
        </w:rPr>
      </w:pPr>
      <w:r w:rsidRPr="004A5FD3">
        <w:rPr>
          <w:rFonts w:ascii="Times New Roman" w:hAnsi="Times New Roman" w:cs="Arial"/>
          <w:b/>
          <w:bCs/>
          <w:sz w:val="26"/>
          <w:szCs w:val="26"/>
          <w:lang w:eastAsia="sk-SK"/>
        </w:rPr>
        <w:t>Dôvodová správa</w:t>
      </w:r>
    </w:p>
    <w:p w:rsidR="004A5FD3" w:rsidRPr="004A5FD3" w:rsidP="004A5FD3">
      <w:pPr>
        <w:bidi w:val="0"/>
        <w:spacing w:after="0" w:line="240" w:lineRule="auto"/>
        <w:jc w:val="both"/>
        <w:outlineLvl w:val="4"/>
        <w:rPr>
          <w:rFonts w:ascii="Times New Roman" w:hAnsi="Times New Roman" w:cs="Arial"/>
          <w:b/>
          <w:bCs/>
          <w:sz w:val="24"/>
          <w:szCs w:val="24"/>
          <w:lang w:eastAsia="sk-SK"/>
        </w:rPr>
      </w:pPr>
    </w:p>
    <w:p w:rsidR="004A5FD3" w:rsidRPr="004A5FD3" w:rsidP="004A5FD3">
      <w:pPr>
        <w:numPr>
          <w:numId w:val="10"/>
        </w:numPr>
        <w:bidi w:val="0"/>
        <w:spacing w:after="0" w:line="240" w:lineRule="auto"/>
        <w:ind w:hanging="720"/>
        <w:jc w:val="both"/>
        <w:outlineLvl w:val="4"/>
        <w:rPr>
          <w:rFonts w:ascii="Times New Roman" w:hAnsi="Times New Roman" w:cs="Arial"/>
          <w:b/>
          <w:bCs/>
          <w:sz w:val="24"/>
          <w:szCs w:val="24"/>
          <w:lang w:eastAsia="sk-SK"/>
        </w:rPr>
      </w:pPr>
      <w:r w:rsidRPr="004A5FD3">
        <w:rPr>
          <w:rFonts w:ascii="Times New Roman" w:hAnsi="Times New Roman" w:cs="Arial"/>
          <w:b/>
          <w:bCs/>
          <w:sz w:val="24"/>
          <w:szCs w:val="24"/>
          <w:lang w:eastAsia="sk-SK"/>
        </w:rPr>
        <w:t>Všeobecná časť</w:t>
      </w:r>
    </w:p>
    <w:p w:rsidR="004A5FD3" w:rsidRPr="004A5FD3" w:rsidP="004A5FD3">
      <w:pPr>
        <w:bidi w:val="0"/>
        <w:spacing w:after="0" w:line="240" w:lineRule="auto"/>
        <w:jc w:val="both"/>
        <w:outlineLvl w:val="4"/>
        <w:rPr>
          <w:rFonts w:ascii="Times New Roman" w:hAnsi="Times New Roman" w:cs="Arial"/>
          <w:b/>
          <w:bCs/>
          <w:sz w:val="24"/>
          <w:szCs w:val="24"/>
          <w:lang w:eastAsia="sk-SK"/>
        </w:rPr>
      </w:pPr>
    </w:p>
    <w:p w:rsidR="004A5FD3" w:rsidRPr="004A5FD3" w:rsidP="004A5FD3">
      <w:pPr>
        <w:bidi w:val="0"/>
        <w:spacing w:after="0" w:line="240" w:lineRule="auto"/>
        <w:jc w:val="both"/>
        <w:outlineLvl w:val="4"/>
        <w:rPr>
          <w:rFonts w:ascii="Times New Roman" w:hAnsi="Times New Roman" w:cs="Arial"/>
          <w:bCs/>
          <w:sz w:val="24"/>
          <w:szCs w:val="24"/>
          <w:lang w:eastAsia="sk-SK"/>
        </w:rPr>
      </w:pPr>
      <w:r w:rsidRPr="004A5FD3">
        <w:rPr>
          <w:rFonts w:ascii="Times New Roman" w:hAnsi="Times New Roman" w:cs="Arial"/>
          <w:b/>
          <w:bCs/>
          <w:sz w:val="24"/>
          <w:szCs w:val="24"/>
          <w:lang w:eastAsia="sk-SK"/>
        </w:rPr>
        <w:t xml:space="preserve"> </w:t>
      </w: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Návrh zákona vychádza z Národnej koncepcie informatizácie verejnej správy, ktorá bola schválená uznesením vlády Slovenskej republiky č. 331 z 21.05.2008 a podľa ktorej sa predpokladá vytvorenie registra fyzických osôb ako jedného zo štyroch základných registrov. Základnými cieľmi predloženého návrhu zákona je právna úprava vzniku registra fyzických osôb, centrálnej ohlasovne a úprava vzťahov a postupov pri prihlasovaní a odhlasovaní z pobytu vyplývajúca z aplikačnej praxe zákona č. 253/1998 Z. z. o hlásení pobytu občanov Slovenskej republiky a registri obyvateľov Slovenskej republiky v znení neskorších predpisov.</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Cieľom legislatívnej úpravy je zriadenie informačného systému Register fyzických osôb a jeho zavedenie do rutinnej prevádzky. Register fyzických osôb bude slúžiť ako zdroj aktuálnych osobných údajov o občanoch Slovenskej republiky s pobytom na území Slovenskej republiky a s pobytom mimo územia Slovenskej republiky, o cudzincoch s pobytom na území Slovenskej republiky, ako aj o iných osobách – cudzincoch bez pobytu na území Slovenskej republiky, ktorí prišli do styku s verejnou správou. Register fyzických osôb ako jednotný a dátovo konzistentný zdroj údajov o všetkých fyzických osobách, ktoré prídu do styku s verejnou správou, bude orgánmi verejnej správy využívaný ako jedinečný a najdôležitejší dátový zdroj. V praxi to znamená, že orgány verejnej správy už nebudú musieť zisťovať pravosť a hodnovernosť údajov pre svoje potreby z rôznych dostupných zdrojov, ale iba z jedného registra fyzických osôb.</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Navrhovanou právnou úpravou sa tak vytvorí základ pre elektronizáciu služieb verejnej správy na centrálnej úrovni a pre služby eGovernmentu. Údaje, ktoré bude register fyzických osôb poskytovať, budú môcť byť použité subjektmi verejnej správy na právne úkony bez ďalšieho overovania ich správnosti a dokladovania. Právnou úpravou sa zabezpečí plná funkčnosť a dostupnosť elektronických služieb registra pre používateľov oprávnených subjektov orgánov štátnej správy, orgánov územnej samosprávy, iných orgánov verejnej moci, alebo pre fyzické osoby a právnické osoby, ktorým boli zverené úlohy v oblasti verejnej správy podľa osobitných právnych predpisov.</w:t>
      </w:r>
    </w:p>
    <w:p w:rsidR="004A5FD3" w:rsidRPr="004A5FD3" w:rsidP="004A5FD3">
      <w:pPr>
        <w:bidi w:val="0"/>
        <w:spacing w:after="0" w:line="240" w:lineRule="auto"/>
        <w:jc w:val="both"/>
        <w:rPr>
          <w:rFonts w:ascii="Times New Roman" w:hAnsi="Times New Roman" w:cs="Times New Roman"/>
          <w:sz w:val="24"/>
          <w:szCs w:val="24"/>
        </w:rPr>
      </w:pPr>
    </w:p>
    <w:p w:rsidR="00033E5F" w:rsidP="00033E5F">
      <w:pPr>
        <w:bidi w:val="0"/>
        <w:spacing w:after="0" w:line="240" w:lineRule="auto"/>
        <w:jc w:val="both"/>
        <w:rPr>
          <w:rFonts w:ascii="Times New Roman" w:hAnsi="Times New Roman" w:cs="Times New Roman"/>
          <w:sz w:val="24"/>
          <w:szCs w:val="24"/>
        </w:rPr>
      </w:pPr>
      <w:r w:rsidRPr="004A5FD3" w:rsidR="004A5FD3">
        <w:rPr>
          <w:rFonts w:ascii="Times New Roman" w:hAnsi="Times New Roman" w:cs="Times New Roman"/>
          <w:sz w:val="24"/>
          <w:szCs w:val="24"/>
        </w:rPr>
        <w:t>Informačný systém register fyzických osôb je základným informačným systémom verejnej správy, ktorého účelom bude poskytovanie aktuálnych údajov o fyzických osobách v ňom vedených prostredníctvom elektronických služieb oprávneným subjektom z orgánov štátnej správy, orgánov územnej samosprávy, iných orgánov verejnej moci alebo fyzickým osobám a právnickým osobám ak im bola zverená pôsobnosť v oblasti verejnej správy podľa osobitných právnych predpisov a členským štátom EÚ alebo tretím krajinám, ak tak ustanovuje medzinárodná zmluva, ktorou je Slovenská republika viazaná. Register fyzických osôb vytvorí súbor aktuálnych údajov o fyzickej osobe z príslušnej zdrojovej agendy informačného systému Ministerstva vnútra Slovenskej republiky (ďalej len „ministerstvo“) alebo informačného systému príslušného subjektu verejnej správy. Register fyzických osôb bude tvorený kópiou údajov, ktoré sú vytvárané aktualizáciou údajov o fyzickej osobe v príslušnom zdrojovom agendovom informačnom systéme verejnej správy, alebo vytvorením zápisu údajov o fyzickej osobe v</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príslušnom</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 zdrojovom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agendovom</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 informačnom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systéme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verejnej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správy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ak </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ide</w:t>
      </w:r>
      <w:r w:rsidR="005D3F68">
        <w:rPr>
          <w:rFonts w:ascii="Times New Roman" w:hAnsi="Times New Roman" w:cs="Times New Roman"/>
          <w:sz w:val="24"/>
          <w:szCs w:val="24"/>
        </w:rPr>
        <w:t xml:space="preserve">   </w:t>
      </w:r>
      <w:r w:rsidRPr="004A5FD3" w:rsidR="004A5FD3">
        <w:rPr>
          <w:rFonts w:ascii="Times New Roman" w:hAnsi="Times New Roman" w:cs="Times New Roman"/>
          <w:sz w:val="24"/>
          <w:szCs w:val="24"/>
        </w:rPr>
        <w:t xml:space="preserve"> napr. </w:t>
      </w: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o narodenie dieťaťa, uzavretie manželstva cudzinca bez pobytu na území Slovenskej republiky, úmrtie cudzinca na území Slovenskej republiky alebo vytvorením zápisu údajov o fyzickej osobe ak ide o cudzinca bez pobytu na území Slovenskej republiky,</w:t>
      </w:r>
      <w:r w:rsidRPr="004A5FD3">
        <w:rPr>
          <w:rFonts w:ascii="Times New Roman" w:hAnsi="Times New Roman" w:cs="Times New Roman"/>
          <w:sz w:val="24"/>
          <w:szCs w:val="24"/>
          <w:vertAlign w:val="superscript"/>
        </w:rPr>
        <w:t xml:space="preserve"> </w:t>
      </w:r>
      <w:r w:rsidRPr="004A5FD3">
        <w:rPr>
          <w:rFonts w:ascii="Times New Roman" w:hAnsi="Times New Roman" w:cs="Times New Roman"/>
          <w:sz w:val="24"/>
          <w:szCs w:val="24"/>
        </w:rPr>
        <w:t xml:space="preserve">ktorý prišiel do styku s orgánmi verejnej správy. Príslušná zdrojová agenda informačného systému verejnej správy zodpovedá za pravdivosť, úplnosť a aktuálnosť osobných údajov o fyzickej osobe v registri. </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Register fyzických osôb zbaví občanov povinnosti opakovane predkladať doklady o jeho údajoch. Občan svoje údaje predloží orgánu verejnej správy iba raz a prostredníctvom registra fyzických osôb sa jeho údaje dostanú do ďalších informačných systémov verejnej správy. Osobný údaj je považovaný za správny v zdrojovej agende ministerstva alebo informačnom systéme poskytovateľa, pokiaľ sa nepreukáže opak, alebo pokiaľ nevznikne oprávnená pochybnosť o jeho pravdivosti, úplnosti alebo aktuálnosti. Cieľom je premena súčasného systému zberu a uchovávania údajov roztrieštených v rôznych registroch a evidenciách v systém nový, ktorý umožní vďaka jasne definovaným pravidlám ustanovené informácie zbierať a so zárukou spoľahlivosti využívať v celej verejnej správe.</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Údaje o fyzickej osobe obsiahnuté v registri fyzických osôb bude môcť ministerstvo alebo iný príjemca používať len na účel podľa osobitného právneho predpisu, a to bez toho, aby ďalej overoval ich správnosť a žiadal od fyzickej osoby ich poskytnutie alebo predloženie dokladov k nim.</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Ostatné informačné systémy verejnej správy budú preberať údaje z tohto nového systému, čím sa zabezpečí ich konzistentnosť tak, aby nedochádzalo k zapisovaniu hodnotovo odlišných alebo nepresných údajov do rôznych evidencií (napr. inak znejúcich alebo dokonca neexistujúcich adries sídiel právnických osôb) rôznymi orgánmi.</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Významný spoločenský prínos bude mať register fyzických osôb vo zvýšení komfortu fyzických osôb a právnických osôb pri komunikácii s úradmi spočívajúcej v obmedzení byrokracie spôsobenej opakovaným poskytovaním rovnakých údajov rôznym úradom, ktoré ich požadujú. Ďalším pozitívnym dopadom bude zrýchlenie vybavovania žiadostí. Nový systém využívania údajov podporí žiadanú výmenu informácií, ktorá je nutnou podmienkou pre vzájomnú spoluprácu jednotlivých informačných systémov vo verejnej správe.</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Ďalším významným cieľom navrhovanej úpravy je zriadenie centrálnej ohlasovne ako elektronickej služby, ktorá umožní občanom prihlasovanie a odhlasovanie z pobytu prostredníctvom využitia internetu. Vznikne tak nový procesný model pre nové procesy realizácie agendy hlásenia a evidencie pobytu občanov Slovenskej republiky, ktorého potreba vyplýva z požiadaviek na realizáciu elektronických služieb centrálnej ohlasovne. Nové procesy nie sú náhradou v súčasnosti platných postupov. Elektronické poskytovanie služieb v oblasti hlásenia pobytu umožní priblíženie štátnej správy k občanovi.</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Times New Roman" w:hAnsi="Times New Roman" w:cs="Times New Roman"/>
          <w:sz w:val="24"/>
          <w:szCs w:val="24"/>
        </w:rPr>
      </w:pPr>
      <w:r w:rsidRPr="004A5FD3">
        <w:rPr>
          <w:rFonts w:ascii="Times New Roman" w:hAnsi="Times New Roman" w:cs="Times New Roman"/>
          <w:sz w:val="24"/>
          <w:szCs w:val="24"/>
        </w:rPr>
        <w:t xml:space="preserve">Návrh zákona sa dotýka aj niektorých ustanovení týkajúcich sa aplikácie zákona v praxi v nadväznosti na zavedenie nových elektronických služieb. </w:t>
      </w:r>
    </w:p>
    <w:p w:rsidR="004A5FD3" w:rsidRPr="004A5FD3" w:rsidP="004A5FD3">
      <w:pPr>
        <w:bidi w:val="0"/>
        <w:spacing w:after="0" w:line="240" w:lineRule="auto"/>
        <w:jc w:val="both"/>
        <w:rPr>
          <w:rFonts w:ascii="Times New Roman" w:hAnsi="Times New Roman" w:cs="Times New Roman"/>
          <w:sz w:val="24"/>
          <w:szCs w:val="24"/>
        </w:rPr>
      </w:pPr>
    </w:p>
    <w:p w:rsidR="004A5FD3" w:rsidRPr="004A5FD3" w:rsidP="004A5FD3">
      <w:pPr>
        <w:bidi w:val="0"/>
        <w:spacing w:after="0" w:line="240" w:lineRule="auto"/>
        <w:jc w:val="both"/>
        <w:rPr>
          <w:rFonts w:ascii="Calibri" w:hAnsi="Calibri" w:cs="Times New Roman"/>
        </w:rPr>
      </w:pPr>
      <w:r w:rsidRPr="004A5FD3">
        <w:rPr>
          <w:rFonts w:ascii="Times New Roman" w:hAnsi="Times New Roman" w:cs="Times New Roman"/>
          <w:sz w:val="24"/>
          <w:szCs w:val="24"/>
        </w:rPr>
        <w:t>Predkladaný návrh zákona má pozitívny vplyv na informatizáciu spoločnosti, nemá sociálne vplyvy, vplyvy na životné prostredie a ani na podnikateľské prostredie. Navrhované ustanovenia sú v súlade s právnymi predpismi Európskej únie. Zavedenie nového systému registra fyzických osôb bude mať však dopad na rozpočet verejnej správy v súvislosti s potrebou vytvorenia nových pracovných miest a výdavkov na udržanie výsledkov projektu, ktorý je financovaný zo štrukturálnych fondov Európskej únie podľa čl. 57 Nariadenia Rady (ES) 1083/2006. Vytvorenie informačného systému registra fyzických osôb bude pokrývať centrálnu správu registra, poskytovanie informačných služieb a zabezpečenie administratívno-správnych činností zdrojových agend.</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Návrh novely zákona je v súlade s Ústavou Slovenskej republiky a platným právnym poriadkom Slovenskej republiky, s medzinárodnými zmluvami a inými medzinárodnými dokumentmi, ktorými je Slovenská republika viazaná.</w:t>
      </w:r>
    </w:p>
    <w:p w:rsidR="004A5FD3" w:rsidRPr="004A5FD3" w:rsidP="004A5FD3">
      <w:pPr>
        <w:bidi w:val="0"/>
        <w:spacing w:after="0" w:line="240" w:lineRule="auto"/>
        <w:jc w:val="both"/>
        <w:outlineLvl w:val="4"/>
        <w:rPr>
          <w:rFonts w:ascii="Times New Roman" w:hAnsi="Times New Roman" w:cs="Arial"/>
          <w:bCs/>
          <w:sz w:val="24"/>
          <w:szCs w:val="24"/>
          <w:lang w:eastAsia="sk-SK"/>
        </w:rPr>
      </w:pP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Osobitná časť</w:t>
      </w:r>
    </w:p>
    <w:p w:rsidR="004A5FD3" w:rsidRPr="004A5FD3" w:rsidP="004A5FD3">
      <w:pPr>
        <w:bidi w:val="0"/>
        <w:spacing w:after="0" w:line="240" w:lineRule="auto"/>
        <w:jc w:val="both"/>
        <w:rPr>
          <w:rFonts w:ascii="Times New Roman" w:hAnsi="Times New Roman" w:cs="Times New Roman"/>
          <w:b/>
          <w:sz w:val="24"/>
          <w:szCs w:val="24"/>
          <w:lang w:eastAsia="sk-SK"/>
        </w:rPr>
      </w:pPr>
    </w:p>
    <w:p w:rsidR="004A5FD3" w:rsidRPr="004A5FD3" w:rsidP="004A5FD3">
      <w:pPr>
        <w:bidi w:val="0"/>
        <w:spacing w:after="0" w:line="240" w:lineRule="auto"/>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K čl. I</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Predmet zákona sa upravuje a dopĺňa o nové pojmy „centrálna ohlasovňa“ a „register fyzických osôb“. Zriadenie registra fyzických osôb a centrálnej ohlasovne zodpovedá novým spoločenským podmienkam a požiadavkám na plnenie úloh vyplývajúcich orgánom štátu, obciam, právnickým osobám a fyzickým osobám na úseku hlásenia pobytu občanov a evidencie obyvateľov. Register fyzických osôb a centrálna ohlasovňa sú vedené v elektronickej forme a tvoria súčasť štátneho informačného systému. Register fyzických osôb predstavuje hlavný a záväzný zdroj identifikačných, lokačných, relačných a administratívnych údajov o fyzických osobách pre potreby výkonu štátnej správy, obcí a iných užívateľov.</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2:</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Upravuje sa vek maloletých detí z 15 rokov na 18 rokov a upresňuje sa skutočnosť, že rodný list dieťaťa, ktorý predkladá zákonný zástupca alebo osoba ním splnomocnená, musí byť vydaný orgánom Slovenskej republiky. Do dovŕšenia plnoletosti je pobyt povinný hlásiť zákonný zástupca. Dôvodom na zvýšenie veku dieťaťa je skutočnosť vyplývajúca z praxe pri poberaní prídavku na dieťa, ktorá sa viaže na trvalý pobyt. Povinnosť hlásiť trvalý pobyt za osobu, ktorá nedovŕšila 18 rokov sa však netýka tých občanov, ktorí nadobudli spôsobilosť na právne úkony v plnom rozsahu na základe rozhodnutia súdu.</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formálnu úpravu doplnením konkrétneho ustanovenia zákona Národnej rady Slovenskej republiky č. 162/1995 Z. z. o katastri nehnuteľností a o zápise vlastníckych a iných práv k nehnuteľnostiam (katastrálny zákon) v znení neskorších predpisov v odkaze.</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4:</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Nové znenie písmena d) sa navrhuje z dôvodu vykonania viacerých zmien jeho textu. Po prvé ide o formálnu úpravu, keďže nájomná zmluva nezakladá právo pobytu a je na vlastníkovi, či nájomcovi súhlas k pobytu udelí. Po druhé ide o doplnenie možnosti prihlásenia sa na trvalý pobyt bez súhlasu vlastníka alebo všetkých spoluvlastníkov osobám s vecným bremenom doživotného užívania nehnuteľnosti. Vypúšťa sa odkaz na Občiansky zákonník. Ide o formálnu úpravu vyplývajúcu z aplikačnej praxe.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5:</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ktorá nadväzuje na centrálnu ohlasovňu pobytu. Z aplikačnej praxe totiž vyplynulo, že ohlasovňa pobytu ani centrálna ohlasovňa nevie hodnoverne preveriť, či osoba naozaj žije v spoločnej domácnosti s osobami, ktorých pobyt sa spoločne hlási. Toto oprávnenie však naďalej ostáva pre členov rodiny.</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6:</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V tomto ustanovení sa upravuje vek osôb oprávnených hlásiť trvalý alebo prechodný pobyt. Do dovŕšenia plnoletosti je pobyt povinný hlásiť zákonný zástupca. Dôvodom na zvýšenie veku dieťaťa je skutočnosť vyplývajúca z praxe - poberanie prídavku na dieťa, ktoré sa viaže na trvalý pobyt.</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7:</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Rozširuje sa možnosť prihlásenia na pobyt splnomocneným zástupcom, nakoľko doteraz túto možnosť prihlásenia mali len zdravotne postihnuté osoby.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8:</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vnútorného odkazu, ktorý nadväzuje na príslušné legislatívne zmeny.</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9:</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Navrhované ustanovenie nadväzuje na legislatívne zmeny a súčasne sa vypúšťajú slová spojené s nájomcom a nájomným vzťahom.</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10:</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vyplývajúcu z aplikačnej praxe. Podrobnejšie sa upravuje povinnosť predložiť doklady o právnickej osobe pri hlásení na pobyt fyzickej osoby. Rozsah údajov zodpovedá potrebe identifikácie osoby oprávnenej konať za právnickú osobu a o právnickej osobe.</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11:</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V tomto ustanovení sa upravuje vek osôb, za ktoré je oprávnený hlásiť trvalý pobyt zákonný zástupca alebo ním splnomocnená osoba. Dôvodom na zvýšenie veku dieťaťa je skutočnosť vyplývajúca z praxe - poberanie prídavku na dieťa, ktoré sa viaže na trvalý pobyt. Povinnosť hlásiť trvalý pobyt za osobu, ktorá nedovŕšila 18 rokov sa však netýka tých občanov, ktorí nadobudli spôsobilosť na právne úkony v plnom rozsahu na základe rozhodnutia súdu.</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12:</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ktorá nadväzuje na príslušné legislatívne zmeny a vypúšťajú sa slová spojené s nájomcom a nájomným vzťahom.</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13:</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Nové ustanovenie podrobnejšie upravuje a taxatívne vymenúva doklady potrebné k zrušeniu trvalého pobytu na návrh vlastníka alebo všetkých spoluvlastníkov nehnuteľnosti. Následne sa formálne upravuje označenie odsekov. Súčasný stav neumožňoval dostatočne pracovníkom ohlasovní skúmať užívacie právo osôb, voči ktorým smeroval návrh na zrušenie pobytu. Ustanovenie rozsahu dokladov tak bude zodpovedať právnej istote.</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14:</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formálnu úpravu, ktorá nadväzuje na príslušné legislatívne zmeny. Vypúšťajú sa slová spojené s nájomcom a nájomným vzťahom.</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15:</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Navrhovanou úpravou dochádza k zjednodušeniu postupu pri odhlásení z prechodného pobytu na návrh vlastníka alebo všetkých spoluvlastníkov nehnuteľnosti. Táto možnosť doteraz nebola v platnom zákone riešená a vlastník musel čakať, kým neuplynie doba na ktorú bol prechodný pobyt ohlásený.</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16:</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Navrhovaná zmena ukladá priamo povinnosť občana, ktorý sa pripravuje na vycestovanie do zahraničia na dobu dlhšiu ako 90 dní, ohlásiť túto skutočnosť príslušnej ohlasovni pobytu. Nesplnenie si uvedenej povinnosti umožní správnemu orgánu postih fyzickej osoby podľa zákona SNR č. 372/1990 Zb. o priestupkoch v znení neskorších predpisov. Doterajší stav neukladal občanovi výslovne povinnosť danú skutočnosť ohlásiť. Občania často nerozlišujú v právnom predpise ak je povinnosť ustanovená  slovesom bez použitia slova povinný.</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17:</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doplnenie ustanovenia o nový § 7 ods. 1, aby bolo jednoznačne ustanovené, že tieto pravidlá sa vzťahujú aj na zrušenie trvalého pobytu.</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18:</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ktorá nadväzuje na príslušné legislatívne zmeny. Ukladá sa povinnosť ohlasovniam, ktoré sú zapojené do informačného systému registra obyvateľov, zapisovať údaje spojené s hlásením pobytu priamo do tohto systému v čase, ktorý zabezpečuje aktuálnosť údajov. V súčasnosti však existujú ohlasovne pobytu, ktoré nemajú pripojenie do informačného systému registra obyvateľov, preto je potrebné zachovať aj systém vkladania údajov prostredníctvom okresných riaditeľstiev Policajného zboru.</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19:</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Navrhovaná právna úprava zavádza tzv. „elektronické služby centrálnej ohlasovne“. Občania môžu požiadať o potvrdenie o pobyte prostredníctvom internetu a toto potvrdenie im bude doručené poštou. V prípade, že občan bude chcieť povoliť pobyt vo svojej nehnuteľnosti, rovnako tak bude môcť urobiť tento úkon elektronicky. Elektronizácia služieb má napomôcť odbúrať zbytočnú zaťaženosť občanov pri vybavovaní ich vecí. Všetky potrebné údaje súvisiace s prihlasovaním a odhlasovaním pobytu sa budú poskytovať na elektronických formulároch, pričom sa v počiatku poskytovania tejto služby bude musieť požadovať ako záruka na ich pravdivosť zaručený elektronický podpis. V budúcnosti postupom elektronizácie verejnej správy sa počíta s ďalším zjednodušovaním tejto agendy. Navrhovaný systém odbúra potrebu cestovania do miesta prihlásenia na trvalý pobyt, čím usporí občanovi náklady spojené s cestovaním a čas na vybavenie tejto služby.</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20 až 23:</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úpravu, ktorá nadväzuje na príslušné legislatívne zmeny a ktorou sa dopĺňa zapisovanie čísla bytu ako povinného údaju. Pokiaľ ide o bod 21 vypúšťaný text reflektuje na nemožnosť verifikovať takéto údaje, čo preukázala aj súčasná prax.</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24, 25, 28 a 29:</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formálnu úpravu, ktorej cieľom je zosúladenie pojmov so zákonom Národnej rady Slovenskej republiky č. 40/1993 o štátnom občianstve Slovenskej republiky v znení neskorších predpisov.</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26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Vzhľadom na zmenu právneho poriadku je potrebné aktualizovať zákon uvedený v poznámke pod čiarou.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27 a 31:</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Úpravou textu sa zvýrazňuje povinnosť okresných riaditeľstiev Policajného zboru zaznamenávať zmeny údajov v registri, ktoré im ohlasujú obce poverené viesť matriku; ide o obce, ktoré nie sú priamo napojené na automatizovaný systém registra. V budúcnosti sa počíta, že táto agenda bude ubúdať zvyšovaním počtu matričných úradov zapojených do registra.</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30:</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Ide o  úpravu nadväzujúcu na zmeny v praxi keď tieto údaje už ministerstvo nezaznamenáva, ale do registra sa dostávajú cestou matričných úradov.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32:</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Vzhľadom na zavedenie Registra fyzických osôb s aktuálnymi údajmi v čase, ktoré budú poskytované orgánom verejnej moci sa doterajšie ustanovenie odseku 1 stalo nadbytočným. Vypustením doterajšieho ustanovenia sa upravuje označenie odsekov.</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33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Ide o technickú úpravu súvisiacu s vypustením odseku 1 v § 23.</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34:</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Navrhovaná právna úprava zavádza register fyzických osôb obsahujúci aktuálne údaje, ktoré budú následne využívané ako jedinečné a najdôležitejšie dátové zdroje pre orgány verejnej správy. Zámerom navrhovanej úpravy je ustanoviť okruh údajov vedených v registri fyzických osôb. Obsah údajov vychádza z poslania a úloh registra fyzických osôb v informačnom systéme a aktuálnych potrieb jeho užívateľov na výkon verejnej správy. V zákone sa vymedzuje rozsah údajov, ktoré register fyzických osôb vedie o fyzických osobách, ktoré prišli do styku s orgánom verejnej správy. Údaje uvedené v § 23b ods. 2 určujú minimálny rozsah údajov potrebných k identifikácii fyzickej osoby. V prípade, ak by chýbal niektorý z údajov uvedených v tomto ustanovení, nebudú údaje o takejto osobe pre iné informačné systémy verejnej správy použiteľné a je zbytočné ich zapisovať do registra fyzických osôb. Preto sa správcovia informačných systémov verejnej správy oslobodzujú od povinnosti vkladať do registra fyzických osôb údaje o cudzincoch bez pobytu na území Slovenskej republiky, ak niektorý z údajov uvedených v § 23b ods. 2 vo svojom informačnom systéme vôbec nevedú, alebo ak takýmto údajom nedisponujú.</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bodom 35, 36 a 37:</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Osobitné ustanovenia upravujúce vzťahy registra obyvateľov a špecifických štátnych orgánov je potrebné doplniť o skutočnosť, že obdobný vzťah bude existovať aj vo veciach nového Registra fyzických osôb. Ide o legislatívne úpravy súvisiace so zavedením Registra fyzických osôb.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 bodu 38:</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Navrhovaná právna úprava ukladá povinnosť obvodným úradom vykonávať kontrolnú činnosť v rámci svojej územnej pôsobnosti nad preneseným výkonom štátnej správy hlásenia pobytu, ktorú súčasná právna úprava neobsahuje. Kontrolnú činnosť budú zabezpečovať obvodné úrady podľa zákona č. 10/1996 Z. z. o kontrole v štátnej správe a na základe metodických pokynov ministerstva.</w:t>
      </w:r>
    </w:p>
    <w:p w:rsidR="004A5FD3" w:rsidRPr="004A5FD3" w:rsidP="004A5FD3">
      <w:pPr>
        <w:bidi w:val="0"/>
        <w:spacing w:after="0" w:line="240" w:lineRule="auto"/>
        <w:jc w:val="both"/>
        <w:outlineLvl w:val="4"/>
        <w:rPr>
          <w:rFonts w:ascii="Times New Roman" w:hAnsi="Times New Roman" w:cs="Arial"/>
          <w:bCs/>
          <w:sz w:val="24"/>
          <w:szCs w:val="24"/>
          <w:lang w:eastAsia="sk-SK"/>
        </w:rPr>
      </w:pPr>
    </w:p>
    <w:p w:rsidR="004A5FD3" w:rsidRPr="004A5FD3" w:rsidP="004A5FD3">
      <w:pPr>
        <w:bidi w:val="0"/>
        <w:spacing w:after="0" w:line="240" w:lineRule="auto"/>
        <w:jc w:val="both"/>
        <w:outlineLvl w:val="4"/>
        <w:rPr>
          <w:rFonts w:ascii="Times New Roman" w:hAnsi="Times New Roman" w:cs="Arial"/>
          <w:b/>
          <w:bCs/>
          <w:sz w:val="24"/>
          <w:szCs w:val="24"/>
          <w:lang w:eastAsia="sk-SK"/>
        </w:rPr>
      </w:pPr>
    </w:p>
    <w:p w:rsidR="004A5FD3" w:rsidRPr="004A5FD3" w:rsidP="004A5FD3">
      <w:pPr>
        <w:bidi w:val="0"/>
        <w:spacing w:after="0" w:line="240" w:lineRule="auto"/>
        <w:jc w:val="both"/>
        <w:outlineLvl w:val="4"/>
        <w:rPr>
          <w:rFonts w:ascii="Times New Roman" w:hAnsi="Times New Roman" w:cs="Arial"/>
          <w:b/>
          <w:bCs/>
          <w:sz w:val="24"/>
          <w:szCs w:val="24"/>
          <w:lang w:eastAsia="sk-SK"/>
        </w:rPr>
      </w:pPr>
    </w:p>
    <w:p w:rsidR="004A5FD3" w:rsidRPr="004A5FD3" w:rsidP="004A5FD3">
      <w:pPr>
        <w:bidi w:val="0"/>
        <w:spacing w:after="0" w:line="240" w:lineRule="auto"/>
        <w:jc w:val="both"/>
        <w:outlineLvl w:val="4"/>
        <w:rPr>
          <w:rFonts w:ascii="Times New Roman" w:hAnsi="Times New Roman" w:cs="Arial"/>
          <w:b/>
          <w:bCs/>
          <w:sz w:val="24"/>
          <w:szCs w:val="24"/>
          <w:lang w:eastAsia="sk-SK"/>
        </w:rPr>
      </w:pPr>
      <w:r w:rsidRPr="004A5FD3">
        <w:rPr>
          <w:rFonts w:ascii="Times New Roman" w:hAnsi="Times New Roman" w:cs="Arial"/>
          <w:b/>
          <w:bCs/>
          <w:sz w:val="24"/>
          <w:szCs w:val="24"/>
          <w:lang w:eastAsia="sk-SK"/>
        </w:rPr>
        <w:t>K čl. II</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Účinnosť sa navrhuje ustanoviť od 1. júla 2013, čím sa zohľadňuje doba legislatívneho procesu. V tomto čase nadobudnú účinnosť ustanovenia potrebné pre praktické vykonávanie zákona v agende hlásenia pobytu občanov. Dve ustanovenia týkajúce sa Centrálnej ohlasovne a Registra fyzických osôb nadobudnú účinnosť 1. januára 2014 po dobudovaní systému a zabezpečení potrebných podmienok na rutinnú prevádzku.</w:t>
      </w:r>
    </w:p>
    <w:p w:rsidR="004A5FD3" w:rsidRPr="004A5FD3" w:rsidP="004A5FD3">
      <w:pPr>
        <w:bidi w:val="0"/>
        <w:rPr>
          <w:rFonts w:ascii="Calibri" w:hAnsi="Calibri" w:cs="Times New Roman"/>
        </w:rPr>
      </w:pPr>
    </w:p>
    <w:p w:rsidR="004A5FD3" w:rsidRPr="004A5FD3" w:rsidP="004A5FD3">
      <w:pPr>
        <w:bidi w:val="0"/>
        <w:rPr>
          <w:rFonts w:ascii="Calibri" w:hAnsi="Calibri" w:cs="Times New Roman"/>
        </w:rPr>
      </w:pPr>
    </w:p>
    <w:p w:rsidR="004A5FD3" w:rsidRPr="004A5FD3" w:rsidP="004A5FD3">
      <w:pPr>
        <w:bidi w:val="0"/>
        <w:rPr>
          <w:rFonts w:ascii="Times New Roman" w:hAnsi="Times New Roman" w:cs="Times New Roman"/>
          <w:sz w:val="24"/>
          <w:szCs w:val="24"/>
        </w:rPr>
      </w:pPr>
      <w:r w:rsidRPr="004A5FD3">
        <w:rPr>
          <w:rFonts w:ascii="Times New Roman" w:hAnsi="Times New Roman" w:cs="Times New Roman"/>
          <w:sz w:val="24"/>
          <w:szCs w:val="24"/>
        </w:rPr>
        <w:t>V Bratislave 20. februára 2013</w:t>
      </w:r>
    </w:p>
    <w:p w:rsidR="004A5FD3" w:rsidRPr="004A5FD3" w:rsidP="004A5FD3">
      <w:pPr>
        <w:bidi w:val="0"/>
        <w:rPr>
          <w:rFonts w:ascii="Times New Roman" w:hAnsi="Times New Roman" w:cs="Times New Roman"/>
          <w:sz w:val="24"/>
          <w:szCs w:val="24"/>
        </w:rPr>
      </w:pPr>
    </w:p>
    <w:p w:rsidR="004A5FD3" w:rsidRPr="004A5FD3" w:rsidP="004A5FD3">
      <w:pPr>
        <w:bidi w:val="0"/>
        <w:rPr>
          <w:rFonts w:ascii="Times New Roman" w:hAnsi="Times New Roman" w:cs="Times New Roman"/>
          <w:sz w:val="24"/>
          <w:szCs w:val="24"/>
        </w:rPr>
      </w:pPr>
    </w:p>
    <w:p w:rsidR="004A5FD3" w:rsidRPr="001E4DBF" w:rsidP="004A5FD3">
      <w:pPr>
        <w:bidi w:val="0"/>
        <w:spacing w:line="240" w:lineRule="atLeast"/>
        <w:jc w:val="center"/>
        <w:rPr>
          <w:rFonts w:ascii="Times New Roman" w:hAnsi="Times New Roman" w:cs="Times New Roman"/>
          <w:sz w:val="24"/>
          <w:szCs w:val="24"/>
        </w:rPr>
      </w:pPr>
      <w:r w:rsidRPr="004A5FD3">
        <w:rPr>
          <w:rFonts w:ascii="Times New Roman" w:hAnsi="Times New Roman" w:cs="Times New Roman"/>
          <w:b/>
          <w:sz w:val="24"/>
          <w:szCs w:val="24"/>
        </w:rPr>
        <w:t>Robert Fico</w:t>
      </w:r>
      <w:r w:rsidR="001E4DBF">
        <w:rPr>
          <w:rFonts w:ascii="Times New Roman" w:hAnsi="Times New Roman" w:cs="Times New Roman"/>
          <w:b/>
          <w:sz w:val="24"/>
          <w:szCs w:val="24"/>
        </w:rPr>
        <w:t xml:space="preserve"> </w:t>
      </w:r>
      <w:r w:rsidRPr="001E4DBF" w:rsidR="001E4DBF">
        <w:rPr>
          <w:rFonts w:ascii="Times New Roman" w:hAnsi="Times New Roman" w:cs="Times New Roman"/>
          <w:sz w:val="24"/>
          <w:szCs w:val="24"/>
        </w:rPr>
        <w:t>v. r.</w:t>
      </w:r>
    </w:p>
    <w:p w:rsidR="004A5FD3" w:rsidRPr="004A5FD3" w:rsidP="004A5FD3">
      <w:pPr>
        <w:bidi w:val="0"/>
        <w:spacing w:line="240" w:lineRule="atLeast"/>
        <w:jc w:val="center"/>
        <w:rPr>
          <w:rFonts w:ascii="Times New Roman" w:hAnsi="Times New Roman" w:cs="Times New Roman"/>
          <w:sz w:val="24"/>
          <w:szCs w:val="24"/>
        </w:rPr>
      </w:pPr>
      <w:r w:rsidRPr="004A5FD3">
        <w:rPr>
          <w:rFonts w:ascii="Times New Roman" w:hAnsi="Times New Roman" w:cs="Times New Roman"/>
          <w:sz w:val="24"/>
          <w:szCs w:val="24"/>
        </w:rPr>
        <w:t>predseda vlády</w:t>
      </w:r>
    </w:p>
    <w:p w:rsidR="004A5FD3" w:rsidRPr="004A5FD3" w:rsidP="004A5FD3">
      <w:pPr>
        <w:bidi w:val="0"/>
        <w:spacing w:line="240" w:lineRule="atLeast"/>
        <w:jc w:val="center"/>
        <w:rPr>
          <w:rFonts w:ascii="Times New Roman" w:hAnsi="Times New Roman" w:cs="Times New Roman"/>
          <w:sz w:val="24"/>
          <w:szCs w:val="24"/>
        </w:rPr>
      </w:pPr>
    </w:p>
    <w:p w:rsidR="004A5FD3" w:rsidRPr="004A5FD3" w:rsidP="004A5FD3">
      <w:pPr>
        <w:bidi w:val="0"/>
        <w:spacing w:line="240" w:lineRule="atLeast"/>
        <w:jc w:val="center"/>
        <w:rPr>
          <w:rFonts w:ascii="Times New Roman" w:hAnsi="Times New Roman" w:cs="Times New Roman"/>
          <w:sz w:val="24"/>
          <w:szCs w:val="24"/>
        </w:rPr>
      </w:pPr>
    </w:p>
    <w:p w:rsidR="004A5FD3" w:rsidRPr="004A5FD3" w:rsidP="004A5FD3">
      <w:pPr>
        <w:bidi w:val="0"/>
        <w:spacing w:line="240" w:lineRule="atLeast"/>
        <w:rPr>
          <w:rFonts w:ascii="Times New Roman" w:hAnsi="Times New Roman" w:cs="Times New Roman"/>
          <w:sz w:val="24"/>
          <w:szCs w:val="24"/>
        </w:rPr>
      </w:pPr>
    </w:p>
    <w:p w:rsidR="004A5FD3" w:rsidRPr="001E4DBF" w:rsidP="004A5FD3">
      <w:pPr>
        <w:bidi w:val="0"/>
        <w:spacing w:line="240" w:lineRule="atLeast"/>
        <w:jc w:val="center"/>
        <w:rPr>
          <w:rFonts w:ascii="Times New Roman" w:hAnsi="Times New Roman" w:cs="Times New Roman"/>
          <w:sz w:val="24"/>
          <w:szCs w:val="24"/>
        </w:rPr>
      </w:pPr>
      <w:r w:rsidRPr="004A5FD3">
        <w:rPr>
          <w:rFonts w:ascii="Times New Roman" w:hAnsi="Times New Roman" w:cs="Times New Roman"/>
          <w:b/>
          <w:sz w:val="24"/>
          <w:szCs w:val="24"/>
        </w:rPr>
        <w:t>Robert Kaliňák</w:t>
      </w:r>
      <w:r w:rsidR="001E4DBF">
        <w:rPr>
          <w:rFonts w:ascii="Times New Roman" w:hAnsi="Times New Roman" w:cs="Times New Roman"/>
          <w:b/>
          <w:sz w:val="24"/>
          <w:szCs w:val="24"/>
        </w:rPr>
        <w:t xml:space="preserve"> </w:t>
      </w:r>
      <w:r w:rsidRPr="001E4DBF" w:rsidR="001E4DBF">
        <w:rPr>
          <w:rFonts w:ascii="Times New Roman" w:hAnsi="Times New Roman" w:cs="Times New Roman"/>
          <w:sz w:val="24"/>
          <w:szCs w:val="24"/>
        </w:rPr>
        <w:t>v. r.</w:t>
      </w:r>
    </w:p>
    <w:p w:rsidR="004A5FD3" w:rsidRPr="004A5FD3" w:rsidP="004A5FD3">
      <w:pPr>
        <w:bidi w:val="0"/>
        <w:spacing w:line="240" w:lineRule="atLeast"/>
        <w:jc w:val="center"/>
        <w:rPr>
          <w:rFonts w:ascii="Times New Roman" w:hAnsi="Times New Roman" w:cs="Times New Roman"/>
          <w:sz w:val="24"/>
          <w:szCs w:val="24"/>
        </w:rPr>
      </w:pPr>
      <w:r w:rsidRPr="004A5FD3">
        <w:rPr>
          <w:rFonts w:ascii="Times New Roman" w:hAnsi="Times New Roman" w:cs="Times New Roman"/>
          <w:sz w:val="24"/>
          <w:szCs w:val="24"/>
        </w:rPr>
        <w:t>podpredseda vlády a minister vnútra</w:t>
      </w:r>
    </w:p>
    <w:p w:rsidR="009B6469" w:rsidP="00FE730B">
      <w:pPr>
        <w:bidi w:val="0"/>
        <w:spacing w:after="0" w:line="240" w:lineRule="auto"/>
        <w:rPr>
          <w:rFonts w:ascii="Times New Roman" w:hAnsi="Times New Roman" w:cs="Times New Roman"/>
          <w:sz w:val="24"/>
          <w:szCs w:val="24"/>
        </w:rPr>
      </w:pPr>
    </w:p>
    <w:p w:rsidR="00FE730B" w:rsidP="00FE730B">
      <w:pPr>
        <w:bidi w:val="0"/>
        <w:spacing w:after="0" w:line="240" w:lineRule="auto"/>
        <w:rPr>
          <w:rFonts w:ascii="Times New Roman" w:hAnsi="Times New Roman" w:cs="Times New Roman"/>
          <w:b/>
          <w:bCs/>
          <w:sz w:val="28"/>
          <w:szCs w:val="28"/>
          <w:lang w:eastAsia="sk-SK"/>
        </w:rPr>
      </w:pPr>
    </w:p>
    <w:p w:rsidR="004A5FD3" w:rsidRPr="004A5FD3" w:rsidP="004A5FD3">
      <w:pPr>
        <w:bidi w:val="0"/>
        <w:spacing w:after="0" w:line="240" w:lineRule="auto"/>
        <w:jc w:val="center"/>
        <w:rPr>
          <w:rFonts w:ascii="Times New Roman" w:hAnsi="Times New Roman" w:cs="Times New Roman"/>
          <w:b/>
          <w:bCs/>
          <w:sz w:val="28"/>
          <w:szCs w:val="28"/>
          <w:lang w:eastAsia="sk-SK"/>
        </w:rPr>
      </w:pPr>
      <w:r w:rsidRPr="004A5FD3">
        <w:rPr>
          <w:rFonts w:ascii="Times New Roman" w:hAnsi="Times New Roman" w:cs="Times New Roman"/>
          <w:b/>
          <w:bCs/>
          <w:sz w:val="28"/>
          <w:szCs w:val="28"/>
          <w:lang w:eastAsia="sk-SK"/>
        </w:rPr>
        <w:t>Doložka vybraných vplyvov</w:t>
      </w:r>
    </w:p>
    <w:p w:rsidR="004A5FD3" w:rsidRPr="004A5FD3" w:rsidP="004A5FD3">
      <w:pPr>
        <w:bidi w:val="0"/>
        <w:spacing w:after="0" w:line="240" w:lineRule="auto"/>
        <w:jc w:val="both"/>
        <w:rPr>
          <w:rFonts w:ascii="Times New Roman" w:hAnsi="Times New Roman" w:cs="Times New Roman"/>
          <w:b/>
          <w:bCs/>
          <w:sz w:val="28"/>
          <w:szCs w:val="28"/>
          <w:lang w:eastAsia="sk-SK"/>
        </w:rPr>
      </w:pPr>
    </w:p>
    <w:p w:rsidR="004A5FD3" w:rsidRPr="004A5FD3" w:rsidP="004A5FD3">
      <w:pPr>
        <w:bidi w:val="0"/>
        <w:spacing w:after="0" w:line="240" w:lineRule="auto"/>
        <w:jc w:val="both"/>
        <w:rPr>
          <w:rFonts w:ascii="Times New Roman" w:hAnsi="Times New Roman" w:cs="Times New Roman"/>
          <w:bCs/>
          <w:sz w:val="24"/>
          <w:szCs w:val="24"/>
          <w:lang w:eastAsia="sk-SK"/>
        </w:rPr>
      </w:pPr>
      <w:r w:rsidRPr="004A5FD3">
        <w:rPr>
          <w:rFonts w:ascii="Times New Roman" w:hAnsi="Times New Roman" w:cs="Times New Roman"/>
          <w:b/>
          <w:bCs/>
          <w:sz w:val="24"/>
          <w:szCs w:val="24"/>
          <w:lang w:eastAsia="sk-SK"/>
        </w:rPr>
        <w:t xml:space="preserve">A.1. Názov materiálu: </w:t>
      </w:r>
      <w:r w:rsidRPr="004A5FD3">
        <w:rPr>
          <w:rFonts w:ascii="Times New Roman" w:hAnsi="Times New Roman" w:cs="Times New Roman"/>
          <w:bCs/>
          <w:sz w:val="24"/>
          <w:szCs w:val="24"/>
          <w:lang w:eastAsia="sk-SK"/>
        </w:rPr>
        <w:t>Návrh zákona, ktorým sa mení a dopĺňa zákon č. 253/1998 Z. z. o hlásení pobytu občanov Slovenskej republiky a registri obyvateľov Slovenskej republiky v znení neskorších predpisov</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A.2. Vplyvy:</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Pozitívne</w:t>
            </w:r>
            <w:r w:rsidRPr="004A5FD3">
              <w:rPr>
                <w:rFonts w:ascii="Times New Roman" w:hAnsi="Times New Roman" w:cs="Times New Roman"/>
                <w:sz w:val="16"/>
                <w:szCs w:val="16"/>
                <w:vertAlign w:val="superscript"/>
                <w:lang w:eastAsia="sk-SK"/>
              </w:rPr>
              <w:t>*</w:t>
            </w:r>
            <w:r w:rsidRPr="004A5FD3">
              <w:rPr>
                <w:rFonts w:ascii="Times New Roman" w:hAnsi="Times New Roman" w:cs="Times New Roman"/>
                <w:sz w:val="24"/>
                <w:szCs w:val="24"/>
                <w:lang w:eastAsia="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Žiadne</w:t>
            </w:r>
            <w:r w:rsidRPr="004A5FD3">
              <w:rPr>
                <w:rFonts w:ascii="Times New Roman" w:hAnsi="Times New Roman" w:cs="Times New Roman"/>
                <w:sz w:val="16"/>
                <w:szCs w:val="16"/>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Negatívne</w:t>
            </w:r>
            <w:r w:rsidRPr="004A5FD3">
              <w:rPr>
                <w:rFonts w:ascii="Times New Roman" w:hAnsi="Times New Roman" w:cs="Times New Roman"/>
                <w:sz w:val="16"/>
                <w:szCs w:val="16"/>
                <w:vertAlign w:val="superscript"/>
                <w:lang w:eastAsia="sk-SK"/>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1. Vplyvy na rozpočet verejnej správy</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i/>
                <w:iCs/>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x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 xml:space="preserve">3, Sociálne vplyvy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 vplyvy  na hospodárenie obyvateľstva,</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-sociálnu exklúziu,</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lang w:eastAsia="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bl>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16"/>
          <w:szCs w:val="16"/>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A.3. Poznámky</w:t>
      </w:r>
    </w:p>
    <w:p w:rsidR="004A5FD3" w:rsidRPr="004A5FD3" w:rsidP="004A5FD3">
      <w:pPr>
        <w:bidi w:val="0"/>
        <w:spacing w:after="0" w:line="240" w:lineRule="auto"/>
        <w:jc w:val="both"/>
        <w:rPr>
          <w:rFonts w:ascii="Times New Roman" w:hAnsi="Times New Roman" w:cs="Times New Roman"/>
          <w:bCs/>
          <w:sz w:val="24"/>
          <w:szCs w:val="24"/>
          <w:lang w:eastAsia="sk-SK"/>
        </w:rPr>
      </w:pPr>
      <w:r w:rsidRPr="004A5FD3">
        <w:rPr>
          <w:rFonts w:ascii="Times New Roman" w:hAnsi="Times New Roman" w:cs="Times New Roman"/>
          <w:bCs/>
          <w:sz w:val="24"/>
          <w:szCs w:val="24"/>
          <w:lang w:eastAsia="sk-SK"/>
        </w:rPr>
        <w:t xml:space="preserve">Na základe vyhodnotenia vplyvov predkladateľ návrhu odhaduje, že návrh bude mať negatívny vplyv na rozpočet verejnej správy v nadväznosti na výdavky potrebné na zvýšenie počtu o 10 pracovných miest, z toho 9 miest v štátnej službe a 1 miesto pri výkone prác vo verejnom záujme pre ústredný orgán kapitoly ministerstva vnútra a na výdavky na udržanie výsledkov projektu financovaného zo štrukturálnych fondov EÚ v zmysle čl. 57 Nariadenia Rady (ES) 1083/2006.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Cs/>
          <w:sz w:val="24"/>
          <w:szCs w:val="24"/>
          <w:lang w:eastAsia="sk-SK"/>
        </w:rPr>
        <w:t>Návrh zákona však nemá negatívny vplyv na rozpočty orgánov územnej samosprávy.</w:t>
      </w: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Vplyv na rozpočet verejnej správy</w:t>
      </w: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Finančné vplyvy na verejnú správu súvisia so zriadením registra fyzických osôb a centrálnej ohlasovne. Základné ciele navrhovanej právnej úpravy spočívajú v upravení vzťahov a postupov pri prihlasovaní a odhlasovaní z pobytu, ako aj inštitucionálne ukotviť centrálnu ohlasovňu a register fyzických osôb ako unikátny zdroj najčastejšie využívaných údajov pri výkone verejnej správy. Zriadením registra fyzických osôb sa zabezpečí dostupnosť referenčných údajov, ktoré budú môcť byť využité pre výkon verejnej správy a zároveň sa občania zbavia povinnosti opakovane predkladať údaje. Prostredníctvom registra fyzických osôb sa údaje dostanú do ďalších informačných systémov verejnej správy. Zriadenie centrálnej ohlasovne ako elektronickej služby umožní občanom prihlasovanie a odhlasovanie z pobytu prostredníctvom využitia internetu. Z uvedeného dôvodu je v rámci kapitoly ministerstva vnútra potrebné zabezpečiť zvýšenie limitu finančných prostriedkov na zabezpečenie registra fyzických osôb a centrálnej ohlasovne o rozpočtovo nepokryté výdavky vo výške 3 624 487,86 € pre rok 2013, a 3 591 987,86 € pre roky </w:t>
      </w:r>
      <w:smartTag w:uri="urn:schemas-microsoft-com:office:smarttags" w:element="metricconverter">
        <w:smartTagPr>
          <w:attr w:name="ProductID" w:val="2014 a"/>
        </w:smartTagPr>
        <w:r w:rsidRPr="004A5FD3">
          <w:rPr>
            <w:rFonts w:ascii="Times New Roman" w:hAnsi="Times New Roman" w:cs="Times New Roman"/>
            <w:sz w:val="24"/>
            <w:szCs w:val="24"/>
            <w:lang w:eastAsia="sk-SK"/>
          </w:rPr>
          <w:t>2014 a</w:t>
        </w:r>
      </w:smartTag>
      <w:r w:rsidRPr="004A5FD3">
        <w:rPr>
          <w:rFonts w:ascii="Times New Roman" w:hAnsi="Times New Roman" w:cs="Times New Roman"/>
          <w:sz w:val="24"/>
          <w:szCs w:val="24"/>
          <w:lang w:eastAsia="sk-SK"/>
        </w:rPr>
        <w:t xml:space="preserve"> 2015. Finančné prostriedky v roku 2013 zahŕňajú mzdy, platy, služobné príjmy a ostatné osobné vyrovnania pre 10 zamestnancov vo výške 145 971 €, z toho pre 9 zamestnancov v štátnej službe vo výške 137 061 € a pre 1 zamestnanca pri výkone prác vo verejnom záujme vo výške 8 910 €, poistné a príspevok do poisťovní vo výške 51 016,86 €, tovary a služby vo výške 25 000 € na vybavenie interiérového zariadenia kancelárií, výpočtovej a telekomunikačnej techniky pre 10 zamestnancov a 3 387 000 € na udržanie výsledkov projektu financovaného zo štrukturálnych fondov EÚ v zmysle čl. 57 Nariadenia Rady (ES) 1083/2006 a kapitálové výdavky vo výške 15 500 € na zabezpečenie technického zariadenia.</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center"/>
        <w:rPr>
          <w:rFonts w:ascii="Times New Roman" w:hAnsi="Times New Roman" w:cs="Times New Roman"/>
          <w:b/>
          <w:sz w:val="28"/>
          <w:szCs w:val="28"/>
          <w:lang w:eastAsia="sk-SK"/>
        </w:rPr>
      </w:pPr>
      <w:r w:rsidRPr="004A5FD3">
        <w:rPr>
          <w:rFonts w:ascii="Times New Roman" w:hAnsi="Times New Roman" w:cs="Times New Roman"/>
          <w:b/>
          <w:sz w:val="28"/>
          <w:szCs w:val="28"/>
          <w:lang w:eastAsia="sk-SK"/>
        </w:rPr>
        <w:t>Vplyvy na rozpočet verejnej správy, na zamestnanosť vo verejnej správe a financovanie návrhu</w:t>
      </w:r>
    </w:p>
    <w:p w:rsidR="004A5FD3" w:rsidRPr="004A5FD3" w:rsidP="004A5FD3">
      <w:pPr>
        <w:bidi w:val="0"/>
        <w:spacing w:after="0" w:line="240" w:lineRule="auto"/>
        <w:jc w:val="center"/>
        <w:rPr>
          <w:rFonts w:ascii="Times New Roman" w:hAnsi="Times New Roman" w:cs="Times New Roman"/>
          <w:b/>
          <w:sz w:val="24"/>
          <w:szCs w:val="24"/>
          <w:lang w:eastAsia="sk-SK"/>
        </w:rPr>
      </w:pPr>
    </w:p>
    <w:p w:rsidR="004A5FD3" w:rsidRPr="004A5FD3" w:rsidP="004A5FD3">
      <w:pPr>
        <w:bidi w:val="0"/>
        <w:spacing w:after="0" w:line="240" w:lineRule="auto"/>
        <w:jc w:val="both"/>
        <w:rPr>
          <w:rFonts w:ascii="Times New Roman" w:hAnsi="Times New Roman" w:cs="Times New Roman"/>
          <w:b/>
          <w:sz w:val="24"/>
          <w:szCs w:val="24"/>
          <w:lang w:eastAsia="sk-SK"/>
        </w:rPr>
      </w:pPr>
    </w:p>
    <w:p w:rsidR="004A5FD3" w:rsidRPr="004A5FD3" w:rsidP="004A5FD3">
      <w:pPr>
        <w:bidi w:val="0"/>
        <w:spacing w:after="0" w:line="240" w:lineRule="auto"/>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2.1. Zhrnutie vplyvov na rozpočet verejnej správy</w:t>
      </w:r>
    </w:p>
    <w:p w:rsidR="004A5FD3" w:rsidRPr="004A5FD3" w:rsidP="004A5FD3">
      <w:pPr>
        <w:bidi w:val="0"/>
        <w:spacing w:after="0" w:line="240" w:lineRule="auto"/>
        <w:jc w:val="both"/>
        <w:rPr>
          <w:rFonts w:ascii="Times New Roman" w:hAnsi="Times New Roman" w:cs="Times New Roman"/>
          <w:b/>
          <w:sz w:val="24"/>
          <w:szCs w:val="24"/>
          <w:lang w:eastAsia="sk-SK"/>
        </w:rPr>
      </w:pPr>
    </w:p>
    <w:p w:rsidR="004A5FD3" w:rsidRPr="004A5FD3" w:rsidP="004A5FD3">
      <w:pPr>
        <w:bidi w:val="0"/>
        <w:spacing w:after="0" w:line="240" w:lineRule="auto"/>
        <w:jc w:val="both"/>
        <w:rPr>
          <w:rFonts w:ascii="Times New Roman" w:hAnsi="Times New Roman" w:cs="Times New Roman"/>
          <w:bCs/>
          <w:sz w:val="24"/>
          <w:szCs w:val="24"/>
          <w:lang w:eastAsia="sk-SK"/>
        </w:rPr>
      </w:pPr>
      <w:r w:rsidRPr="004A5FD3">
        <w:rPr>
          <w:rFonts w:ascii="Times New Roman" w:hAnsi="Times New Roman" w:cs="Times New Roman"/>
          <w:sz w:val="24"/>
          <w:szCs w:val="24"/>
          <w:lang w:eastAsia="sk-SK"/>
        </w:rPr>
        <w:tab/>
        <w:t xml:space="preserve">Finančné vplyvy návrhu zákona, </w:t>
      </w:r>
      <w:r w:rsidRPr="004A5FD3">
        <w:rPr>
          <w:rFonts w:ascii="Times New Roman" w:hAnsi="Times New Roman" w:cs="Times New Roman"/>
          <w:bCs/>
          <w:sz w:val="24"/>
          <w:szCs w:val="24"/>
          <w:lang w:eastAsia="sk-SK"/>
        </w:rPr>
        <w:t>ktorým sa mení a dopĺňa zákon č. 253/1998 Z. z. o hlásení pobytu občanov Slovenskej republiky a registri obyvateľov Slovenskej republiky v znení neskorších predpisov sa porovnávajú so schválenými východiskami rozpočtu verejnej správy na rok 2013 – 2015.</w:t>
      </w:r>
    </w:p>
    <w:p w:rsidR="004A5FD3" w:rsidRPr="004A5FD3" w:rsidP="004A5FD3">
      <w:pPr>
        <w:bidi w:val="0"/>
        <w:spacing w:after="0" w:line="240" w:lineRule="auto"/>
        <w:jc w:val="both"/>
        <w:rPr>
          <w:rFonts w:ascii="Times New Roman" w:hAnsi="Times New Roman" w:cs="Times New Roman"/>
          <w:bCs/>
          <w:sz w:val="24"/>
          <w:szCs w:val="24"/>
          <w:lang w:eastAsia="sk-SK"/>
        </w:rPr>
      </w:pPr>
    </w:p>
    <w:p w:rsidR="004A5FD3" w:rsidRPr="004A5FD3" w:rsidP="004A5FD3">
      <w:pPr>
        <w:bidi w:val="0"/>
        <w:spacing w:after="0" w:line="240" w:lineRule="auto"/>
        <w:jc w:val="both"/>
        <w:rPr>
          <w:rFonts w:ascii="Times New Roman" w:hAnsi="Times New Roman" w:cs="Times New Roman"/>
          <w:bCs/>
          <w:sz w:val="24"/>
          <w:szCs w:val="24"/>
          <w:lang w:eastAsia="sk-SK"/>
        </w:rPr>
      </w:pPr>
      <w:r w:rsidRPr="004A5FD3">
        <w:rPr>
          <w:rFonts w:ascii="Times New Roman" w:hAnsi="Times New Roman" w:cs="Times New Roman"/>
          <w:bCs/>
          <w:sz w:val="24"/>
          <w:szCs w:val="24"/>
          <w:lang w:eastAsia="sk-SK"/>
        </w:rPr>
        <w:tab/>
        <w:t>Požadované zvýšenie finančných prostriedkov a funkčných miest nie je (v module RIS ZORO) pre roky 2013 – 2015 zohľadnené v limitoch kapitoly Ministerstva vnútra Slovenskej republiky  v rámci návrhu rozpočtu verejnej správy na roky 2013 – 2015.</w:t>
      </w:r>
    </w:p>
    <w:p w:rsidR="004A5FD3" w:rsidP="004A5FD3">
      <w:pPr>
        <w:bidi w:val="0"/>
        <w:spacing w:after="0" w:line="240" w:lineRule="auto"/>
        <w:jc w:val="both"/>
        <w:rPr>
          <w:rFonts w:ascii="Times New Roman" w:hAnsi="Times New Roman" w:cs="Times New Roman"/>
          <w:bCs/>
          <w:sz w:val="24"/>
          <w:szCs w:val="24"/>
          <w:lang w:eastAsia="sk-SK"/>
        </w:rPr>
      </w:pPr>
    </w:p>
    <w:p w:rsidR="004A5FD3" w:rsidRPr="004A5FD3" w:rsidP="004A5FD3">
      <w:pPr>
        <w:bidi w:val="0"/>
        <w:spacing w:after="0" w:line="240" w:lineRule="auto"/>
        <w:jc w:val="both"/>
        <w:rPr>
          <w:rFonts w:ascii="Times New Roman" w:hAnsi="Times New Roman" w:cs="Times New Roman"/>
          <w:bCs/>
          <w:sz w:val="24"/>
          <w:szCs w:val="24"/>
          <w:lang w:eastAsia="sk-SK"/>
        </w:rPr>
      </w:pPr>
    </w:p>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8"/>
          <w:szCs w:val="28"/>
          <w:lang w:eastAsia="sk-SK"/>
        </w:rPr>
        <w:t>Vplyvy na rozpočet verejnej správy,</w:t>
      </w:r>
    </w:p>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8"/>
          <w:szCs w:val="28"/>
          <w:lang w:eastAsia="sk-SK"/>
        </w:rPr>
        <w:t>na zamestnanosť vo verejnej správe a financovanie návrhu</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2.1. Zhrnutie vplyvov na rozpočet verejnej správy v návrhu</w:t>
      </w:r>
    </w:p>
    <w:p w:rsidR="004A5FD3" w:rsidRPr="004A5FD3" w:rsidP="004A5FD3">
      <w:pPr>
        <w:bidi w:val="0"/>
        <w:spacing w:after="0" w:line="240" w:lineRule="auto"/>
        <w:jc w:val="right"/>
        <w:rPr>
          <w:rFonts w:ascii="Times New Roman" w:hAnsi="Times New Roman" w:cs="Times New Roman"/>
          <w:sz w:val="24"/>
          <w:szCs w:val="24"/>
          <w:lang w:eastAsia="sk-SK"/>
        </w:rPr>
      </w:pPr>
      <w:r w:rsidRPr="004A5FD3">
        <w:rPr>
          <w:rFonts w:ascii="Times New Roman" w:hAnsi="Times New Roman" w:cs="Times New Roman"/>
          <w:sz w:val="20"/>
          <w:szCs w:val="20"/>
          <w:lang w:eastAsia="sk-SK"/>
        </w:rPr>
        <w:t xml:space="preserve">Tabuľka č. 1 </w:t>
      </w:r>
    </w:p>
    <w:tbl>
      <w:tblPr>
        <w:tblStyle w:val="TableNormal"/>
        <w:tblW w:w="8548" w:type="dxa"/>
        <w:tblCellMar>
          <w:left w:w="0" w:type="dxa"/>
          <w:right w:w="0" w:type="dxa"/>
        </w:tblCellMar>
      </w:tblPr>
      <w:tblGrid>
        <w:gridCol w:w="4348"/>
        <w:gridCol w:w="1400"/>
        <w:gridCol w:w="1400"/>
        <w:gridCol w:w="1400"/>
      </w:tblGrid>
      <w:tr>
        <w:tblPrEx>
          <w:tblW w:w="8548" w:type="dxa"/>
          <w:tblCellMar>
            <w:left w:w="0" w:type="dxa"/>
            <w:right w:w="0" w:type="dxa"/>
          </w:tblCellMar>
        </w:tblPrEx>
        <w:trPr>
          <w:gridAfter w:val="3"/>
          <w:wAfter w:w="4200" w:type="dxa"/>
          <w:trHeight w:val="276"/>
        </w:trPr>
        <w:tc>
          <w:tcPr>
            <w:tcW w:w="434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194" w:lineRule="atLeast"/>
              <w:jc w:val="center"/>
              <w:rPr>
                <w:rFonts w:ascii="Times New Roman" w:hAnsi="Times New Roman" w:cs="Times New Roman"/>
                <w:sz w:val="24"/>
                <w:szCs w:val="24"/>
                <w:lang w:eastAsia="sk-SK"/>
              </w:rPr>
            </w:pPr>
            <w:bookmarkStart w:id="0" w:name="OLE_LINK1"/>
            <w:bookmarkEnd w:id="0"/>
            <w:r w:rsidRPr="004A5FD3">
              <w:rPr>
                <w:rFonts w:ascii="Times New Roman" w:hAnsi="Times New Roman" w:cs="Times New Roman"/>
                <w:b/>
                <w:bCs/>
                <w:color w:val="FFFFFF"/>
                <w:sz w:val="24"/>
                <w:szCs w:val="24"/>
                <w:lang w:eastAsia="sk-SK"/>
              </w:rPr>
              <w:t xml:space="preserve">Vplyvy na </w:t>
            </w:r>
            <w:r w:rsidRPr="004A5FD3">
              <w:rPr>
                <w:rFonts w:ascii="Times New Roman" w:hAnsi="Times New Roman" w:cs="Times New Roman"/>
                <w:b/>
                <w:bCs/>
                <w:sz w:val="24"/>
                <w:szCs w:val="24"/>
                <w:lang w:eastAsia="sk-SK"/>
              </w:rPr>
              <w:t>rozpočet verejnej správy</w:t>
            </w:r>
          </w:p>
        </w:tc>
      </w:tr>
      <w:tr>
        <w:tblPrEx>
          <w:tblW w:w="8548"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2013</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2014</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2015</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Príjmy verejnej správy celkom</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r>
      <w:tr>
        <w:tblPrEx>
          <w:tblW w:w="8548" w:type="dxa"/>
          <w:tblCellMar>
            <w:left w:w="0" w:type="dxa"/>
            <w:right w:w="0" w:type="dxa"/>
          </w:tblCellMar>
        </w:tblPrEx>
        <w:trPr>
          <w:trHeight w:val="132"/>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2"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v tom: za každý subjekt verejnej správy zvlášť</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2"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2"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2"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xml:space="preserve">z toho: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vplyv na územnú samosprávu</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125"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Výdavky verejnej správy celkom</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xml:space="preserve">3 591 987,86 </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v tom: za program </w:t>
            </w:r>
            <w:smartTag w:uri="urn:schemas-microsoft-com:office:smarttags" w:element="metricconverter">
              <w:smartTagPr>
                <w:attr w:name="ProductID" w:val="08C"/>
              </w:smartTagPr>
              <w:r w:rsidRPr="004A5FD3">
                <w:rPr>
                  <w:rFonts w:ascii="Times New Roman" w:hAnsi="Times New Roman" w:cs="Times New Roman"/>
                  <w:sz w:val="24"/>
                  <w:szCs w:val="24"/>
                  <w:lang w:eastAsia="sk-SK"/>
                </w:rPr>
                <w:t>08C</w:t>
              </w:r>
            </w:smartTag>
            <w:r w:rsidRPr="004A5FD3">
              <w:rPr>
                <w:rFonts w:ascii="Times New Roman" w:hAnsi="Times New Roman" w:cs="Times New Roman"/>
                <w:sz w:val="24"/>
                <w:szCs w:val="24"/>
                <w:lang w:eastAsia="sk-SK"/>
              </w:rPr>
              <w:t xml:space="preserve"> – Verejná správa podprogram 08C02 – Riadiaca a kontrolná činnosť verejnej správy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237 487,86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204 987,86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204 987,86</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v tom: za program 06V – Ochrana verejného poriadku a bezpečnosti</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3 387 000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3 387 000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3 387 000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xml:space="preserve">z toho: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3 591 987,86</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vplyv na územnú samosprávu</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25" w:lineRule="atLeast"/>
              <w:jc w:val="right"/>
              <w:rPr>
                <w:rFonts w:ascii="Times New Roman" w:hAnsi="Times New Roman" w:cs="Times New Roman"/>
                <w:sz w:val="24"/>
                <w:szCs w:val="24"/>
                <w:lang w:eastAsia="sk-SK"/>
              </w:rPr>
            </w:pPr>
            <w:r w:rsidRPr="004A5FD3">
              <w:rPr>
                <w:rFonts w:ascii="Times New Roman" w:hAnsi="Times New Roman" w:cs="Times New Roman"/>
                <w:b/>
                <w:bCs/>
                <w:iCs/>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Celková zamestnanosť – prírastok počtu pracovných miest</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i/>
                <w:iCs/>
                <w:sz w:val="24"/>
                <w:szCs w:val="24"/>
                <w:lang w:eastAsia="sk-SK"/>
              </w:rPr>
              <w:t>- z toho vplyv na ŠR</w:t>
            </w:r>
            <w:r w:rsidRPr="004A5FD3">
              <w:rPr>
                <w:rFonts w:ascii="Times New Roman" w:hAnsi="Times New Roman" w:cs="Times New Roman"/>
                <w:sz w:val="24"/>
                <w:szCs w:val="24"/>
                <w:lang w:eastAsia="sk-SK"/>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10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Financovanie zabezpečené v rozpočte</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v tom: za program </w:t>
            </w:r>
            <w:smartTag w:uri="urn:schemas-microsoft-com:office:smarttags" w:element="metricconverter">
              <w:smartTagPr>
                <w:attr w:name="ProductID" w:val="08C"/>
              </w:smartTagPr>
              <w:r w:rsidRPr="004A5FD3">
                <w:rPr>
                  <w:rFonts w:ascii="Times New Roman" w:hAnsi="Times New Roman" w:cs="Times New Roman"/>
                  <w:sz w:val="24"/>
                  <w:szCs w:val="24"/>
                  <w:lang w:eastAsia="sk-SK"/>
                </w:rPr>
                <w:t>08C</w:t>
              </w:r>
            </w:smartTag>
            <w:r w:rsidRPr="004A5FD3">
              <w:rPr>
                <w:rFonts w:ascii="Times New Roman" w:hAnsi="Times New Roman" w:cs="Times New Roman"/>
                <w:sz w:val="24"/>
                <w:szCs w:val="24"/>
                <w:lang w:eastAsia="sk-SK"/>
              </w:rPr>
              <w:t xml:space="preserve"> – Verejná správa podprogram 08C02 – Riadiaca a kontrolná činnosť verejnej správy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v tom: za program 06V – Ochrana verejného poriadku a bezpečnosti</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r>
      <w:tr>
        <w:tblPrEx>
          <w:tblW w:w="8548" w:type="dxa"/>
          <w:tblCellMar>
            <w:left w:w="0" w:type="dxa"/>
            <w:right w:w="0" w:type="dxa"/>
          </w:tblCellMar>
        </w:tblPrEx>
        <w:tc>
          <w:tcPr>
            <w:tcW w:w="4348"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2.2. Financovanie návrhu</w:t>
      </w:r>
    </w:p>
    <w:p w:rsidR="004A5FD3" w:rsidRPr="004A5FD3" w:rsidP="004A5FD3">
      <w:pPr>
        <w:bidi w:val="0"/>
        <w:spacing w:after="0" w:line="240" w:lineRule="auto"/>
        <w:jc w:val="right"/>
        <w:rPr>
          <w:rFonts w:ascii="Times New Roman" w:hAnsi="Times New Roman" w:cs="Times New Roman"/>
          <w:sz w:val="24"/>
          <w:szCs w:val="24"/>
          <w:lang w:eastAsia="sk-SK"/>
        </w:rPr>
      </w:pPr>
      <w:r w:rsidRPr="004A5FD3">
        <w:rPr>
          <w:rFonts w:ascii="Times New Roman" w:hAnsi="Times New Roman" w:cs="Times New Roman"/>
          <w:sz w:val="20"/>
          <w:szCs w:val="20"/>
          <w:lang w:eastAsia="sk-SK"/>
        </w:rPr>
        <w:t>Tabuľka č. 2</w:t>
      </w:r>
    </w:p>
    <w:tbl>
      <w:tblPr>
        <w:tblStyle w:val="TableNormal"/>
        <w:tblW w:w="8173" w:type="dxa"/>
        <w:tblCellMar>
          <w:left w:w="0" w:type="dxa"/>
          <w:right w:w="0" w:type="dxa"/>
        </w:tblCellMar>
      </w:tblPr>
      <w:tblGrid>
        <w:gridCol w:w="3973"/>
        <w:gridCol w:w="1400"/>
        <w:gridCol w:w="1400"/>
        <w:gridCol w:w="1400"/>
      </w:tblGrid>
      <w:tr>
        <w:tblPrEx>
          <w:tblW w:w="8173" w:type="dxa"/>
          <w:tblCellMar>
            <w:left w:w="0" w:type="dxa"/>
            <w:right w:w="0" w:type="dxa"/>
          </w:tblCellMar>
        </w:tblPrEx>
        <w:trPr>
          <w:gridAfter w:val="3"/>
          <w:wAfter w:w="4200" w:type="dxa"/>
          <w:trHeight w:val="276"/>
        </w:trPr>
        <w:tc>
          <w:tcPr>
            <w:tcW w:w="397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Financovanie</w:t>
            </w:r>
          </w:p>
        </w:tc>
      </w:tr>
      <w:tr>
        <w:tblPrEx>
          <w:tblW w:w="8173"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2013</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2014</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2015</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Celkový vplyv na rozpočet verejnej správy ( - príjmy, + výdavky)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3 591 987,86</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z toho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3 591 987,86</w:t>
            </w:r>
          </w:p>
        </w:tc>
      </w:tr>
      <w:tr>
        <w:tblPrEx>
          <w:tblW w:w="8173" w:type="dxa"/>
          <w:tblCellMar>
            <w:left w:w="0" w:type="dxa"/>
            <w:right w:w="0" w:type="dxa"/>
          </w:tblCellMar>
        </w:tblPrEx>
        <w:trPr>
          <w:trHeight w:val="151"/>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51"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financovanie zabezpečené v rozpočte</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51"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51"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51"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r>
      <w:tr>
        <w:tblPrEx>
          <w:tblW w:w="8173" w:type="dxa"/>
          <w:tblCellMar>
            <w:left w:w="0" w:type="dxa"/>
            <w:right w:w="0" w:type="dxa"/>
          </w:tblCellMar>
        </w:tblPrEx>
        <w:trPr>
          <w:trHeight w:val="135"/>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5" w:lineRule="atLeas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ostatné zdroje financovania</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5"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5"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135" w:lineRule="atLeast"/>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0</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Rozpočtovo nekrytý vplyv / úspora</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70" w:lineRule="atLeast"/>
              <w:jc w:val="righ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3 591 987,86</w:t>
            </w:r>
          </w:p>
        </w:tc>
      </w:tr>
      <w:tr>
        <w:tblPrEx>
          <w:tblW w:w="8173" w:type="dxa"/>
          <w:tblCellMar>
            <w:left w:w="0" w:type="dxa"/>
            <w:right w:w="0" w:type="dxa"/>
          </w:tblCellMar>
        </w:tblPrEx>
        <w:tc>
          <w:tcPr>
            <w:tcW w:w="3973"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b/>
          <w:bCs/>
          <w:sz w:val="24"/>
          <w:szCs w:val="24"/>
          <w:lang w:eastAsia="sk-SK"/>
        </w:rPr>
      </w:pPr>
      <w:r w:rsidRPr="004A5FD3">
        <w:rPr>
          <w:rFonts w:ascii="Times New Roman" w:hAnsi="Times New Roman" w:cs="Times New Roman"/>
          <w:b/>
          <w:bCs/>
          <w:sz w:val="24"/>
          <w:szCs w:val="24"/>
          <w:lang w:eastAsia="sk-SK"/>
        </w:rPr>
        <w:t>Návrh na riešenie úbytku príjmov alebo zvýšených výdavkov podľa § 33 ods. 1 zákona č. 523/2004 Z. z. o rozpočtových pravidlách verejnej správy:</w:t>
      </w: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Návrh zákona s účinnosťou od 1.7.2013 v nadväznosti na zriadenie registra fyzických osôb a centrálnej ohlasovne si vyžaduje zvýšenie limitu finančných prostriedkov, ktoré nie sú zohľadnené v návrhu rozpočtu verejnej správy na roky 2013 – 2015 a ministerstvo vnútra ich nie je schopné zabezpečiť v rámci oznámených limitov. Na základe uvedeného žiada zvýšiť rozpočtové výdavky kapitoly o tieto rozpočtovo nekryté finančné prostriedky.</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2.3. Popis a charakteristika návrhu</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2.3.1. Popis návrhu:</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Akú problematiku návrhu rieši? Kto bude návrh implementovať? Kde sa budú služby poskytovať?</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Návrh rieši problematiku zrušenia štátnej správy na úrovni kraja. Implementuje Ministerstvo vnútra SR.</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2.3.2. Charakteristika návrhu podľa bodu  2.3.2. Metodiky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bdr w:val="single" w:sz="4" w:space="0" w:color="000000" w:frame="1"/>
          <w:lang w:eastAsia="sk-SK"/>
        </w:rPr>
        <w:t xml:space="preserve">     </w:t>
      </w:r>
      <w:r w:rsidRPr="004A5FD3">
        <w:rPr>
          <w:rFonts w:ascii="Times New Roman" w:hAnsi="Times New Roman" w:cs="Times New Roman"/>
          <w:b/>
          <w:bCs/>
          <w:sz w:val="24"/>
          <w:szCs w:val="24"/>
          <w:lang w:eastAsia="sk-SK"/>
        </w:rPr>
        <w:t xml:space="preserve">  </w:t>
      </w:r>
      <w:r w:rsidRPr="004A5FD3">
        <w:rPr>
          <w:rFonts w:ascii="Times New Roman" w:hAnsi="Times New Roman" w:cs="Times New Roman"/>
          <w:sz w:val="24"/>
          <w:szCs w:val="24"/>
          <w:lang w:eastAsia="sk-SK"/>
        </w:rPr>
        <w:t>zmena sadzby</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bdr w:val="single" w:sz="4" w:space="0" w:color="000000" w:frame="1"/>
          <w:lang w:eastAsia="sk-SK"/>
        </w:rPr>
        <w:t xml:space="preserve">     </w:t>
      </w:r>
      <w:r w:rsidRPr="004A5FD3">
        <w:rPr>
          <w:rFonts w:ascii="Times New Roman" w:hAnsi="Times New Roman" w:cs="Times New Roman"/>
          <w:sz w:val="24"/>
          <w:szCs w:val="24"/>
          <w:lang w:eastAsia="sk-SK"/>
        </w:rPr>
        <w:t>  zmena v nároku</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bdr w:val="single" w:sz="4" w:space="0" w:color="000000" w:frame="1"/>
          <w:lang w:eastAsia="sk-SK"/>
        </w:rPr>
        <w:t xml:space="preserve">     </w:t>
      </w:r>
      <w:r w:rsidRPr="004A5FD3">
        <w:rPr>
          <w:rFonts w:ascii="Times New Roman" w:hAnsi="Times New Roman" w:cs="Times New Roman"/>
          <w:sz w:val="24"/>
          <w:szCs w:val="24"/>
          <w:lang w:eastAsia="sk-SK"/>
        </w:rPr>
        <w:t>  nová služba alebo nariadenie (alebo ich zrušenie)</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bdr w:val="single" w:sz="4" w:space="0" w:color="000000" w:frame="1"/>
          <w:lang w:eastAsia="sk-SK"/>
        </w:rPr>
        <w:t xml:space="preserve">     </w:t>
      </w:r>
      <w:r w:rsidRPr="004A5FD3">
        <w:rPr>
          <w:rFonts w:ascii="Times New Roman" w:hAnsi="Times New Roman" w:cs="Times New Roman"/>
          <w:sz w:val="24"/>
          <w:szCs w:val="24"/>
          <w:lang w:eastAsia="sk-SK"/>
        </w:rPr>
        <w:t>  kombinovaný návrh</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bdr w:val="single" w:sz="4" w:space="0" w:color="000000" w:frame="1"/>
          <w:lang w:eastAsia="sk-SK"/>
        </w:rPr>
        <w:t xml:space="preserve">     </w:t>
      </w:r>
      <w:r w:rsidRPr="004A5FD3">
        <w:rPr>
          <w:rFonts w:ascii="Times New Roman" w:hAnsi="Times New Roman" w:cs="Times New Roman"/>
          <w:sz w:val="24"/>
          <w:szCs w:val="24"/>
          <w:lang w:eastAsia="sk-SK"/>
        </w:rPr>
        <w:t xml:space="preserve">  iné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2.3.3. Predpoklady vývoja objemu aktivít:</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4A5FD3" w:rsidRPr="004A5FD3" w:rsidP="004A5FD3">
      <w:pPr>
        <w:bidi w:val="0"/>
        <w:spacing w:after="0" w:line="240" w:lineRule="auto"/>
        <w:jc w:val="right"/>
        <w:rPr>
          <w:rFonts w:ascii="Times New Roman" w:hAnsi="Times New Roman" w:cs="Times New Roman"/>
          <w:sz w:val="20"/>
          <w:szCs w:val="20"/>
          <w:lang w:eastAsia="sk-SK"/>
        </w:rPr>
      </w:pPr>
    </w:p>
    <w:p w:rsidR="004A5FD3" w:rsidRPr="004A5FD3" w:rsidP="004A5FD3">
      <w:pPr>
        <w:bidi w:val="0"/>
        <w:spacing w:after="0" w:line="240" w:lineRule="auto"/>
        <w:jc w:val="right"/>
        <w:rPr>
          <w:rFonts w:ascii="Times New Roman" w:hAnsi="Times New Roman" w:cs="Times New Roman"/>
          <w:sz w:val="20"/>
          <w:szCs w:val="20"/>
          <w:lang w:eastAsia="sk-SK"/>
        </w:rPr>
      </w:pPr>
    </w:p>
    <w:p w:rsidR="004A5FD3" w:rsidRPr="004A5FD3" w:rsidP="004A5FD3">
      <w:pPr>
        <w:bidi w:val="0"/>
        <w:spacing w:after="0" w:line="240" w:lineRule="auto"/>
        <w:jc w:val="right"/>
        <w:rPr>
          <w:rFonts w:ascii="Times New Roman" w:hAnsi="Times New Roman" w:cs="Times New Roman"/>
          <w:sz w:val="24"/>
          <w:szCs w:val="24"/>
          <w:lang w:eastAsia="sk-SK"/>
        </w:rPr>
      </w:pPr>
      <w:r w:rsidRPr="004A5FD3">
        <w:rPr>
          <w:rFonts w:ascii="Times New Roman" w:hAnsi="Times New Roman" w:cs="Times New Roman"/>
          <w:sz w:val="20"/>
          <w:szCs w:val="20"/>
          <w:lang w:eastAsia="sk-SK"/>
        </w:rPr>
        <w:t xml:space="preserve">Tabuľka č. 3 </w:t>
      </w:r>
    </w:p>
    <w:tbl>
      <w:tblPr>
        <w:tblStyle w:val="TableNormal"/>
        <w:tblW w:w="0" w:type="auto"/>
        <w:tblCellMar>
          <w:left w:w="0" w:type="dxa"/>
          <w:right w:w="0" w:type="dxa"/>
        </w:tblCellMar>
      </w:tblPr>
      <w:tblGrid>
        <w:gridCol w:w="4530"/>
        <w:gridCol w:w="1134"/>
        <w:gridCol w:w="1134"/>
        <w:gridCol w:w="1134"/>
      </w:tblGrid>
      <w:tr>
        <w:tblPrEx>
          <w:tblW w:w="0" w:type="auto"/>
          <w:tblCellMar>
            <w:left w:w="0" w:type="dxa"/>
            <w:right w:w="0" w:type="dxa"/>
          </w:tblCellMar>
        </w:tblPrEx>
        <w:trPr>
          <w:gridAfter w:val="3"/>
          <w:wAfter w:w="3402" w:type="dxa"/>
          <w:trHeight w:val="276"/>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Objem aktivít</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A5FD3" w:rsidRPr="004A5FD3" w:rsidP="004A5FD3">
            <w:pPr>
              <w:bidi w:val="0"/>
              <w:spacing w:after="0" w:line="70" w:lineRule="atLeast"/>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2015</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A5FD3" w:rsidRPr="004A5FD3" w:rsidP="004A5FD3">
            <w:pPr>
              <w:bidi w:val="0"/>
              <w:spacing w:after="0" w:line="70" w:lineRule="atLeast"/>
              <w:jc w:val="right"/>
              <w:rPr>
                <w:rFonts w:ascii="Times New Roman" w:hAnsi="Times New Roman" w:cs="Times New Roman"/>
                <w:sz w:val="24"/>
                <w:szCs w:val="24"/>
                <w:lang w:eastAsia="sk-SK"/>
              </w:rPr>
            </w:pPr>
            <w:r w:rsidRPr="004A5FD3">
              <w:rPr>
                <w:rFonts w:ascii="Times New Roman" w:hAnsi="Times New Roman" w:cs="Times New Roman"/>
                <w:color w:val="000000"/>
                <w:sz w:val="24"/>
                <w:szCs w:val="24"/>
                <w:lang w:eastAsia="sk-SK"/>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2.3.4. Výpočty vplyvov na verejné financie</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b/>
          <w:i/>
          <w:sz w:val="24"/>
          <w:szCs w:val="24"/>
          <w:lang w:eastAsia="sk-SK"/>
        </w:rPr>
      </w:pPr>
      <w:r w:rsidRPr="004A5FD3">
        <w:rPr>
          <w:rFonts w:ascii="Times New Roman" w:hAnsi="Times New Roman" w:cs="Times New Roman"/>
          <w:b/>
          <w:i/>
          <w:sz w:val="24"/>
          <w:szCs w:val="24"/>
          <w:lang w:eastAsia="sk-SK"/>
        </w:rPr>
        <w:t xml:space="preserve">PROGRAM </w:t>
      </w:r>
      <w:smartTag w:uri="urn:schemas-microsoft-com:office:smarttags" w:element="metricconverter">
        <w:smartTagPr>
          <w:attr w:name="ProductID" w:val="08C"/>
        </w:smartTagPr>
        <w:r w:rsidRPr="004A5FD3">
          <w:rPr>
            <w:rFonts w:ascii="Times New Roman" w:hAnsi="Times New Roman" w:cs="Times New Roman"/>
            <w:b/>
            <w:i/>
            <w:sz w:val="24"/>
            <w:szCs w:val="24"/>
            <w:lang w:eastAsia="sk-SK"/>
          </w:rPr>
          <w:t>08C</w:t>
        </w:r>
      </w:smartTag>
      <w:r w:rsidRPr="004A5FD3">
        <w:rPr>
          <w:rFonts w:ascii="Times New Roman" w:hAnsi="Times New Roman" w:cs="Times New Roman"/>
          <w:b/>
          <w:i/>
          <w:sz w:val="24"/>
          <w:szCs w:val="24"/>
          <w:lang w:eastAsia="sk-SK"/>
        </w:rPr>
        <w:t xml:space="preserve"> – VEREJNÁ SPRÁVA</w:t>
      </w:r>
    </w:p>
    <w:p w:rsidR="004A5FD3" w:rsidRPr="004A5FD3" w:rsidP="004A5FD3">
      <w:pPr>
        <w:bidi w:val="0"/>
        <w:spacing w:after="0" w:line="240" w:lineRule="auto"/>
        <w:rPr>
          <w:rFonts w:ascii="Times New Roman" w:hAnsi="Times New Roman" w:cs="Times New Roman"/>
          <w:b/>
          <w:i/>
          <w:sz w:val="24"/>
          <w:szCs w:val="24"/>
          <w:lang w:eastAsia="sk-SK"/>
        </w:rPr>
      </w:pPr>
      <w:r w:rsidRPr="004A5FD3">
        <w:rPr>
          <w:rFonts w:ascii="Times New Roman" w:hAnsi="Times New Roman" w:cs="Times New Roman"/>
          <w:b/>
          <w:i/>
          <w:sz w:val="24"/>
          <w:szCs w:val="24"/>
          <w:lang w:eastAsia="sk-SK"/>
        </w:rPr>
        <w:t>PODPROGRAM 08C02 – RIADIACA A KONTROLNÁ ČINNOSŤ VEREJNEJ SPRÁVY</w:t>
      </w: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tab/>
        <w:t xml:space="preserve">Zriadenie registra fyzických osôb a centrálnej ohlasovne podľa navrhovanej právnej úpravy vyžaduje nárast výdavkov v roku 2013 vo výške 237 487,86 €, v rokoch </w:t>
      </w:r>
      <w:smartTag w:uri="urn:schemas-microsoft-com:office:smarttags" w:element="metricconverter">
        <w:smartTagPr>
          <w:attr w:name="ProductID" w:val="2014 a"/>
        </w:smartTagPr>
        <w:r w:rsidRPr="004A5FD3">
          <w:rPr>
            <w:rFonts w:ascii="Times New Roman" w:hAnsi="Times New Roman" w:cs="Times New Roman"/>
            <w:sz w:val="24"/>
            <w:szCs w:val="24"/>
            <w:lang w:eastAsia="sk-SK"/>
          </w:rPr>
          <w:t>2014 a</w:t>
        </w:r>
      </w:smartTag>
      <w:r w:rsidRPr="004A5FD3">
        <w:rPr>
          <w:rFonts w:ascii="Times New Roman" w:hAnsi="Times New Roman" w:cs="Times New Roman"/>
          <w:sz w:val="24"/>
          <w:szCs w:val="24"/>
          <w:lang w:eastAsia="sk-SK"/>
        </w:rPr>
        <w:t xml:space="preserve"> 2015 vo výške 204 987,86 €.</w:t>
      </w:r>
    </w:p>
    <w:p w:rsidR="004A5FD3" w:rsidRPr="004A5FD3" w:rsidP="004A5FD3">
      <w:pPr>
        <w:bidi w:val="0"/>
        <w:spacing w:after="0" w:line="240" w:lineRule="auto"/>
        <w:jc w:val="both"/>
        <w:rPr>
          <w:rFonts w:ascii="Times New Roman" w:hAnsi="Times New Roman" w:cs="Times New Roman"/>
          <w:sz w:val="24"/>
          <w:szCs w:val="24"/>
          <w:lang w:eastAsia="sk-SK"/>
        </w:rPr>
      </w:pPr>
    </w:p>
    <w:tbl>
      <w:tblPr>
        <w:tblStyle w:val="TableNormal"/>
        <w:tblW w:w="5871" w:type="dxa"/>
        <w:tblInd w:w="55" w:type="dxa"/>
        <w:tblCellMar>
          <w:left w:w="70" w:type="dxa"/>
          <w:right w:w="70" w:type="dxa"/>
        </w:tblCellMar>
      </w:tblPr>
      <w:tblGrid>
        <w:gridCol w:w="1959"/>
        <w:gridCol w:w="1296"/>
        <w:gridCol w:w="1361"/>
        <w:gridCol w:w="1255"/>
      </w:tblGrid>
      <w:tr>
        <w:tblPrEx>
          <w:tblW w:w="5871" w:type="dxa"/>
          <w:tblInd w:w="55" w:type="dxa"/>
          <w:tblCellMar>
            <w:left w:w="70" w:type="dxa"/>
            <w:right w:w="70" w:type="dxa"/>
          </w:tblCellMar>
        </w:tblPrEx>
        <w:trPr>
          <w:trHeight w:val="300"/>
        </w:trPr>
        <w:tc>
          <w:tcPr>
            <w:tcW w:w="4616" w:type="dxa"/>
            <w:gridSpan w:val="3"/>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b/>
                <w:bCs/>
                <w:sz w:val="24"/>
                <w:szCs w:val="24"/>
                <w:u w:val="single"/>
                <w:lang w:eastAsia="sk-SK"/>
              </w:rPr>
            </w:pPr>
            <w:r w:rsidRPr="004A5FD3">
              <w:rPr>
                <w:rFonts w:ascii="Arial" w:hAnsi="Arial" w:cs="Arial"/>
                <w:b/>
                <w:bCs/>
                <w:u w:val="single"/>
                <w:lang w:eastAsia="sk-SK"/>
              </w:rPr>
              <w:t>Predpokladané výdavky na rok 2013</w:t>
            </w:r>
          </w:p>
        </w:tc>
        <w:tc>
          <w:tcPr>
            <w:tcW w:w="1255"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r>
      <w:tr>
        <w:tblPrEx>
          <w:tblW w:w="5871" w:type="dxa"/>
          <w:tblInd w:w="55" w:type="dxa"/>
          <w:tblCellMar>
            <w:left w:w="70" w:type="dxa"/>
            <w:right w:w="70" w:type="dxa"/>
          </w:tblCellMar>
        </w:tblPrEx>
        <w:trPr>
          <w:trHeight w:val="270"/>
        </w:trPr>
        <w:tc>
          <w:tcPr>
            <w:tcW w:w="1959"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296"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361"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255" w:type="dxa"/>
            <w:tcBorders>
              <w:top w:val="nil"/>
              <w:left w:val="nil"/>
              <w:bottom w:val="nil"/>
              <w:right w:val="nil"/>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v €</w:t>
            </w:r>
          </w:p>
        </w:tc>
      </w:tr>
      <w:tr>
        <w:tblPrEx>
          <w:tblW w:w="5871" w:type="dxa"/>
          <w:tblInd w:w="55" w:type="dxa"/>
          <w:tblCellMar>
            <w:left w:w="70" w:type="dxa"/>
            <w:right w:w="70" w:type="dxa"/>
          </w:tblCellMar>
        </w:tblPrEx>
        <w:trPr>
          <w:trHeight w:val="525"/>
        </w:trPr>
        <w:tc>
          <w:tcPr>
            <w:tcW w:w="1959" w:type="dxa"/>
            <w:tcBorders>
              <w:top w:val="single" w:sz="8" w:space="0" w:color="auto"/>
              <w:left w:val="single" w:sz="8" w:space="0" w:color="auto"/>
              <w:bottom w:val="single" w:sz="8" w:space="0" w:color="auto"/>
              <w:right w:val="single" w:sz="8" w:space="0" w:color="auto"/>
            </w:tcBorders>
            <w:noWrap/>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kategória</w:t>
            </w:r>
          </w:p>
        </w:tc>
        <w:tc>
          <w:tcPr>
            <w:tcW w:w="1296" w:type="dxa"/>
            <w:tcBorders>
              <w:top w:val="single" w:sz="8" w:space="0" w:color="auto"/>
              <w:left w:val="nil"/>
              <w:bottom w:val="single" w:sz="8" w:space="0" w:color="auto"/>
              <w:right w:val="single" w:sz="4" w:space="0" w:color="auto"/>
            </w:tcBorders>
            <w:textDirection w:val="lrTb"/>
            <w:vAlign w:val="bottom"/>
          </w:tcPr>
          <w:p w:rsidR="004A5FD3" w:rsidRPr="004A5FD3" w:rsidP="004A5FD3">
            <w:pPr>
              <w:bidi w:val="0"/>
              <w:spacing w:after="0" w:line="240" w:lineRule="auto"/>
              <w:ind w:right="14"/>
              <w:jc w:val="center"/>
              <w:rPr>
                <w:rFonts w:ascii="Arial" w:hAnsi="Arial" w:cs="Arial"/>
                <w:b/>
                <w:bCs/>
                <w:sz w:val="20"/>
                <w:szCs w:val="20"/>
                <w:lang w:eastAsia="sk-SK"/>
              </w:rPr>
            </w:pPr>
            <w:r w:rsidRPr="004A5FD3">
              <w:rPr>
                <w:rFonts w:ascii="Arial" w:hAnsi="Arial" w:cs="Arial"/>
                <w:b/>
                <w:bCs/>
                <w:sz w:val="20"/>
                <w:szCs w:val="20"/>
                <w:lang w:eastAsia="sk-SK"/>
              </w:rPr>
              <w:t>opakujúce sa výdavky</w:t>
            </w:r>
          </w:p>
        </w:tc>
        <w:tc>
          <w:tcPr>
            <w:tcW w:w="1361" w:type="dxa"/>
            <w:tcBorders>
              <w:top w:val="single" w:sz="8" w:space="0" w:color="auto"/>
              <w:left w:val="nil"/>
              <w:bottom w:val="single" w:sz="8" w:space="0" w:color="auto"/>
              <w:right w:val="single" w:sz="4" w:space="0" w:color="auto"/>
            </w:tcBorders>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jednorazové výdavky</w:t>
            </w:r>
          </w:p>
        </w:tc>
        <w:tc>
          <w:tcPr>
            <w:tcW w:w="1255" w:type="dxa"/>
            <w:tcBorders>
              <w:top w:val="single" w:sz="8" w:space="0" w:color="auto"/>
              <w:left w:val="nil"/>
              <w:bottom w:val="single" w:sz="8" w:space="0" w:color="auto"/>
              <w:right w:val="single" w:sz="8" w:space="0" w:color="auto"/>
            </w:tcBorders>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Výdavky spolu</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center"/>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610</w:t>
            </w:r>
          </w:p>
        </w:tc>
        <w:tc>
          <w:tcPr>
            <w:tcW w:w="1296"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145 971,00</w:t>
            </w:r>
          </w:p>
        </w:tc>
        <w:tc>
          <w:tcPr>
            <w:tcW w:w="1361"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2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145 971,00</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center"/>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620</w:t>
            </w:r>
          </w:p>
        </w:tc>
        <w:tc>
          <w:tcPr>
            <w:tcW w:w="1296"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51 016,86</w:t>
            </w:r>
          </w:p>
        </w:tc>
        <w:tc>
          <w:tcPr>
            <w:tcW w:w="1361"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2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51 016,86</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bottom"/>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630</w:t>
            </w:r>
          </w:p>
        </w:tc>
        <w:tc>
          <w:tcPr>
            <w:tcW w:w="1296"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361"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25 000,00</w:t>
            </w:r>
          </w:p>
        </w:tc>
        <w:tc>
          <w:tcPr>
            <w:tcW w:w="12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25 000,00</w:t>
            </w:r>
          </w:p>
        </w:tc>
      </w:tr>
      <w:tr>
        <w:tblPrEx>
          <w:tblW w:w="5871" w:type="dxa"/>
          <w:tblInd w:w="55" w:type="dxa"/>
          <w:tblCellMar>
            <w:left w:w="70" w:type="dxa"/>
            <w:right w:w="70" w:type="dxa"/>
          </w:tblCellMar>
        </w:tblPrEx>
        <w:trPr>
          <w:trHeight w:val="270"/>
        </w:trPr>
        <w:tc>
          <w:tcPr>
            <w:tcW w:w="1959" w:type="dxa"/>
            <w:tcBorders>
              <w:top w:val="nil"/>
              <w:left w:val="single" w:sz="8" w:space="0" w:color="auto"/>
              <w:bottom w:val="nil"/>
              <w:right w:val="single" w:sz="8" w:space="0" w:color="auto"/>
            </w:tcBorders>
            <w:noWrap/>
            <w:textDirection w:val="lrTb"/>
            <w:vAlign w:val="bottom"/>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700</w:t>
            </w:r>
          </w:p>
        </w:tc>
        <w:tc>
          <w:tcPr>
            <w:tcW w:w="1296" w:type="dxa"/>
            <w:tcBorders>
              <w:top w:val="nil"/>
              <w:left w:val="nil"/>
              <w:bottom w:val="nil"/>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361" w:type="dxa"/>
            <w:tcBorders>
              <w:top w:val="nil"/>
              <w:left w:val="nil"/>
              <w:bottom w:val="nil"/>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15 500,00</w:t>
            </w:r>
          </w:p>
        </w:tc>
        <w:tc>
          <w:tcPr>
            <w:tcW w:w="1255" w:type="dxa"/>
            <w:tcBorders>
              <w:top w:val="nil"/>
              <w:left w:val="nil"/>
              <w:bottom w:val="nil"/>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15 500,00</w:t>
            </w:r>
          </w:p>
        </w:tc>
      </w:tr>
      <w:tr>
        <w:tblPrEx>
          <w:tblW w:w="5871" w:type="dxa"/>
          <w:tblInd w:w="55" w:type="dxa"/>
          <w:tblCellMar>
            <w:left w:w="70" w:type="dxa"/>
            <w:right w:w="70" w:type="dxa"/>
          </w:tblCellMar>
        </w:tblPrEx>
        <w:trPr>
          <w:trHeight w:val="255"/>
        </w:trPr>
        <w:tc>
          <w:tcPr>
            <w:tcW w:w="1959" w:type="dxa"/>
            <w:tcBorders>
              <w:top w:val="single" w:sz="8" w:space="0" w:color="auto"/>
              <w:left w:val="single" w:sz="8" w:space="0" w:color="auto"/>
              <w:bottom w:val="single" w:sz="8" w:space="0" w:color="auto"/>
              <w:right w:val="single" w:sz="8" w:space="0" w:color="auto"/>
            </w:tcBorders>
            <w:noWrap/>
            <w:textDirection w:val="lrTb"/>
            <w:vAlign w:val="bottom"/>
          </w:tcPr>
          <w:p w:rsidR="004A5FD3" w:rsidRPr="004A5FD3" w:rsidP="004A5FD3">
            <w:pPr>
              <w:bidi w:val="0"/>
              <w:spacing w:after="0" w:line="240" w:lineRule="auto"/>
              <w:rPr>
                <w:rFonts w:ascii="Arial" w:hAnsi="Arial" w:cs="Arial"/>
                <w:b/>
                <w:bCs/>
                <w:sz w:val="20"/>
                <w:szCs w:val="20"/>
                <w:lang w:eastAsia="sk-SK"/>
              </w:rPr>
            </w:pPr>
            <w:r w:rsidRPr="004A5FD3">
              <w:rPr>
                <w:rFonts w:ascii="Arial" w:hAnsi="Arial" w:cs="Arial"/>
                <w:b/>
                <w:bCs/>
                <w:sz w:val="20"/>
                <w:szCs w:val="20"/>
                <w:lang w:eastAsia="sk-SK"/>
              </w:rPr>
              <w:t>VÝDAVKY SPOLU</w:t>
            </w:r>
          </w:p>
        </w:tc>
        <w:tc>
          <w:tcPr>
            <w:tcW w:w="1296" w:type="dxa"/>
            <w:tcBorders>
              <w:top w:val="single" w:sz="8" w:space="0" w:color="auto"/>
              <w:left w:val="nil"/>
              <w:bottom w:val="single" w:sz="8"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196 987,86</w:t>
            </w:r>
          </w:p>
        </w:tc>
        <w:tc>
          <w:tcPr>
            <w:tcW w:w="1361" w:type="dxa"/>
            <w:tcBorders>
              <w:top w:val="single" w:sz="8" w:space="0" w:color="auto"/>
              <w:left w:val="nil"/>
              <w:bottom w:val="single" w:sz="8"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40 500,00</w:t>
            </w:r>
          </w:p>
        </w:tc>
        <w:tc>
          <w:tcPr>
            <w:tcW w:w="1255" w:type="dxa"/>
            <w:tcBorders>
              <w:top w:val="single" w:sz="8" w:space="0" w:color="auto"/>
              <w:left w:val="nil"/>
              <w:bottom w:val="single" w:sz="8"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237 487,86</w:t>
            </w:r>
          </w:p>
        </w:tc>
      </w:tr>
    </w:tbl>
    <w:p w:rsidR="004A5FD3" w:rsidRPr="004A5FD3" w:rsidP="004A5FD3">
      <w:pPr>
        <w:bidi w:val="0"/>
        <w:spacing w:after="0" w:line="240" w:lineRule="auto"/>
        <w:jc w:val="both"/>
        <w:rPr>
          <w:rFonts w:ascii="Times New Roman" w:hAnsi="Times New Roman" w:cs="Times New Roman"/>
          <w:sz w:val="24"/>
          <w:szCs w:val="24"/>
          <w:lang w:eastAsia="sk-SK"/>
        </w:rPr>
      </w:pPr>
    </w:p>
    <w:tbl>
      <w:tblPr>
        <w:tblStyle w:val="TableNormal"/>
        <w:tblW w:w="5755" w:type="dxa"/>
        <w:tblInd w:w="55" w:type="dxa"/>
        <w:tblCellMar>
          <w:left w:w="70" w:type="dxa"/>
          <w:right w:w="70" w:type="dxa"/>
        </w:tblCellMar>
      </w:tblPr>
      <w:tblGrid>
        <w:gridCol w:w="1937"/>
        <w:gridCol w:w="1318"/>
        <w:gridCol w:w="1345"/>
        <w:gridCol w:w="1155"/>
      </w:tblGrid>
      <w:tr>
        <w:tblPrEx>
          <w:tblW w:w="5755" w:type="dxa"/>
          <w:tblInd w:w="55" w:type="dxa"/>
          <w:tblCellMar>
            <w:left w:w="70" w:type="dxa"/>
            <w:right w:w="70" w:type="dxa"/>
          </w:tblCellMar>
        </w:tblPrEx>
        <w:trPr>
          <w:trHeight w:val="300"/>
        </w:trPr>
        <w:tc>
          <w:tcPr>
            <w:tcW w:w="5755" w:type="dxa"/>
            <w:gridSpan w:val="4"/>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b/>
                <w:bCs/>
                <w:sz w:val="24"/>
                <w:szCs w:val="24"/>
                <w:u w:val="single"/>
                <w:lang w:eastAsia="sk-SK"/>
              </w:rPr>
            </w:pPr>
          </w:p>
          <w:p w:rsidR="004A5FD3" w:rsidRPr="004A5FD3" w:rsidP="004A5FD3">
            <w:pPr>
              <w:bidi w:val="0"/>
              <w:spacing w:after="0" w:line="240" w:lineRule="auto"/>
              <w:rPr>
                <w:rFonts w:ascii="Arial" w:hAnsi="Arial" w:cs="Arial"/>
                <w:b/>
                <w:bCs/>
                <w:sz w:val="24"/>
                <w:szCs w:val="24"/>
                <w:u w:val="single"/>
                <w:lang w:eastAsia="sk-SK"/>
              </w:rPr>
            </w:pPr>
            <w:r w:rsidRPr="004A5FD3">
              <w:rPr>
                <w:rFonts w:ascii="Arial" w:hAnsi="Arial" w:cs="Arial"/>
                <w:b/>
                <w:bCs/>
                <w:u w:val="single"/>
                <w:lang w:eastAsia="sk-SK"/>
              </w:rPr>
              <w:t xml:space="preserve">Predpokladané výdavky na roky </w:t>
            </w:r>
            <w:smartTag w:uri="urn:schemas-microsoft-com:office:smarttags" w:element="metricconverter">
              <w:smartTagPr>
                <w:attr w:name="ProductID" w:val="08C"/>
              </w:smartTagPr>
              <w:r w:rsidRPr="004A5FD3">
                <w:rPr>
                  <w:rFonts w:ascii="Arial" w:hAnsi="Arial" w:cs="Arial"/>
                  <w:b/>
                  <w:bCs/>
                  <w:u w:val="single"/>
                  <w:lang w:eastAsia="sk-SK"/>
                </w:rPr>
                <w:t>2014 a</w:t>
              </w:r>
            </w:smartTag>
            <w:r w:rsidRPr="004A5FD3">
              <w:rPr>
                <w:rFonts w:ascii="Arial" w:hAnsi="Arial" w:cs="Arial"/>
                <w:b/>
                <w:bCs/>
                <w:u w:val="single"/>
                <w:lang w:eastAsia="sk-SK"/>
              </w:rPr>
              <w:t xml:space="preserve"> 2015</w:t>
            </w:r>
          </w:p>
        </w:tc>
      </w:tr>
      <w:tr>
        <w:tblPrEx>
          <w:tblW w:w="5755" w:type="dxa"/>
          <w:tblInd w:w="55" w:type="dxa"/>
          <w:tblCellMar>
            <w:left w:w="70" w:type="dxa"/>
            <w:right w:w="70" w:type="dxa"/>
          </w:tblCellMar>
        </w:tblPrEx>
        <w:trPr>
          <w:trHeight w:val="270"/>
        </w:trPr>
        <w:tc>
          <w:tcPr>
            <w:tcW w:w="1937"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318"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345"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sz w:val="20"/>
                <w:szCs w:val="20"/>
                <w:lang w:eastAsia="sk-SK"/>
              </w:rPr>
            </w:pPr>
          </w:p>
        </w:tc>
        <w:tc>
          <w:tcPr>
            <w:tcW w:w="1155" w:type="dxa"/>
            <w:tcBorders>
              <w:top w:val="nil"/>
              <w:left w:val="nil"/>
              <w:bottom w:val="nil"/>
              <w:right w:val="nil"/>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v €</w:t>
            </w:r>
          </w:p>
        </w:tc>
      </w:tr>
      <w:tr>
        <w:tblPrEx>
          <w:tblW w:w="5755" w:type="dxa"/>
          <w:tblInd w:w="55" w:type="dxa"/>
          <w:tblCellMar>
            <w:left w:w="70" w:type="dxa"/>
            <w:right w:w="70" w:type="dxa"/>
          </w:tblCellMar>
        </w:tblPrEx>
        <w:trPr>
          <w:trHeight w:val="525"/>
        </w:trPr>
        <w:tc>
          <w:tcPr>
            <w:tcW w:w="1937" w:type="dxa"/>
            <w:tcBorders>
              <w:top w:val="single" w:sz="8" w:space="0" w:color="auto"/>
              <w:left w:val="single" w:sz="8" w:space="0" w:color="auto"/>
              <w:bottom w:val="single" w:sz="8" w:space="0" w:color="auto"/>
              <w:right w:val="single" w:sz="8" w:space="0" w:color="auto"/>
            </w:tcBorders>
            <w:noWrap/>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kategória</w:t>
            </w:r>
          </w:p>
        </w:tc>
        <w:tc>
          <w:tcPr>
            <w:tcW w:w="1318" w:type="dxa"/>
            <w:tcBorders>
              <w:top w:val="single" w:sz="8" w:space="0" w:color="auto"/>
              <w:left w:val="nil"/>
              <w:bottom w:val="single" w:sz="8" w:space="0" w:color="auto"/>
              <w:right w:val="single" w:sz="4" w:space="0" w:color="auto"/>
            </w:tcBorders>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opakujúce sa výdavky</w:t>
            </w:r>
          </w:p>
        </w:tc>
        <w:tc>
          <w:tcPr>
            <w:tcW w:w="1345" w:type="dxa"/>
            <w:tcBorders>
              <w:top w:val="single" w:sz="8" w:space="0" w:color="auto"/>
              <w:left w:val="nil"/>
              <w:bottom w:val="single" w:sz="8" w:space="0" w:color="auto"/>
              <w:right w:val="single" w:sz="4" w:space="0" w:color="auto"/>
            </w:tcBorders>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jednorazové výdavky</w:t>
            </w:r>
          </w:p>
        </w:tc>
        <w:tc>
          <w:tcPr>
            <w:tcW w:w="1155" w:type="dxa"/>
            <w:tcBorders>
              <w:top w:val="single" w:sz="8" w:space="0" w:color="auto"/>
              <w:left w:val="nil"/>
              <w:bottom w:val="single" w:sz="8" w:space="0" w:color="auto"/>
              <w:right w:val="single" w:sz="8" w:space="0" w:color="auto"/>
            </w:tcBorders>
            <w:textDirection w:val="lrTb"/>
            <w:vAlign w:val="bottom"/>
          </w:tcPr>
          <w:p w:rsidR="004A5FD3" w:rsidRPr="004A5FD3" w:rsidP="004A5FD3">
            <w:pPr>
              <w:bidi w:val="0"/>
              <w:spacing w:after="0" w:line="240" w:lineRule="auto"/>
              <w:jc w:val="center"/>
              <w:rPr>
                <w:rFonts w:ascii="Arial" w:hAnsi="Arial" w:cs="Arial"/>
                <w:b/>
                <w:bCs/>
                <w:sz w:val="20"/>
                <w:szCs w:val="20"/>
                <w:lang w:eastAsia="sk-SK"/>
              </w:rPr>
            </w:pPr>
            <w:r w:rsidRPr="004A5FD3">
              <w:rPr>
                <w:rFonts w:ascii="Arial" w:hAnsi="Arial" w:cs="Arial"/>
                <w:b/>
                <w:bCs/>
                <w:sz w:val="20"/>
                <w:szCs w:val="20"/>
                <w:lang w:eastAsia="sk-SK"/>
              </w:rPr>
              <w:t>Výdavky spolu</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center"/>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610</w:t>
            </w:r>
          </w:p>
        </w:tc>
        <w:tc>
          <w:tcPr>
            <w:tcW w:w="1318"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145 971,00</w:t>
            </w:r>
          </w:p>
        </w:tc>
        <w:tc>
          <w:tcPr>
            <w:tcW w:w="1345"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145 971,00</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center"/>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620</w:t>
            </w:r>
          </w:p>
        </w:tc>
        <w:tc>
          <w:tcPr>
            <w:tcW w:w="1318"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51 016,86</w:t>
            </w:r>
          </w:p>
        </w:tc>
        <w:tc>
          <w:tcPr>
            <w:tcW w:w="1345"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51 016,86</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bottom"/>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630</w:t>
            </w:r>
          </w:p>
        </w:tc>
        <w:tc>
          <w:tcPr>
            <w:tcW w:w="1318"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8 000,00</w:t>
            </w:r>
          </w:p>
        </w:tc>
        <w:tc>
          <w:tcPr>
            <w:tcW w:w="1345" w:type="dxa"/>
            <w:tcBorders>
              <w:top w:val="nil"/>
              <w:left w:val="nil"/>
              <w:bottom w:val="single" w:sz="4"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8 000,00</w:t>
            </w:r>
          </w:p>
        </w:tc>
      </w:tr>
      <w:tr>
        <w:tblPrEx>
          <w:tblW w:w="5755" w:type="dxa"/>
          <w:tblInd w:w="55" w:type="dxa"/>
          <w:tblCellMar>
            <w:left w:w="70" w:type="dxa"/>
            <w:right w:w="70" w:type="dxa"/>
          </w:tblCellMar>
        </w:tblPrEx>
        <w:trPr>
          <w:trHeight w:val="270"/>
        </w:trPr>
        <w:tc>
          <w:tcPr>
            <w:tcW w:w="1937" w:type="dxa"/>
            <w:tcBorders>
              <w:top w:val="nil"/>
              <w:left w:val="single" w:sz="8" w:space="0" w:color="auto"/>
              <w:bottom w:val="nil"/>
              <w:right w:val="single" w:sz="8" w:space="0" w:color="auto"/>
            </w:tcBorders>
            <w:noWrap/>
            <w:textDirection w:val="lrTb"/>
            <w:vAlign w:val="bottom"/>
          </w:tcPr>
          <w:p w:rsidR="004A5FD3" w:rsidRPr="004A5FD3" w:rsidP="004A5FD3">
            <w:pPr>
              <w:bidi w:val="0"/>
              <w:spacing w:after="0" w:line="240" w:lineRule="auto"/>
              <w:rPr>
                <w:rFonts w:ascii="Arial" w:hAnsi="Arial" w:cs="Arial"/>
                <w:sz w:val="20"/>
                <w:szCs w:val="20"/>
                <w:lang w:eastAsia="sk-SK"/>
              </w:rPr>
            </w:pPr>
            <w:r w:rsidRPr="004A5FD3">
              <w:rPr>
                <w:rFonts w:ascii="Arial" w:hAnsi="Arial" w:cs="Arial"/>
                <w:sz w:val="20"/>
                <w:szCs w:val="20"/>
                <w:lang w:eastAsia="sk-SK"/>
              </w:rPr>
              <w:t>700</w:t>
            </w:r>
          </w:p>
        </w:tc>
        <w:tc>
          <w:tcPr>
            <w:tcW w:w="1318" w:type="dxa"/>
            <w:tcBorders>
              <w:top w:val="nil"/>
              <w:left w:val="nil"/>
              <w:bottom w:val="nil"/>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345" w:type="dxa"/>
            <w:tcBorders>
              <w:top w:val="nil"/>
              <w:left w:val="nil"/>
              <w:bottom w:val="nil"/>
              <w:right w:val="single" w:sz="4"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c>
          <w:tcPr>
            <w:tcW w:w="1155" w:type="dxa"/>
            <w:tcBorders>
              <w:top w:val="nil"/>
              <w:left w:val="nil"/>
              <w:bottom w:val="nil"/>
              <w:right w:val="single" w:sz="8" w:space="0" w:color="auto"/>
            </w:tcBorders>
            <w:noWrap/>
            <w:textDirection w:val="lrTb"/>
            <w:vAlign w:val="bottom"/>
          </w:tcPr>
          <w:p w:rsidR="004A5FD3" w:rsidRPr="004A5FD3" w:rsidP="004A5FD3">
            <w:pPr>
              <w:bidi w:val="0"/>
              <w:spacing w:after="0" w:line="240" w:lineRule="auto"/>
              <w:jc w:val="right"/>
              <w:rPr>
                <w:rFonts w:ascii="Arial" w:hAnsi="Arial" w:cs="Arial"/>
                <w:sz w:val="20"/>
                <w:szCs w:val="20"/>
                <w:lang w:eastAsia="sk-SK"/>
              </w:rPr>
            </w:pPr>
            <w:r w:rsidRPr="004A5FD3">
              <w:rPr>
                <w:rFonts w:ascii="Arial" w:hAnsi="Arial" w:cs="Arial"/>
                <w:sz w:val="20"/>
                <w:szCs w:val="20"/>
                <w:lang w:eastAsia="sk-SK"/>
              </w:rPr>
              <w:t>0,00</w:t>
            </w:r>
          </w:p>
        </w:tc>
      </w:tr>
      <w:tr>
        <w:tblPrEx>
          <w:tblW w:w="5755" w:type="dxa"/>
          <w:tblInd w:w="55" w:type="dxa"/>
          <w:tblCellMar>
            <w:left w:w="70" w:type="dxa"/>
            <w:right w:w="70" w:type="dxa"/>
          </w:tblCellMar>
        </w:tblPrEx>
        <w:trPr>
          <w:trHeight w:val="270"/>
        </w:trPr>
        <w:tc>
          <w:tcPr>
            <w:tcW w:w="1937" w:type="dxa"/>
            <w:tcBorders>
              <w:top w:val="single" w:sz="8" w:space="0" w:color="auto"/>
              <w:left w:val="single" w:sz="8" w:space="0" w:color="auto"/>
              <w:bottom w:val="single" w:sz="8" w:space="0" w:color="auto"/>
              <w:right w:val="single" w:sz="8" w:space="0" w:color="auto"/>
            </w:tcBorders>
            <w:noWrap/>
            <w:textDirection w:val="lrTb"/>
            <w:vAlign w:val="bottom"/>
          </w:tcPr>
          <w:p w:rsidR="004A5FD3" w:rsidRPr="004A5FD3" w:rsidP="004A5FD3">
            <w:pPr>
              <w:bidi w:val="0"/>
              <w:spacing w:after="0" w:line="240" w:lineRule="auto"/>
              <w:rPr>
                <w:rFonts w:ascii="Arial" w:hAnsi="Arial" w:cs="Arial"/>
                <w:b/>
                <w:bCs/>
                <w:sz w:val="20"/>
                <w:szCs w:val="20"/>
                <w:lang w:eastAsia="sk-SK"/>
              </w:rPr>
            </w:pPr>
            <w:r w:rsidRPr="004A5FD3">
              <w:rPr>
                <w:rFonts w:ascii="Arial" w:hAnsi="Arial" w:cs="Arial"/>
                <w:b/>
                <w:bCs/>
                <w:sz w:val="20"/>
                <w:szCs w:val="20"/>
                <w:lang w:eastAsia="sk-SK"/>
              </w:rPr>
              <w:t>VÝDAVKY SPOLU</w:t>
            </w:r>
          </w:p>
        </w:tc>
        <w:tc>
          <w:tcPr>
            <w:tcW w:w="1318" w:type="dxa"/>
            <w:tcBorders>
              <w:top w:val="single" w:sz="8" w:space="0" w:color="auto"/>
              <w:left w:val="nil"/>
              <w:bottom w:val="single" w:sz="8"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204 987,86</w:t>
            </w:r>
          </w:p>
        </w:tc>
        <w:tc>
          <w:tcPr>
            <w:tcW w:w="1345" w:type="dxa"/>
            <w:tcBorders>
              <w:top w:val="single" w:sz="8" w:space="0" w:color="auto"/>
              <w:left w:val="nil"/>
              <w:bottom w:val="single" w:sz="8" w:space="0" w:color="auto"/>
              <w:right w:val="single" w:sz="4"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0,00</w:t>
            </w:r>
          </w:p>
        </w:tc>
        <w:tc>
          <w:tcPr>
            <w:tcW w:w="1155" w:type="dxa"/>
            <w:tcBorders>
              <w:top w:val="single" w:sz="8" w:space="0" w:color="auto"/>
              <w:left w:val="nil"/>
              <w:bottom w:val="single" w:sz="8" w:space="0" w:color="auto"/>
              <w:right w:val="single" w:sz="8" w:space="0" w:color="auto"/>
            </w:tcBorders>
            <w:noWrap/>
            <w:textDirection w:val="lrTb"/>
            <w:vAlign w:val="bottom"/>
          </w:tcPr>
          <w:p w:rsidR="004A5FD3" w:rsidRPr="004A5FD3" w:rsidP="004A5FD3">
            <w:pPr>
              <w:bidi w:val="0"/>
              <w:spacing w:after="0" w:line="240" w:lineRule="auto"/>
              <w:jc w:val="right"/>
              <w:rPr>
                <w:rFonts w:ascii="Arial" w:hAnsi="Arial" w:cs="Arial"/>
                <w:b/>
                <w:bCs/>
                <w:sz w:val="20"/>
                <w:szCs w:val="20"/>
                <w:lang w:eastAsia="sk-SK"/>
              </w:rPr>
            </w:pPr>
            <w:r w:rsidRPr="004A5FD3">
              <w:rPr>
                <w:rFonts w:ascii="Arial" w:hAnsi="Arial" w:cs="Arial"/>
                <w:b/>
                <w:bCs/>
                <w:sz w:val="20"/>
                <w:szCs w:val="20"/>
                <w:lang w:eastAsia="sk-SK"/>
              </w:rPr>
              <w:t>204 987,86</w:t>
            </w:r>
          </w:p>
        </w:tc>
      </w:tr>
    </w:tbl>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ab/>
        <w:t xml:space="preserve">Jednorazové výdavky súvisia so zriadením kancelárií pre 10 zamestnancov, z toho pre 9 zamestnancov v štátnej službe a 1 zamestnanca pri výkone prác vo verejnom záujme. Jednorazové bežné výdavky pozostávajú z interiérového vybavenia (kancelársky nábytok), výpočtovej a telekomunikačnej techniky vo výške 25 000 €. Jednorazové kapitálové výdavky súvisia s obstaraním technického zariadenia v sume 15 500 €.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ab/>
        <w:t>Opakujúce sa výdavky zahŕňajú výdavky na mzdy, platy, služobné príjmy a ostatné osobné vyrovnania vo výške 145 971 € pre 10 zamestnancov, z toho pre 9 zamestnancov v štátnej službe vo výške 137 061 € a pre 1 zamestnanca pri výkone prác vo verejnom záujme vo výške    8 910 €, poistné a príspevok do poisťovní vo výške 51 016,86 € a nevyhnutné výdavky na výkon práce (napr. všeobecný materiál, kancelárske potreby, cestovné náhrady, všeobecný materiál, stravovanie, poštové a telekomunikačné služby) vo výške 8 000 €.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b/>
          <w:i/>
          <w:sz w:val="24"/>
          <w:szCs w:val="24"/>
          <w:lang w:eastAsia="sk-SK"/>
        </w:rPr>
      </w:pPr>
      <w:r w:rsidRPr="004A5FD3">
        <w:rPr>
          <w:rFonts w:ascii="Times New Roman" w:hAnsi="Times New Roman" w:cs="Times New Roman"/>
          <w:b/>
          <w:i/>
          <w:sz w:val="24"/>
          <w:szCs w:val="24"/>
          <w:lang w:eastAsia="sk-SK"/>
        </w:rPr>
        <w:t>PROGRAM 06V – OCHRANA VEREJNÉHO PORIADKU A BEZPEČNOSTI</w:t>
      </w:r>
    </w:p>
    <w:tbl>
      <w:tblPr>
        <w:tblStyle w:val="TableNormal"/>
        <w:tblW w:w="5755" w:type="dxa"/>
        <w:tblInd w:w="55" w:type="dxa"/>
        <w:tblCellMar>
          <w:left w:w="70" w:type="dxa"/>
          <w:right w:w="70" w:type="dxa"/>
        </w:tblCellMar>
      </w:tblPr>
      <w:tblGrid>
        <w:gridCol w:w="5755"/>
      </w:tblGrid>
      <w:tr>
        <w:tblPrEx>
          <w:tblW w:w="5755" w:type="dxa"/>
          <w:tblInd w:w="55" w:type="dxa"/>
          <w:tblCellMar>
            <w:left w:w="70" w:type="dxa"/>
            <w:right w:w="70" w:type="dxa"/>
          </w:tblCellMar>
        </w:tblPrEx>
        <w:trPr>
          <w:trHeight w:val="300"/>
        </w:trPr>
        <w:tc>
          <w:tcPr>
            <w:tcW w:w="5755" w:type="dxa"/>
            <w:tcBorders>
              <w:top w:val="nil"/>
              <w:left w:val="nil"/>
              <w:bottom w:val="nil"/>
              <w:right w:val="nil"/>
            </w:tcBorders>
            <w:noWrap/>
            <w:textDirection w:val="lrTb"/>
            <w:vAlign w:val="bottom"/>
          </w:tcPr>
          <w:p w:rsidR="004A5FD3" w:rsidRPr="004A5FD3" w:rsidP="004A5FD3">
            <w:pPr>
              <w:bidi w:val="0"/>
              <w:spacing w:after="0" w:line="240" w:lineRule="auto"/>
              <w:rPr>
                <w:rFonts w:ascii="Arial" w:hAnsi="Arial" w:cs="Arial"/>
                <w:b/>
                <w:bCs/>
                <w:sz w:val="24"/>
                <w:szCs w:val="24"/>
                <w:u w:val="single"/>
                <w:lang w:eastAsia="sk-SK"/>
              </w:rPr>
            </w:pPr>
          </w:p>
          <w:p w:rsidR="004A5FD3" w:rsidRPr="004A5FD3" w:rsidP="004A5FD3">
            <w:pPr>
              <w:bidi w:val="0"/>
              <w:spacing w:after="0" w:line="240" w:lineRule="auto"/>
              <w:rPr>
                <w:rFonts w:ascii="Arial" w:hAnsi="Arial" w:cs="Arial"/>
                <w:b/>
                <w:bCs/>
                <w:sz w:val="24"/>
                <w:szCs w:val="24"/>
                <w:u w:val="single"/>
                <w:lang w:eastAsia="sk-SK"/>
              </w:rPr>
            </w:pPr>
            <w:r w:rsidRPr="004A5FD3">
              <w:rPr>
                <w:rFonts w:ascii="Arial" w:hAnsi="Arial" w:cs="Arial"/>
                <w:b/>
                <w:bCs/>
                <w:u w:val="single"/>
                <w:lang w:eastAsia="sk-SK"/>
              </w:rPr>
              <w:t>Predpokladané výdavky na roky 2013 – 2016</w:t>
            </w:r>
          </w:p>
        </w:tc>
      </w:tr>
    </w:tbl>
    <w:p w:rsidR="004A5FD3" w:rsidRPr="004A5FD3" w:rsidP="004A5FD3">
      <w:pPr>
        <w:bidi w:val="0"/>
        <w:spacing w:after="0" w:line="240" w:lineRule="auto"/>
        <w:jc w:val="both"/>
        <w:rPr>
          <w:rFonts w:ascii="Times New Roman" w:hAnsi="Times New Roman" w:cs="Times New Roman"/>
          <w:b/>
          <w:i/>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kategória</w:t>
        <w:tab/>
        <w:tab/>
        <w:t xml:space="preserve">    suma</w:t>
      </w:r>
    </w:p>
    <w:p w:rsidR="004A5FD3" w:rsidRPr="004A5FD3" w:rsidP="004A5FD3">
      <w:pPr>
        <w:bidi w:val="0"/>
        <w:spacing w:after="0" w:line="240" w:lineRule="auto"/>
        <w:jc w:val="both"/>
        <w:rPr>
          <w:rFonts w:ascii="Times New Roman" w:hAnsi="Times New Roman" w:cs="Times New Roman"/>
          <w:b/>
          <w:i/>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635009 Softvér </w:t>
        <w:tab/>
        <w:t xml:space="preserve">3 387 000 €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ab/>
        <w:t>Výdavky vo výške 3 387 000 € sú potrebné na zabezpečenie prostriedkov na udržanie výsledkov projektu financovaného zo štrukturálnych fondov EÚ v zmysle čl. 57 Nariadenia Rady (ES) 1083/2006. Udržateľnosť prevádzky informačných systémov centrálnej ohlasovne a registra fyzických osôb si vyžaduje zabezpečiť dodávateľsky servis, podporu a údržbu príslušných zdrojových aplikácií. Taktiež je potrebné zabezpečiť podporu systémového softvéru a využívanej komunikačnej infraštruktúry.</w:t>
      </w:r>
    </w:p>
    <w:p w:rsidR="004A5FD3" w:rsidRPr="004A5FD3" w:rsidP="004A5FD3">
      <w:pPr>
        <w:bidi w:val="0"/>
        <w:spacing w:after="0" w:line="240" w:lineRule="auto"/>
        <w:jc w:val="both"/>
        <w:rPr>
          <w:rFonts w:ascii="Times New Roman" w:hAnsi="Times New Roman" w:cs="Times New Roman"/>
          <w:sz w:val="24"/>
          <w:szCs w:val="24"/>
          <w:lang w:eastAsia="sk-SK"/>
        </w:rPr>
        <w:sectPr w:rsidSect="004A5FD3">
          <w:headerReference w:type="default" r:id="rId5"/>
          <w:footerReference w:type="even" r:id="rId6"/>
          <w:footerReference w:type="default" r:id="rId7"/>
          <w:pgSz w:w="12240" w:h="15840"/>
          <w:pgMar w:top="1417" w:right="1417" w:bottom="1417" w:left="1417" w:header="708" w:footer="708" w:gutter="0"/>
          <w:lnNumType w:distance="0"/>
          <w:pgNumType w:start="10"/>
          <w:cols w:space="708"/>
          <w:noEndnote w:val="0"/>
          <w:bidi w:val="0"/>
          <w:rtlGutter/>
          <w:docGrid w:linePitch="299"/>
        </w:sectPr>
      </w:pPr>
    </w:p>
    <w:p w:rsidR="004A5FD3" w:rsidRPr="004A5FD3" w:rsidP="004A5FD3">
      <w:pPr>
        <w:bidi w:val="0"/>
        <w:spacing w:after="0" w:line="240" w:lineRule="auto"/>
        <w:jc w:val="right"/>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Tabuľka č. 4 </w:t>
      </w:r>
    </w:p>
    <w:tbl>
      <w:tblPr>
        <w:tblStyle w:val="TableNormal"/>
        <w:tblW w:w="12450" w:type="dxa"/>
        <w:tblCellMar>
          <w:left w:w="0" w:type="dxa"/>
          <w:right w:w="0" w:type="dxa"/>
        </w:tblCellMar>
      </w:tblPr>
      <w:tblGrid>
        <w:gridCol w:w="4950"/>
        <w:gridCol w:w="1500"/>
        <w:gridCol w:w="1500"/>
        <w:gridCol w:w="1500"/>
        <w:gridCol w:w="3000"/>
      </w:tblGrid>
      <w:tr>
        <w:tblPrEx>
          <w:tblW w:w="12450" w:type="dxa"/>
          <w:tblCellMar>
            <w:left w:w="0" w:type="dxa"/>
            <w:right w:w="0" w:type="dxa"/>
          </w:tblCellMar>
        </w:tblPrEx>
        <w:trPr>
          <w:gridAfter w:val="2"/>
          <w:wAfter w:w="4500" w:type="dxa"/>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r w:rsidRPr="004A5FD3">
              <w:rPr>
                <w:rFonts w:ascii="Times New Roman" w:hAnsi="Times New Roman" w:cs="Times New Roman"/>
                <w:b/>
                <w:bCs/>
                <w:color w:val="FFFFFF"/>
                <w:sz w:val="24"/>
                <w:szCs w:val="24"/>
                <w:lang w:eastAsia="sk-SK"/>
              </w:rPr>
              <w:t>Príjmy (v eurách)</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poznámka</w:t>
            </w:r>
          </w:p>
        </w:tc>
      </w:tr>
      <w:tr>
        <w:tblPrEx>
          <w:tblW w:w="124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Daňové príjmy (100)</w:t>
            </w:r>
            <w:r w:rsidRPr="004A5FD3">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Nedaňové príjmy (200)</w:t>
            </w:r>
            <w:r w:rsidRPr="004A5FD3">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Granty a transfery (300)</w:t>
            </w:r>
            <w:r w:rsidRPr="004A5FD3">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color w:val="FFFFFF"/>
                <w:sz w:val="24"/>
                <w:szCs w:val="24"/>
                <w:lang w:eastAsia="sk-SK"/>
              </w:rPr>
              <w:t> </w:t>
            </w:r>
          </w:p>
        </w:tc>
      </w:tr>
      <w:tr>
        <w:tblPrEx>
          <w:tblW w:w="12450" w:type="dxa"/>
          <w:tblCellMar>
            <w:left w:w="0" w:type="dxa"/>
            <w:right w:w="0" w:type="dxa"/>
          </w:tblCellMar>
        </w:tblPrEx>
        <w:tc>
          <w:tcPr>
            <w:tcW w:w="495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300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jc w:val="both"/>
        <w:rPr>
          <w:rFonts w:ascii="Times New Roman" w:hAnsi="Times New Roman" w:cs="Times New Roman"/>
          <w:sz w:val="20"/>
          <w:szCs w:val="20"/>
          <w:lang w:eastAsia="sk-SK"/>
        </w:rPr>
      </w:pPr>
    </w:p>
    <w:p w:rsidR="004A5FD3" w:rsidRPr="004A5FD3" w:rsidP="004A5FD3">
      <w:pPr>
        <w:bidi w:val="0"/>
        <w:spacing w:after="0" w:line="240" w:lineRule="auto"/>
        <w:jc w:val="both"/>
        <w:rPr>
          <w:rFonts w:ascii="Times New Roman" w:hAnsi="Times New Roman" w:cs="Times New Roman"/>
          <w:sz w:val="20"/>
          <w:szCs w:val="20"/>
          <w:lang w:eastAsia="sk-SK"/>
        </w:rPr>
      </w:pPr>
    </w:p>
    <w:p w:rsidR="004A5FD3" w:rsidRPr="004A5FD3" w:rsidP="004A5FD3">
      <w:pPr>
        <w:bidi w:val="0"/>
        <w:spacing w:after="0" w:line="240" w:lineRule="auto"/>
        <w:jc w:val="both"/>
        <w:rPr>
          <w:rFonts w:ascii="Times New Roman" w:hAnsi="Times New Roman" w:cs="Times New Roman"/>
          <w:lang w:eastAsia="sk-SK"/>
        </w:rPr>
      </w:pPr>
      <w:r w:rsidRPr="004A5FD3">
        <w:rPr>
          <w:rFonts w:ascii="Times New Roman" w:hAnsi="Times New Roman" w:cs="Times New Roman"/>
          <w:b/>
          <w:lang w:eastAsia="sk-SK"/>
        </w:rPr>
        <w:t>PROGRAM  08C – VEREJNÁ SPRÁVA (PODPROGRAM  08C02 – RIADIACA A KONTROLNÁ ČINNOSŤ VEREJNEJ SPRÁVY)</w:t>
      </w:r>
      <w:r w:rsidRPr="004A5FD3">
        <w:rPr>
          <w:rFonts w:ascii="Times New Roman" w:hAnsi="Times New Roman" w:cs="Times New Roman"/>
          <w:lang w:eastAsia="sk-SK"/>
        </w:rPr>
        <w:t xml:space="preserve">       </w:t>
      </w:r>
    </w:p>
    <w:p w:rsidR="004A5FD3" w:rsidRPr="004A5FD3" w:rsidP="004A5FD3">
      <w:pPr>
        <w:bidi w:val="0"/>
        <w:spacing w:after="0" w:line="240" w:lineRule="auto"/>
        <w:jc w:val="both"/>
        <w:rPr>
          <w:rFonts w:ascii="Times New Roman" w:hAnsi="Times New Roman" w:cs="Times New Roman"/>
          <w:sz w:val="20"/>
          <w:szCs w:val="20"/>
          <w:lang w:eastAsia="sk-SK"/>
        </w:rPr>
      </w:pPr>
      <w:r w:rsidRPr="004A5FD3">
        <w:rPr>
          <w:rFonts w:ascii="Times New Roman" w:hAnsi="Times New Roman" w:cs="Times New Roman"/>
          <w:lang w:eastAsia="sk-SK"/>
        </w:rPr>
        <w:t xml:space="preserve">            </w:t>
      </w:r>
      <w:r w:rsidRPr="004A5FD3">
        <w:rPr>
          <w:rFonts w:ascii="Times New Roman" w:hAnsi="Times New Roman" w:cs="Times New Roman"/>
          <w:sz w:val="20"/>
          <w:szCs w:val="20"/>
          <w:lang w:eastAsia="sk-SK"/>
        </w:rPr>
        <w:tab/>
        <w:tab/>
        <w:tab/>
        <w:tab/>
        <w:tab/>
        <w:tab/>
        <w:tab/>
        <w:tab/>
        <w:tab/>
        <w:tab/>
        <w:tab/>
        <w:tab/>
        <w:tab/>
        <w:tab/>
        <w:tab/>
        <w:tab/>
        <w:t xml:space="preserve">         </w:t>
      </w:r>
      <w:r w:rsidRPr="004A5FD3">
        <w:rPr>
          <w:rFonts w:ascii="Times New Roman" w:hAnsi="Times New Roman" w:cs="Times New Roman"/>
          <w:sz w:val="24"/>
          <w:szCs w:val="24"/>
          <w:lang w:eastAsia="sk-SK"/>
        </w:rPr>
        <w:t xml:space="preserve">Tabuľka č. 5 </w:t>
      </w:r>
    </w:p>
    <w:tbl>
      <w:tblPr>
        <w:tblStyle w:val="TableNormal"/>
        <w:tblW w:w="13910" w:type="dxa"/>
        <w:tblInd w:w="-451" w:type="dxa"/>
        <w:tblCellMar>
          <w:left w:w="0" w:type="dxa"/>
          <w:right w:w="0" w:type="dxa"/>
        </w:tblCellMar>
      </w:tblPr>
      <w:tblGrid>
        <w:gridCol w:w="7070"/>
        <w:gridCol w:w="1540"/>
        <w:gridCol w:w="680"/>
        <w:gridCol w:w="860"/>
        <w:gridCol w:w="1540"/>
        <w:gridCol w:w="2220"/>
      </w:tblGrid>
      <w:tr>
        <w:tblPrEx>
          <w:tblW w:w="13910" w:type="dxa"/>
          <w:tblInd w:w="-451" w:type="dxa"/>
          <w:tblCellMar>
            <w:left w:w="0" w:type="dxa"/>
            <w:right w:w="0" w:type="dxa"/>
          </w:tblCellMar>
        </w:tblPrEx>
        <w:trPr>
          <w:gridAfter w:val="3"/>
          <w:wAfter w:w="4620" w:type="dxa"/>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Výdavky (v eurách)</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poznámka</w:t>
            </w:r>
          </w:p>
        </w:tc>
      </w:tr>
      <w:tr>
        <w:tblPrEx>
          <w:tblW w:w="13910" w:type="dxa"/>
          <w:tblInd w:w="-451"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2013</w:t>
            </w:r>
          </w:p>
        </w:tc>
        <w:tc>
          <w:tcPr>
            <w:tcW w:w="1540"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color w:val="FFFFFF"/>
                <w:sz w:val="20"/>
                <w:szCs w:val="20"/>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221 987,86</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204 987,86 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204 987,86 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145 971 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145 971 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145 971 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51 016,86 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51 016,86 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51 016,86 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Tovary a služby (630)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25 000 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8 000 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8 000 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Bežné transfery (640)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Splácanie úrokov a ostatné platby súvisiace s úvermi, pôžičkami a NFV (650)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15 500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Obstarávanie kapitálových aktív (710)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15 500 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 xml:space="preserve"> 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Kapitálové transfery (720)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237 487,86</w:t>
            </w:r>
          </w:p>
        </w:tc>
        <w:tc>
          <w:tcPr>
            <w:tcW w:w="1540"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204 987,86 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color w:val="FFFFFF"/>
                <w:sz w:val="20"/>
                <w:szCs w:val="20"/>
                <w:lang w:eastAsia="sk-SK"/>
              </w:rPr>
              <w:t>204 987,86 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0"/>
                <w:szCs w:val="20"/>
                <w:lang w:eastAsia="sk-SK"/>
              </w:rPr>
            </w:pPr>
            <w:r w:rsidRPr="004A5FD3">
              <w:rPr>
                <w:rFonts w:ascii="Times New Roman" w:hAnsi="Times New Roman" w:cs="Times New Roman"/>
                <w:color w:val="FFFFFF"/>
                <w:sz w:val="20"/>
                <w:szCs w:val="20"/>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237 487,86</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204 987,86 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204 987,86</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Bežné výdavky</w:t>
            </w:r>
            <w:r w:rsidRPr="004A5FD3">
              <w:rPr>
                <w:rFonts w:ascii="Times New Roman" w:hAnsi="Times New Roman" w:cs="Times New Roman"/>
                <w:b/>
                <w:bCs/>
                <w:sz w:val="20"/>
                <w:szCs w:val="20"/>
                <w:lang w:eastAsia="sk-SK"/>
              </w:rPr>
              <w:t xml:space="preserve"> </w:t>
            </w:r>
            <w:r w:rsidRPr="004A5FD3">
              <w:rPr>
                <w:rFonts w:ascii="Times New Roman" w:hAnsi="Times New Roman" w:cs="Times New Roman"/>
                <w:sz w:val="20"/>
                <w:szCs w:val="20"/>
                <w:lang w:eastAsia="sk-SK"/>
              </w:rPr>
              <w:t>(600)</w:t>
            </w:r>
            <w:r w:rsidRPr="004A5FD3">
              <w:rPr>
                <w:rFonts w:ascii="Times New Roman" w:hAnsi="Times New Roman" w:cs="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221 987,86</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204 987,86 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204 987,86 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r w:rsidRPr="004A5FD3">
              <w:rPr>
                <w:rFonts w:ascii="Times New Roman" w:hAnsi="Times New Roman" w:cs="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145 971</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145 971 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145 971 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15 500 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c>
          <w:tcPr>
            <w:tcW w:w="707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40" w:type="dxa"/>
            <w:gridSpan w:val="2"/>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222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jc w:val="both"/>
        <w:rPr>
          <w:rFonts w:ascii="Times New Roman" w:hAnsi="Times New Roman" w:cs="Times New Roman"/>
          <w:sz w:val="20"/>
          <w:szCs w:val="20"/>
          <w:lang w:eastAsia="sk-SK"/>
        </w:rPr>
      </w:pPr>
    </w:p>
    <w:p w:rsidR="004A5FD3" w:rsidRPr="004A5FD3" w:rsidP="004A5FD3">
      <w:pPr>
        <w:bidi w:val="0"/>
        <w:spacing w:after="0" w:line="240" w:lineRule="auto"/>
        <w:jc w:val="both"/>
        <w:rPr>
          <w:rFonts w:ascii="Times New Roman" w:hAnsi="Times New Roman" w:cs="Times New Roman"/>
          <w:b/>
          <w:lang w:eastAsia="sk-SK"/>
        </w:rPr>
      </w:pPr>
      <w:r w:rsidRPr="004A5FD3">
        <w:rPr>
          <w:rFonts w:ascii="Times New Roman" w:hAnsi="Times New Roman" w:cs="Times New Roman"/>
          <w:b/>
          <w:lang w:eastAsia="sk-SK"/>
        </w:rPr>
        <w:t>PROGRAM  06V – OCHRANA VEREJNÉHO PORIADKU A BEZPEČNOSTI</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0"/>
          <w:szCs w:val="20"/>
          <w:lang w:eastAsia="sk-SK"/>
        </w:rPr>
        <w:t xml:space="preserve">                                                                                                                                                                                                                                           </w:t>
      </w:r>
      <w:r w:rsidRPr="004A5FD3">
        <w:rPr>
          <w:rFonts w:ascii="Times New Roman" w:hAnsi="Times New Roman" w:cs="Times New Roman"/>
          <w:sz w:val="24"/>
          <w:szCs w:val="24"/>
          <w:lang w:eastAsia="sk-SK"/>
        </w:rPr>
        <w:t xml:space="preserve">Tabuľka č. 5 </w:t>
      </w:r>
    </w:p>
    <w:tbl>
      <w:tblPr>
        <w:tblStyle w:val="TableNormal"/>
        <w:tblW w:w="13910" w:type="dxa"/>
        <w:tblInd w:w="-451" w:type="dxa"/>
        <w:tblCellMar>
          <w:left w:w="0" w:type="dxa"/>
          <w:right w:w="0" w:type="dxa"/>
        </w:tblCellMar>
      </w:tblPr>
      <w:tblGrid>
        <w:gridCol w:w="7070"/>
        <w:gridCol w:w="1540"/>
        <w:gridCol w:w="680"/>
        <w:gridCol w:w="860"/>
        <w:gridCol w:w="1540"/>
        <w:gridCol w:w="2220"/>
      </w:tblGrid>
      <w:tr>
        <w:tblPrEx>
          <w:tblW w:w="13910" w:type="dxa"/>
          <w:tblInd w:w="-451" w:type="dxa"/>
          <w:tblCellMar>
            <w:left w:w="0" w:type="dxa"/>
            <w:right w:w="0" w:type="dxa"/>
          </w:tblCellMar>
        </w:tblPrEx>
        <w:trPr>
          <w:gridAfter w:val="3"/>
          <w:wAfter w:w="4620" w:type="dxa"/>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Výdavky (v eurách)</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poznámka</w:t>
            </w:r>
          </w:p>
        </w:tc>
      </w:tr>
      <w:tr>
        <w:tblPrEx>
          <w:tblW w:w="13910" w:type="dxa"/>
          <w:tblInd w:w="-451"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2013</w:t>
            </w:r>
          </w:p>
        </w:tc>
        <w:tc>
          <w:tcPr>
            <w:tcW w:w="1540"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color w:val="FFFFFF"/>
                <w:sz w:val="20"/>
                <w:szCs w:val="20"/>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xml:space="preserve">  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Tovary a služby (630)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635009 Softvér</w:t>
            </w:r>
            <w:r>
              <w:rPr>
                <w:rFonts w:ascii="Times New Roman" w:hAnsi="Times New Roman" w:cs="Times New Roman"/>
                <w:sz w:val="24"/>
                <w:szCs w:val="24"/>
                <w:vertAlign w:val="superscript"/>
                <w:rtl w:val="0"/>
                <w:lang w:eastAsia="sk-SK"/>
              </w:rPr>
              <w:footnoteReference w:id="2"/>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Bežné transfery (640)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Splácanie úrokov a ostatné platby súvisiace s úvermi, pôžičkami a NFV (650)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Obstarávanie kapitálových aktív (710)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Kapitálové transfery (720)</w:t>
            </w:r>
            <w:r w:rsidRPr="004A5FD3">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 3 387 000</w:t>
            </w:r>
          </w:p>
        </w:tc>
        <w:tc>
          <w:tcPr>
            <w:tcW w:w="1540"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0"/>
                <w:szCs w:val="20"/>
                <w:lang w:eastAsia="sk-SK"/>
              </w:rPr>
              <w:t>3 387 000 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color w:val="FFFFFF"/>
                <w:sz w:val="20"/>
                <w:szCs w:val="20"/>
                <w:lang w:eastAsia="sk-SK"/>
              </w:rPr>
              <w:t>3 387 000 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color w:val="FFFFFF"/>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Bežné výdavky</w:t>
            </w:r>
            <w:r w:rsidRPr="004A5FD3">
              <w:rPr>
                <w:rFonts w:ascii="Times New Roman" w:hAnsi="Times New Roman" w:cs="Times New Roman"/>
                <w:b/>
                <w:bCs/>
                <w:sz w:val="20"/>
                <w:szCs w:val="20"/>
                <w:lang w:eastAsia="sk-SK"/>
              </w:rPr>
              <w:t xml:space="preserve"> </w:t>
            </w:r>
            <w:r w:rsidRPr="004A5FD3">
              <w:rPr>
                <w:rFonts w:ascii="Times New Roman" w:hAnsi="Times New Roman" w:cs="Times New Roman"/>
                <w:sz w:val="20"/>
                <w:szCs w:val="20"/>
                <w:lang w:eastAsia="sk-SK"/>
              </w:rPr>
              <w:t>(600)</w:t>
            </w:r>
            <w:r w:rsidRPr="004A5FD3">
              <w:rPr>
                <w:rFonts w:ascii="Times New Roman" w:hAnsi="Times New Roman" w:cs="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3 387 000 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3 387 000 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w:t>
            </w:r>
            <w:r w:rsidRPr="004A5FD3">
              <w:rPr>
                <w:rFonts w:ascii="Times New Roman" w:hAnsi="Times New Roman" w:cs="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0</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0"/>
                <w:szCs w:val="20"/>
                <w:lang w:eastAsia="sk-SK"/>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0"/>
                <w:szCs w:val="20"/>
                <w:lang w:eastAsia="sk-SK"/>
              </w:rPr>
            </w:pPr>
            <w:r w:rsidRPr="004A5FD3">
              <w:rPr>
                <w:rFonts w:ascii="Times New Roman" w:hAnsi="Times New Roman" w:cs="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bl>
    <w:p w:rsidR="004A5FD3" w:rsidRPr="004A5FD3" w:rsidP="004A5FD3">
      <w:pPr>
        <w:bidi w:val="0"/>
        <w:spacing w:after="0" w:line="240" w:lineRule="auto"/>
        <w:jc w:val="both"/>
        <w:rPr>
          <w:rFonts w:ascii="Times New Roman" w:hAnsi="Times New Roman" w:cs="Times New Roman"/>
          <w:sz w:val="20"/>
          <w:szCs w:val="20"/>
          <w:lang w:eastAsia="sk-SK"/>
        </w:rPr>
      </w:pPr>
    </w:p>
    <w:p w:rsidR="004A5FD3" w:rsidRPr="004A5FD3" w:rsidP="004A5FD3">
      <w:pPr>
        <w:bidi w:val="0"/>
        <w:spacing w:after="0" w:line="240" w:lineRule="auto"/>
        <w:jc w:val="both"/>
        <w:rPr>
          <w:rFonts w:ascii="Times New Roman" w:hAnsi="Times New Roman" w:cs="Times New Roman"/>
          <w:sz w:val="20"/>
          <w:szCs w:val="20"/>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0"/>
          <w:szCs w:val="20"/>
          <w:lang w:eastAsia="sk-SK"/>
        </w:rPr>
        <w:t xml:space="preserve">                                                                                                                                                                                                                       </w:t>
      </w:r>
      <w:r w:rsidRPr="004A5FD3">
        <w:rPr>
          <w:rFonts w:ascii="Times New Roman" w:hAnsi="Times New Roman" w:cs="Times New Roman"/>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sz w:val="24"/>
          <w:szCs w:val="24"/>
          <w:lang w:eastAsia="sk-SK"/>
        </w:rPr>
      </w:pPr>
    </w:p>
    <w:p w:rsidR="004A5FD3" w:rsidRPr="004A5FD3" w:rsidP="004A5FD3">
      <w:pPr>
        <w:bidi w:val="0"/>
        <w:spacing w:after="0" w:line="240" w:lineRule="auto"/>
        <w:jc w:val="both"/>
        <w:rPr>
          <w:rFonts w:ascii="Times New Roman" w:hAnsi="Times New Roman" w:cs="Times New Roman"/>
          <w:b/>
          <w:lang w:eastAsia="sk-SK"/>
        </w:rPr>
      </w:pPr>
    </w:p>
    <w:p w:rsidR="004A5FD3" w:rsidRPr="004A5FD3" w:rsidP="004A5FD3">
      <w:pPr>
        <w:bidi w:val="0"/>
        <w:spacing w:after="0" w:line="240" w:lineRule="auto"/>
        <w:jc w:val="both"/>
        <w:rPr>
          <w:rFonts w:ascii="Times New Roman" w:hAnsi="Times New Roman" w:cs="Times New Roman"/>
          <w:lang w:eastAsia="sk-SK"/>
        </w:rPr>
      </w:pPr>
      <w:r w:rsidRPr="004A5FD3">
        <w:rPr>
          <w:rFonts w:ascii="Times New Roman" w:hAnsi="Times New Roman" w:cs="Times New Roman"/>
          <w:b/>
          <w:lang w:eastAsia="sk-SK"/>
        </w:rPr>
        <w:t>PROGRAM  08C – VEREJNÁ SPRÁVA (PODPROGRAM  08C02 – RIADIACA A KONTROLNÁ ČINNOSŤ VEREJNEJ SPRÁVY)</w:t>
      </w:r>
      <w:r w:rsidRPr="004A5FD3">
        <w:rPr>
          <w:rFonts w:ascii="Times New Roman" w:hAnsi="Times New Roman" w:cs="Times New Roman"/>
          <w:lang w:eastAsia="sk-SK"/>
        </w:rPr>
        <w:t xml:space="preserve">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ab/>
        <w:tab/>
        <w:tab/>
        <w:tab/>
        <w:tab/>
        <w:tab/>
        <w:tab/>
        <w:tab/>
        <w:tab/>
        <w:tab/>
        <w:tab/>
        <w:tab/>
        <w:tab/>
        <w:tab/>
        <w:tab/>
        <w:tab/>
        <w:t xml:space="preserve">       Tabuľka č. 6 </w:t>
      </w:r>
    </w:p>
    <w:tbl>
      <w:tblPr>
        <w:tblStyle w:val="TableNormal"/>
        <w:tblpPr w:leftFromText="141" w:rightFromText="141" w:vertAnchor="text" w:horzAnchor="margin" w:tblpXSpec="center" w:tblpY="170"/>
        <w:tblW w:w="13614" w:type="dxa"/>
        <w:tblCellMar>
          <w:left w:w="0" w:type="dxa"/>
          <w:right w:w="0" w:type="dxa"/>
        </w:tblCellMar>
      </w:tblPr>
      <w:tblGrid>
        <w:gridCol w:w="2777"/>
        <w:gridCol w:w="100"/>
        <w:gridCol w:w="100"/>
        <w:gridCol w:w="2857"/>
        <w:gridCol w:w="1569"/>
        <w:gridCol w:w="554"/>
        <w:gridCol w:w="1430"/>
        <w:gridCol w:w="1523"/>
        <w:gridCol w:w="874"/>
        <w:gridCol w:w="1830"/>
      </w:tblGrid>
      <w:tr>
        <w:tblPrEx>
          <w:tblW w:w="13614" w:type="dxa"/>
          <w:tblCellMar>
            <w:left w:w="0" w:type="dxa"/>
            <w:right w:w="0" w:type="dxa"/>
          </w:tblCellMar>
        </w:tblPrEx>
        <w:trPr>
          <w:gridAfter w:val="4"/>
          <w:wAfter w:w="5203" w:type="dxa"/>
          <w:trHeight w:val="255"/>
        </w:trPr>
        <w:tc>
          <w:tcPr>
            <w:tcW w:w="5932" w:type="dxa"/>
            <w:gridSpan w:val="4"/>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Zamestnanosť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poznámka</w:t>
            </w:r>
          </w:p>
        </w:tc>
      </w:tr>
      <w:tr>
        <w:tblPrEx>
          <w:tblW w:w="13614" w:type="dxa"/>
          <w:tblCellMar>
            <w:left w:w="0" w:type="dxa"/>
            <w:right w:w="0" w:type="dxa"/>
          </w:tblCellMar>
        </w:tblPrEx>
        <w:trPr>
          <w:trHeight w:val="255"/>
        </w:trPr>
        <w:tc>
          <w:tcPr>
            <w:tcW w:w="5932" w:type="dxa"/>
            <w:gridSpan w:val="4"/>
            <w:vMerge/>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2013</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2014</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2015</w:t>
            </w:r>
          </w:p>
        </w:tc>
        <w:tc>
          <w:tcPr>
            <w:tcW w:w="0" w:type="auto"/>
            <w:gridSpan w:val="2"/>
            <w:tcBorders>
              <w:top w:val="single" w:sz="4" w:space="0" w:color="000000"/>
              <w:left w:val="single" w:sz="4" w:space="0" w:color="000000"/>
              <w:bottom w:val="single" w:sz="4" w:space="0" w:color="000000"/>
              <w:right w:val="single" w:sz="4" w:space="0" w:color="000000"/>
            </w:tcBorders>
            <w:textDirection w:val="lrTb"/>
            <w:vAlign w:val="center"/>
          </w:tcPr>
          <w:p w:rsidR="004A5FD3" w:rsidRPr="004A5FD3" w:rsidP="004A5FD3">
            <w:pPr>
              <w:bidi w:val="0"/>
              <w:spacing w:after="0" w:line="240" w:lineRule="auto"/>
              <w:rPr>
                <w:rFonts w:ascii="Times New Roman" w:hAnsi="Times New Roman" w:cs="Times New Roman"/>
                <w:sz w:val="24"/>
                <w:szCs w:val="24"/>
                <w:lang w:eastAsia="sk-SK"/>
              </w:rPr>
            </w:pP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Počet zamestnancov celkom*</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z toho vplyv na ŠR</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Priemerný mzdový výdavok (v eurách)*</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1 216 ,50 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1 216,50 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1 216,50 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z toho vplyv na ŠR</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1 216,50 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1 216,50 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1 216,50 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Osobné výdavky celkom (v eurách)</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color w:val="FFFFFF"/>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xml:space="preserve">Mzdy, platy, služobné príjmy a ostatné osobné vyrovnania (610)*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145 971 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z toho vplyv na ŠR</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145 971 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 145 971</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Poistné a príspevok do poisťovní (620)*</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51 016,86 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51 016,86</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z toho vplyv na ŠR</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51 016,86 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A5FD3" w:rsidRPr="004A5FD3" w:rsidP="004A5FD3">
            <w:pPr>
              <w:bidi w:val="0"/>
              <w:spacing w:after="0" w:line="240" w:lineRule="auto"/>
              <w:jc w:val="center"/>
              <w:rPr>
                <w:rFonts w:ascii="Times New Roman" w:hAnsi="Times New Roman" w:cs="Times New Roman"/>
                <w:sz w:val="24"/>
                <w:szCs w:val="24"/>
                <w:lang w:eastAsia="sk-SK"/>
              </w:rPr>
            </w:pPr>
            <w:r w:rsidRPr="004A5FD3">
              <w:rPr>
                <w:rFonts w:ascii="Times New Roman" w:hAnsi="Times New Roman" w:cs="Times New Roman"/>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none" w:sz="0" w:space="0" w:color="auto"/>
              <w:bottom w:val="none" w:sz="0" w:space="0" w:color="auto"/>
              <w:right w:val="none" w:sz="0" w:space="0" w:color="auto"/>
            </w:tcBorders>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none" w:sz="0" w:space="0" w:color="auto"/>
              <w:bottom w:val="none" w:sz="0" w:space="0" w:color="auto"/>
              <w:right w:val="none" w:sz="0"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Poznámky:</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gridAfter w:val="8"/>
          <w:wAfter w:w="11135" w:type="dxa"/>
          <w:trHeight w:val="255"/>
        </w:trPr>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rPr>
          <w:gridAfter w:val="6"/>
          <w:wAfter w:w="8094" w:type="dxa"/>
          <w:trHeight w:val="255"/>
        </w:trPr>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tc>
      </w:tr>
      <w:tr>
        <w:tblPrEx>
          <w:tblW w:w="13614" w:type="dxa"/>
          <w:tblCellMar>
            <w:left w:w="0" w:type="dxa"/>
            <w:right w:w="0" w:type="dxa"/>
          </w:tblCellMar>
        </w:tblPrEx>
        <w:tc>
          <w:tcPr>
            <w:tcW w:w="5932" w:type="dxa"/>
            <w:gridSpan w:val="4"/>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98"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564"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491"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50"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933"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c>
          <w:tcPr>
            <w:tcW w:w="1546" w:type="dxa"/>
            <w:tcBorders>
              <w:top w:val="nil"/>
              <w:left w:val="nil"/>
              <w:bottom w:val="nil"/>
              <w:right w:val="nil"/>
            </w:tcBorders>
            <w:textDirection w:val="lrTb"/>
            <w:vAlign w:val="center"/>
          </w:tcPr>
          <w:p w:rsidR="004A5FD3" w:rsidRPr="004A5FD3" w:rsidP="004A5FD3">
            <w:pPr>
              <w:bidi w:val="0"/>
              <w:spacing w:after="0" w:line="240" w:lineRule="auto"/>
              <w:rPr>
                <w:rFonts w:ascii="Times New Roman" w:hAnsi="Times New Roman" w:cs="Times New Roman"/>
                <w:sz w:val="2"/>
                <w:szCs w:val="24"/>
                <w:lang w:eastAsia="sk-SK"/>
              </w:rPr>
            </w:pPr>
          </w:p>
        </w:tc>
      </w:tr>
    </w:tbl>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 počet zamestnancov,  mzdy a poistné rozpísať podľa spôsobu odmeňovania (napr. policajti, colníci ...)</w:t>
      </w:r>
    </w:p>
    <w:p w:rsidR="004A5FD3" w:rsidRPr="004A5FD3" w:rsidP="004A5FD3">
      <w:pPr>
        <w:bidi w:val="0"/>
        <w:spacing w:after="0" w:line="240" w:lineRule="auto"/>
        <w:jc w:val="both"/>
        <w:rPr>
          <w:rFonts w:ascii="Times New Roman" w:hAnsi="Times New Roman" w:cs="Times New Roman"/>
          <w:sz w:val="24"/>
          <w:szCs w:val="24"/>
          <w:lang w:eastAsia="sk-SK"/>
        </w:rPr>
        <w:sectPr w:rsidSect="004A5FD3">
          <w:pgSz w:w="15840" w:h="12240" w:orient="landscape"/>
          <w:pgMar w:top="1418" w:right="1418" w:bottom="1418" w:left="1418" w:header="709" w:footer="709" w:gutter="0"/>
          <w:lnNumType w:distance="0"/>
          <w:cols w:space="708"/>
          <w:noEndnote w:val="0"/>
          <w:bidi w:val="0"/>
        </w:sectPr>
      </w:pPr>
      <w:r w:rsidRPr="004A5FD3">
        <w:rPr>
          <w:rFonts w:ascii="Times New Roman" w:hAnsi="Times New Roman" w:cs="Times New Roman"/>
          <w:sz w:val="24"/>
          <w:szCs w:val="24"/>
          <w:lang w:eastAsia="sk-SK"/>
        </w:rPr>
        <w:t>Predložený návrh zákona prináša dopad na štátny rozpočet v dôsledku zvýšenia počtu funkčných miest o 10 zamestnancov a s tým súvisiace výdavky na mzdy, platy, služobné príjmy a ostatné osobné vyrovnania vo výške 145 971 €, z toho pre 9 zamestnancov   štátnej službe vo výške 137 061 € a pre 1 zamestnanca pri výkone prác vo verejnom záujme vo výške 8 910 €. Výdavky na poistné a príspevok do poisťovní tvoria 34,95 % z celkového objemu mzdových výdavkov.</w:t>
      </w:r>
    </w:p>
    <w:p w:rsidR="004A5FD3" w:rsidRPr="004A5FD3" w:rsidP="004A5FD3">
      <w:pPr>
        <w:bidi w:val="0"/>
        <w:spacing w:after="0" w:line="240" w:lineRule="auto"/>
        <w:jc w:val="center"/>
        <w:rPr>
          <w:rFonts w:ascii="Times New Roman" w:hAnsi="Times New Roman" w:cs="Times New Roman"/>
          <w:b/>
          <w:bCs/>
          <w:sz w:val="28"/>
          <w:szCs w:val="28"/>
          <w:lang w:val="en-US" w:eastAsia="sk-SK"/>
        </w:rPr>
      </w:pPr>
      <w:r w:rsidRPr="004A5FD3">
        <w:rPr>
          <w:rFonts w:ascii="Times New Roman" w:hAnsi="Times New Roman" w:cs="Times New Roman"/>
          <w:b/>
          <w:bCs/>
          <w:sz w:val="28"/>
          <w:szCs w:val="28"/>
          <w:lang w:val="en-US" w:eastAsia="sk-SK"/>
        </w:rPr>
        <w:t>Vplyvy na informatizáciu spoločnosti</w:t>
      </w:r>
    </w:p>
    <w:p w:rsidR="004A5FD3" w:rsidRPr="004A5FD3" w:rsidP="004A5FD3">
      <w:pPr>
        <w:bidi w:val="0"/>
        <w:spacing w:after="0" w:line="240" w:lineRule="auto"/>
        <w:jc w:val="both"/>
        <w:rPr>
          <w:rFonts w:ascii="Tahoma" w:hAnsi="Tahoma" w:cs="Tahoma"/>
          <w:bCs/>
          <w:sz w:val="28"/>
          <w:szCs w:val="28"/>
          <w:lang w:val="en-US"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0" w:lineRule="atLeast"/>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A5FD3" w:rsidRPr="004A5FD3" w:rsidP="004A5FD3">
            <w:pPr>
              <w:bidi w:val="0"/>
              <w:spacing w:after="0" w:line="20" w:lineRule="atLeast"/>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A5FD3" w:rsidRPr="004A5FD3" w:rsidP="004A5FD3">
            <w:pPr>
              <w:bidi w:val="0"/>
              <w:spacing w:after="0" w:line="240" w:lineRule="auto"/>
              <w:rPr>
                <w:rFonts w:ascii="Times New Roman" w:hAnsi="Times New Roman" w:cs="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w:t>
            </w:r>
            <w:r w:rsidRPr="004A5FD3">
              <w:rPr>
                <w:rFonts w:ascii="Times New Roman" w:hAnsi="Times New Roman" w:cs="Times New Roman"/>
                <w:sz w:val="24"/>
                <w:szCs w:val="24"/>
                <w:lang w:eastAsia="sk-SK"/>
              </w:rPr>
              <w:t xml:space="preserve"> Rozširujú alebo inovujú  sa existujúce alebo vytvárajú sa či zavádzajú  sa nové elektronické služby?</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rPr>
                <w:rFonts w:ascii="Times New Roman" w:hAnsi="Times New Roman" w:cs="Times New Roman"/>
                <w:sz w:val="24"/>
                <w:szCs w:val="24"/>
                <w:lang w:eastAsia="sk-SK"/>
              </w:rPr>
            </w:pPr>
            <w:r w:rsidRPr="004A5FD3">
              <w:rPr>
                <w:rFonts w:ascii="Times New Roman" w:hAnsi="Times New Roman" w:cs="Times New Roman"/>
                <w:sz w:val="24"/>
                <w:szCs w:val="24"/>
                <w:lang w:eastAsia="sk-SK"/>
              </w:rPr>
              <w:t>Realizácia projektov prispeje k rastu kvality života obyvateľov SR v súvislosti s nevyhnutnými úkonmi a aktivitami pri riešení životných situácií. Vytvorenie informačného systému registra fyzických osôb a centrálnej ohlasovne a ich prepojenie a zabezpečenie vzájomnej kontroly s ostatnými základnými registrami verejnej správy zníži nevyhnutnosť viacnásobného predkladania osobných údajov a dokladov v papierovej podobe pre jednotlivé inštitúcie verejnej správy, eliminuje sa administratívna a časová náročnosť, nevyhnutnosť osobnej účasti pri riešení životných situácií a zároveň sa znížia správne poplatky uhrádzané občanom za služby poskytované verejnou správou. Implementácia riešenia projektov zvýši sofistikovanosť, kvalitu a dostupnosť služieb pre občanov bez ohľadu na regionálnu lokalizáciu.</w:t>
            </w:r>
          </w:p>
          <w:p w:rsidR="004A5FD3" w:rsidRPr="004A5FD3" w:rsidP="004A5FD3">
            <w:pPr>
              <w:bidi w:val="0"/>
              <w:spacing w:after="0" w:line="240" w:lineRule="auto"/>
              <w:rPr>
                <w:rFonts w:ascii="Times New Roman" w:hAnsi="Times New Roman" w:cs="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6.2.</w:t>
            </w:r>
            <w:r w:rsidRPr="004A5FD3">
              <w:rPr>
                <w:rFonts w:ascii="Times New Roman" w:hAnsi="Times New Roman" w:cs="Times New Roman"/>
                <w:sz w:val="24"/>
                <w:szCs w:val="24"/>
                <w:lang w:eastAsia="sk-SK"/>
              </w:rPr>
              <w:t xml:space="preserve"> Vytvárajú sa podmienky pre sémantickú interoperabilitu?</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A5FD3" w:rsidRPr="004A5FD3" w:rsidP="004A5FD3">
            <w:pPr>
              <w:bidi w:val="0"/>
              <w:spacing w:after="0" w:line="20" w:lineRule="atLeast"/>
              <w:jc w:val="both"/>
              <w:rPr>
                <w:rFonts w:ascii="Times New Roman" w:hAnsi="Times New Roman" w:cs="Times New Roman"/>
                <w:b/>
                <w:color w:val="FFFFFF"/>
                <w:sz w:val="24"/>
                <w:szCs w:val="24"/>
                <w:lang w:eastAsia="sk-SK"/>
              </w:rPr>
            </w:pPr>
            <w:r w:rsidRPr="004A5FD3">
              <w:rPr>
                <w:rFonts w:ascii="Times New Roman" w:hAnsi="Times New Roman" w:cs="Times New Roman"/>
                <w:b/>
                <w:sz w:val="24"/>
                <w:szCs w:val="24"/>
                <w:lang w:eastAsia="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A5FD3" w:rsidRPr="004A5FD3" w:rsidP="004A5FD3">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6.3.</w:t>
            </w:r>
            <w:r w:rsidRPr="004A5FD3">
              <w:rPr>
                <w:rFonts w:ascii="Times New Roman" w:hAnsi="Times New Roman" w:cs="Times New Roman"/>
                <w:sz w:val="24"/>
                <w:szCs w:val="24"/>
                <w:lang w:eastAsia="sk-SK"/>
              </w:rPr>
              <w:t xml:space="preserve"> Zabezpečuje sa vzdelávanie v oblasti počítačovej gramotnosti a rozširovanie vedomostí o IKT?</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6.4.</w:t>
            </w:r>
            <w:r w:rsidRPr="004A5FD3">
              <w:rPr>
                <w:rFonts w:ascii="Times New Roman" w:hAnsi="Times New Roman" w:cs="Times New Roman"/>
                <w:sz w:val="24"/>
                <w:szCs w:val="24"/>
                <w:lang w:eastAsia="sk-SK"/>
              </w:rPr>
              <w:t xml:space="preserve"> Zabezpečuje sa rozvoj elektronického vzdelávania?</w:t>
            </w:r>
          </w:p>
          <w:p w:rsidR="004A5FD3" w:rsidRPr="004A5FD3" w:rsidP="004A5FD3">
            <w:pPr>
              <w:bidi w:val="0"/>
              <w:spacing w:after="0" w:line="20" w:lineRule="atLeast"/>
              <w:jc w:val="both"/>
              <w:rPr>
                <w:rFonts w:ascii="Times New Roman" w:hAnsi="Times New Roman" w:cs="Times New Roman"/>
                <w:color w:val="FFFFFF"/>
                <w:sz w:val="24"/>
                <w:szCs w:val="24"/>
                <w:lang w:eastAsia="sk-SK"/>
              </w:rPr>
            </w:pPr>
            <w:r w:rsidRPr="004A5FD3">
              <w:rPr>
                <w:rFonts w:ascii="Times New Roman" w:hAnsi="Times New Roman" w:cs="Times New Roman"/>
                <w:i/>
                <w:iCs/>
                <w:sz w:val="24"/>
                <w:szCs w:val="24"/>
                <w:lang w:eastAsia="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6.5.</w:t>
            </w:r>
            <w:r w:rsidRPr="004A5FD3">
              <w:rPr>
                <w:rFonts w:ascii="Times New Roman" w:hAnsi="Times New Roman" w:cs="Times New Roman"/>
                <w:sz w:val="24"/>
                <w:szCs w:val="24"/>
                <w:lang w:eastAsia="sk-SK"/>
              </w:rPr>
              <w:t xml:space="preserve"> Zabezpečuje sa podporná a propagačná aktivita zameraná na zvyšovanie povedomia o informatizácii a IKT?</w:t>
            </w:r>
          </w:p>
          <w:p w:rsidR="004A5FD3" w:rsidRPr="004A5FD3" w:rsidP="004A5FD3">
            <w:pPr>
              <w:bidi w:val="0"/>
              <w:spacing w:after="0" w:line="20" w:lineRule="atLeast"/>
              <w:jc w:val="both"/>
              <w:rPr>
                <w:rFonts w:ascii="Times New Roman" w:hAnsi="Times New Roman" w:cs="Times New Roman"/>
                <w:color w:val="FFFFFF"/>
                <w:sz w:val="24"/>
                <w:szCs w:val="24"/>
                <w:lang w:eastAsia="sk-SK"/>
              </w:rPr>
            </w:pPr>
            <w:r w:rsidRPr="004A5FD3">
              <w:rPr>
                <w:rFonts w:ascii="Times New Roman" w:hAnsi="Times New Roman" w:cs="Times New Roman"/>
                <w:i/>
                <w:iCs/>
                <w:sz w:val="24"/>
                <w:szCs w:val="24"/>
                <w:lang w:eastAsia="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6.6.</w:t>
            </w:r>
            <w:r w:rsidRPr="004A5FD3">
              <w:rPr>
                <w:rFonts w:ascii="Times New Roman" w:hAnsi="Times New Roman" w:cs="Times New Roman"/>
                <w:sz w:val="24"/>
                <w:szCs w:val="24"/>
                <w:lang w:eastAsia="sk-SK"/>
              </w:rPr>
              <w:t xml:space="preserve"> Zabezpečuje/zohľadňuje/zlepšuje sa prístup znevýhodnených osôb k službám informačnej spoločnosti?</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Prostredníctvom Internetu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A5FD3" w:rsidRPr="004A5FD3" w:rsidP="004A5FD3">
            <w:pPr>
              <w:bidi w:val="0"/>
              <w:spacing w:after="0" w:line="20" w:lineRule="atLeast"/>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A5FD3" w:rsidRPr="004A5FD3" w:rsidP="004A5FD3">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6.7.</w:t>
            </w:r>
            <w:r w:rsidRPr="004A5FD3">
              <w:rPr>
                <w:rFonts w:ascii="Times New Roman" w:hAnsi="Times New Roman" w:cs="Times New Roman"/>
                <w:sz w:val="24"/>
                <w:szCs w:val="24"/>
                <w:lang w:eastAsia="sk-SK"/>
              </w:rPr>
              <w:t xml:space="preserve"> Rozširuje, inovuje, vytvára alebo zavádza sa nový informačný systém?</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Popísané v bode 6.1.</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6.8.</w:t>
            </w:r>
            <w:r w:rsidRPr="004A5FD3">
              <w:rPr>
                <w:rFonts w:ascii="Times New Roman" w:hAnsi="Times New Roman" w:cs="Times New Roman"/>
                <w:sz w:val="24"/>
                <w:szCs w:val="24"/>
                <w:lang w:eastAsia="sk-SK"/>
              </w:rPr>
              <w:t xml:space="preserve"> Rozširuje sa prístupnosť k internetu?</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6.9.</w:t>
            </w:r>
            <w:r w:rsidRPr="004A5FD3">
              <w:rPr>
                <w:rFonts w:ascii="Times New Roman" w:hAnsi="Times New Roman" w:cs="Times New Roman"/>
                <w:sz w:val="24"/>
                <w:szCs w:val="24"/>
                <w:lang w:eastAsia="sk-SK"/>
              </w:rPr>
              <w:t xml:space="preserve"> Rozširuje sa prístupnosť k elektronickým službám?</w:t>
            </w:r>
          </w:p>
          <w:p w:rsidR="004A5FD3" w:rsidRPr="004A5FD3" w:rsidP="004A5FD3">
            <w:pPr>
              <w:bidi w:val="0"/>
              <w:spacing w:after="0" w:line="20" w:lineRule="atLeast"/>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Prostredníctvom Internetu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6.10.</w:t>
            </w:r>
            <w:r w:rsidRPr="004A5FD3">
              <w:rPr>
                <w:rFonts w:ascii="Times New Roman" w:hAnsi="Times New Roman" w:cs="Times New Roman"/>
                <w:sz w:val="24"/>
                <w:szCs w:val="24"/>
                <w:lang w:eastAsia="sk-SK"/>
              </w:rPr>
              <w:t xml:space="preserve"> Zabezpečuje sa technická interoperabilita?</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6.11.</w:t>
            </w:r>
            <w:r w:rsidRPr="004A5FD3">
              <w:rPr>
                <w:rFonts w:ascii="Times New Roman" w:hAnsi="Times New Roman" w:cs="Times New Roman"/>
                <w:sz w:val="24"/>
                <w:szCs w:val="24"/>
                <w:lang w:eastAsia="sk-SK"/>
              </w:rPr>
              <w:t xml:space="preserve"> Zvyšuje sa bezpečnosť IT?</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w:t>
            </w:r>
            <w:r w:rsidRPr="004A5FD3">
              <w:rPr>
                <w:rFonts w:ascii="Times New Roman" w:hAnsi="Times New Roman" w:cs="Times New Roman"/>
                <w:i/>
                <w:iCs/>
                <w:sz w:val="24"/>
                <w:szCs w:val="24"/>
                <w:lang w:eastAsia="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6.12.</w:t>
            </w:r>
            <w:r w:rsidRPr="004A5FD3">
              <w:rPr>
                <w:rFonts w:ascii="Times New Roman" w:hAnsi="Times New Roman" w:cs="Times New Roman"/>
                <w:sz w:val="24"/>
                <w:szCs w:val="24"/>
                <w:lang w:eastAsia="sk-SK"/>
              </w:rPr>
              <w:t xml:space="preserve"> Rozširuje sa technická infraštruktúra?</w:t>
            </w:r>
          </w:p>
          <w:p w:rsidR="004A5FD3" w:rsidRPr="004A5FD3" w:rsidP="004A5FD3">
            <w:pPr>
              <w:bidi w:val="0"/>
              <w:spacing w:after="0" w:line="20" w:lineRule="atLeast"/>
              <w:jc w:val="both"/>
              <w:rPr>
                <w:rFonts w:ascii="Times New Roman" w:hAnsi="Times New Roman" w:cs="Times New Roman"/>
                <w:i/>
                <w:iCs/>
                <w:sz w:val="24"/>
                <w:szCs w:val="24"/>
                <w:lang w:eastAsia="sk-SK"/>
              </w:rPr>
            </w:pPr>
            <w:r w:rsidRPr="004A5FD3">
              <w:rPr>
                <w:rFonts w:ascii="Times New Roman" w:hAnsi="Times New Roman" w:cs="Times New Roman"/>
                <w:sz w:val="24"/>
                <w:szCs w:val="24"/>
                <w:lang w:eastAsia="sk-SK"/>
              </w:rPr>
              <w:t>(</w:t>
            </w:r>
            <w:r w:rsidRPr="004A5FD3">
              <w:rPr>
                <w:rFonts w:ascii="Times New Roman" w:hAnsi="Times New Roman" w:cs="Times New Roman"/>
                <w:i/>
                <w:iCs/>
                <w:sz w:val="24"/>
                <w:szCs w:val="24"/>
                <w:lang w:eastAsia="sk-SK"/>
              </w:rPr>
              <w:t>Uveďte stručný popis zavádzanej infraštruktúry.)</w:t>
            </w:r>
          </w:p>
          <w:p w:rsidR="004A5FD3" w:rsidRPr="004A5FD3" w:rsidP="004A5FD3">
            <w:pPr>
              <w:bidi w:val="0"/>
              <w:spacing w:after="0" w:line="20" w:lineRule="atLeast"/>
              <w:jc w:val="both"/>
              <w:rPr>
                <w:rFonts w:ascii="Times New Roman" w:hAnsi="Times New Roman" w:cs="Times New Roman"/>
                <w:sz w:val="24"/>
                <w:szCs w:val="24"/>
                <w:lang w:eastAsia="sk-SK"/>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0" w:lineRule="atLeast"/>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40" w:lineRule="auto"/>
              <w:jc w:val="center"/>
              <w:rPr>
                <w:rFonts w:ascii="Times New Roman" w:hAnsi="Times New Roman" w:cs="Times New Roman"/>
                <w:b/>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6.13.</w:t>
            </w:r>
            <w:r w:rsidRPr="004A5FD3">
              <w:rPr>
                <w:rFonts w:ascii="Times New Roman" w:hAnsi="Times New Roman" w:cs="Times New Roman"/>
                <w:sz w:val="24"/>
                <w:szCs w:val="24"/>
                <w:lang w:eastAsia="sk-SK"/>
              </w:rPr>
              <w:t xml:space="preserve"> Predpokladajú sa zmeny v riadení procesu informatizácie?</w:t>
            </w:r>
          </w:p>
          <w:p w:rsidR="004A5FD3" w:rsidRPr="004A5FD3" w:rsidP="004A5FD3">
            <w:pPr>
              <w:bidi w:val="0"/>
              <w:spacing w:after="0" w:line="20" w:lineRule="atLeast"/>
              <w:jc w:val="both"/>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0" w:lineRule="atLeast"/>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6.14.</w:t>
            </w:r>
            <w:r w:rsidRPr="004A5FD3">
              <w:rPr>
                <w:rFonts w:ascii="Times New Roman" w:hAnsi="Times New Roman" w:cs="Times New Roman"/>
                <w:sz w:val="24"/>
                <w:szCs w:val="24"/>
                <w:lang w:eastAsia="sk-SK"/>
              </w:rPr>
              <w:t xml:space="preserve"> Vyžaduje si proces informatizácie  finančné investície?</w:t>
            </w:r>
          </w:p>
          <w:p w:rsidR="004A5FD3" w:rsidRPr="004A5FD3" w:rsidP="004A5FD3">
            <w:pPr>
              <w:bidi w:val="0"/>
              <w:spacing w:after="0" w:line="20" w:lineRule="atLeast"/>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0" w:lineRule="atLeast"/>
              <w:jc w:val="both"/>
              <w:rPr>
                <w:rFonts w:ascii="Times New Roman" w:hAnsi="Times New Roman" w:cs="Times New Roman"/>
                <w:b/>
                <w:sz w:val="24"/>
                <w:szCs w:val="24"/>
                <w:lang w:eastAsia="sk-SK"/>
              </w:rPr>
            </w:pPr>
            <w:r w:rsidRPr="004A5FD3">
              <w:rPr>
                <w:rFonts w:ascii="Times New Roman" w:hAnsi="Times New Roman" w:cs="Times New Roman"/>
                <w:b/>
                <w:sz w:val="24"/>
                <w:szCs w:val="24"/>
                <w:lang w:eastAsia="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A5FD3" w:rsidRPr="004A5FD3" w:rsidP="004A5FD3">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sz w:val="24"/>
                <w:szCs w:val="24"/>
                <w:lang w:eastAsia="sk-SK"/>
              </w:rPr>
            </w:pPr>
            <w:r w:rsidRPr="004A5FD3">
              <w:rPr>
                <w:rFonts w:ascii="Times New Roman" w:hAnsi="Times New Roman" w:cs="Times New Roman"/>
                <w:b/>
                <w:sz w:val="24"/>
                <w:szCs w:val="24"/>
                <w:lang w:eastAsia="sk-SK"/>
              </w:rPr>
              <w:t>6.15.</w:t>
            </w:r>
            <w:r w:rsidRPr="004A5FD3">
              <w:rPr>
                <w:rFonts w:ascii="Times New Roman" w:hAnsi="Times New Roman" w:cs="Times New Roman"/>
                <w:sz w:val="24"/>
                <w:szCs w:val="24"/>
                <w:lang w:eastAsia="sk-SK"/>
              </w:rPr>
              <w:t xml:space="preserve"> Predpokladá nelegislatívny materiál potrebu úpravy legislatívneho prostredia  procesu informatizácie?</w:t>
            </w:r>
          </w:p>
          <w:p w:rsidR="004A5FD3" w:rsidRPr="004A5FD3" w:rsidP="004A5FD3">
            <w:pPr>
              <w:bidi w:val="0"/>
              <w:spacing w:after="0" w:line="20" w:lineRule="atLeast"/>
              <w:rPr>
                <w:rFonts w:ascii="Times New Roman" w:hAnsi="Times New Roman" w:cs="Times New Roman"/>
                <w:sz w:val="24"/>
                <w:szCs w:val="24"/>
                <w:lang w:eastAsia="sk-SK"/>
              </w:rPr>
            </w:pPr>
            <w:r w:rsidRPr="004A5FD3">
              <w:rPr>
                <w:rFonts w:ascii="Times New Roman" w:hAnsi="Times New Roman" w:cs="Times New Roman"/>
                <w:i/>
                <w:iCs/>
                <w:sz w:val="24"/>
                <w:szCs w:val="24"/>
                <w:lang w:eastAsia="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A5FD3" w:rsidRPr="004A5FD3" w:rsidP="004A5FD3">
            <w:pPr>
              <w:bidi w:val="0"/>
              <w:spacing w:after="0" w:line="240" w:lineRule="auto"/>
              <w:rPr>
                <w:rFonts w:ascii="Times New Roman" w:hAnsi="Times New Roman" w:cs="Times New Roman"/>
                <w:i/>
                <w:iCs/>
                <w:sz w:val="2"/>
                <w:lang w:eastAsia="sk-SK"/>
              </w:rPr>
            </w:pPr>
            <w:r w:rsidRPr="004A5FD3">
              <w:rPr>
                <w:rFonts w:ascii="Times New Roman" w:hAnsi="Times New Roman" w:cs="Times New Roman"/>
                <w:sz w:val="24"/>
                <w:szCs w:val="24"/>
                <w:lang w:eastAsia="sk-SK"/>
              </w:rPr>
              <w:t>nie</w:t>
            </w:r>
          </w:p>
        </w:tc>
      </w:tr>
    </w:tbl>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jc w:val="center"/>
        <w:outlineLvl w:val="4"/>
        <w:rPr>
          <w:rFonts w:ascii="Times New Roman" w:hAnsi="Times New Roman" w:cs="Times New Roman"/>
          <w:b/>
          <w:bCs/>
          <w:color w:val="303030"/>
          <w:sz w:val="24"/>
          <w:szCs w:val="24"/>
        </w:rPr>
      </w:pPr>
      <w:r w:rsidRPr="004A5FD3">
        <w:rPr>
          <w:rFonts w:ascii="Times New Roman" w:hAnsi="Times New Roman" w:cs="Times New Roman"/>
          <w:b/>
          <w:bCs/>
          <w:color w:val="303030"/>
          <w:sz w:val="24"/>
          <w:szCs w:val="24"/>
        </w:rPr>
        <w:t>DOLOŽKA ZLUČITEĽNOSTI</w:t>
      </w:r>
    </w:p>
    <w:p w:rsidR="004A5FD3" w:rsidRPr="004A5FD3" w:rsidP="004A5FD3">
      <w:pPr>
        <w:bidi w:val="0"/>
        <w:jc w:val="center"/>
        <w:outlineLvl w:val="4"/>
        <w:rPr>
          <w:rFonts w:ascii="Times New Roman" w:hAnsi="Times New Roman" w:cs="Times New Roman"/>
          <w:b/>
          <w:bCs/>
          <w:color w:val="303030"/>
          <w:sz w:val="24"/>
          <w:szCs w:val="24"/>
        </w:rPr>
      </w:pPr>
      <w:r w:rsidRPr="004A5FD3">
        <w:rPr>
          <w:rFonts w:ascii="Times New Roman" w:hAnsi="Times New Roman" w:cs="Times New Roman"/>
          <w:b/>
          <w:bCs/>
          <w:color w:val="303030"/>
          <w:sz w:val="24"/>
          <w:szCs w:val="24"/>
        </w:rPr>
        <w:t>právneho predpisu  s právom Európskej únie</w:t>
      </w:r>
    </w:p>
    <w:p w:rsidR="004A5FD3" w:rsidRPr="004A5FD3" w:rsidP="004A5FD3">
      <w:pPr>
        <w:bidi w:val="0"/>
        <w:jc w:val="both"/>
        <w:outlineLvl w:val="4"/>
        <w:rPr>
          <w:rFonts w:ascii="Times New Roman" w:hAnsi="Times New Roman" w:cs="Times New Roman"/>
          <w:b/>
          <w:bCs/>
          <w:color w:val="303030"/>
          <w:sz w:val="24"/>
          <w:szCs w:val="24"/>
        </w:rPr>
      </w:pPr>
    </w:p>
    <w:p w:rsidR="004A5FD3" w:rsidRPr="004A5FD3" w:rsidP="004A5FD3">
      <w:pPr>
        <w:bidi w:val="0"/>
        <w:jc w:val="both"/>
        <w:outlineLvl w:val="4"/>
        <w:rPr>
          <w:rFonts w:ascii="Times New Roman" w:hAnsi="Times New Roman" w:cs="Times New Roman"/>
          <w:b/>
          <w:bCs/>
          <w:color w:val="303030"/>
          <w:sz w:val="24"/>
          <w:szCs w:val="24"/>
        </w:rPr>
      </w:pPr>
    </w:p>
    <w:p w:rsidR="004A5FD3" w:rsidRPr="004A5FD3" w:rsidP="004A5FD3">
      <w:pPr>
        <w:numPr>
          <w:numId w:val="12"/>
        </w:numPr>
        <w:bidi w:val="0"/>
        <w:spacing w:after="0" w:line="240" w:lineRule="auto"/>
        <w:jc w:val="both"/>
        <w:outlineLvl w:val="4"/>
        <w:rPr>
          <w:rFonts w:ascii="Times New Roman" w:hAnsi="Times New Roman" w:cs="Times New Roman"/>
          <w:bCs/>
          <w:color w:val="303030"/>
          <w:sz w:val="24"/>
          <w:szCs w:val="24"/>
        </w:rPr>
      </w:pPr>
      <w:r w:rsidRPr="004A5FD3">
        <w:rPr>
          <w:rFonts w:ascii="Times New Roman" w:hAnsi="Times New Roman" w:cs="Times New Roman"/>
          <w:b/>
          <w:bCs/>
          <w:color w:val="303030"/>
          <w:sz w:val="24"/>
          <w:szCs w:val="24"/>
        </w:rPr>
        <w:t xml:space="preserve">Predkladateľ právneho predpisu: </w:t>
      </w:r>
    </w:p>
    <w:p w:rsidR="004A5FD3" w:rsidRPr="004A5FD3" w:rsidP="004A5FD3">
      <w:pPr>
        <w:bidi w:val="0"/>
        <w:jc w:val="both"/>
        <w:outlineLvl w:val="4"/>
        <w:rPr>
          <w:rFonts w:ascii="Times New Roman" w:hAnsi="Times New Roman" w:cs="Times New Roman"/>
          <w:bCs/>
          <w:color w:val="303030"/>
          <w:sz w:val="24"/>
          <w:szCs w:val="24"/>
        </w:rPr>
      </w:pPr>
      <w:r w:rsidRPr="004A5FD3">
        <w:rPr>
          <w:rFonts w:ascii="Times New Roman" w:hAnsi="Times New Roman" w:cs="Times New Roman"/>
          <w:bCs/>
          <w:color w:val="303030"/>
          <w:sz w:val="24"/>
          <w:szCs w:val="24"/>
        </w:rPr>
        <w:t>Vláda Slovenskej republiky</w:t>
      </w:r>
    </w:p>
    <w:p w:rsidR="004A5FD3" w:rsidRPr="004A5FD3" w:rsidP="004A5FD3">
      <w:pPr>
        <w:bidi w:val="0"/>
        <w:jc w:val="both"/>
        <w:outlineLvl w:val="4"/>
        <w:rPr>
          <w:rFonts w:ascii="Times New Roman" w:hAnsi="Times New Roman" w:cs="Times New Roman"/>
          <w:bCs/>
          <w:color w:val="303030"/>
          <w:sz w:val="24"/>
          <w:szCs w:val="24"/>
        </w:rPr>
      </w:pPr>
    </w:p>
    <w:p w:rsidR="004A5FD3" w:rsidRPr="004A5FD3" w:rsidP="004A5FD3">
      <w:pPr>
        <w:numPr>
          <w:numId w:val="12"/>
        </w:numPr>
        <w:bidi w:val="0"/>
        <w:spacing w:after="0" w:line="240" w:lineRule="auto"/>
        <w:jc w:val="both"/>
        <w:outlineLvl w:val="4"/>
        <w:rPr>
          <w:rFonts w:ascii="Times New Roman" w:hAnsi="Times New Roman" w:cs="Times New Roman"/>
          <w:bCs/>
          <w:color w:val="303030"/>
          <w:sz w:val="24"/>
          <w:szCs w:val="24"/>
        </w:rPr>
      </w:pPr>
      <w:r w:rsidRPr="004A5FD3">
        <w:rPr>
          <w:rFonts w:ascii="Times New Roman" w:hAnsi="Times New Roman" w:cs="Times New Roman"/>
          <w:b/>
          <w:bCs/>
          <w:color w:val="303030"/>
          <w:sz w:val="24"/>
          <w:szCs w:val="24"/>
        </w:rPr>
        <w:t xml:space="preserve">Názov návrhu právneho predpisu: </w:t>
      </w:r>
    </w:p>
    <w:p w:rsidR="004A5FD3" w:rsidRPr="004A5FD3" w:rsidP="004A5FD3">
      <w:pPr>
        <w:bidi w:val="0"/>
        <w:jc w:val="both"/>
        <w:outlineLvl w:val="4"/>
        <w:rPr>
          <w:rFonts w:ascii="Times New Roman" w:hAnsi="Times New Roman" w:cs="Times New Roman"/>
          <w:bCs/>
          <w:color w:val="303030"/>
          <w:sz w:val="24"/>
          <w:szCs w:val="24"/>
        </w:rPr>
      </w:pPr>
      <w:r w:rsidRPr="004A5FD3">
        <w:rPr>
          <w:rFonts w:ascii="Times New Roman" w:hAnsi="Times New Roman" w:cs="Times New Roman"/>
          <w:b/>
          <w:bCs/>
          <w:color w:val="303030"/>
          <w:sz w:val="24"/>
          <w:szCs w:val="24"/>
        </w:rPr>
        <w:t xml:space="preserve">      </w:t>
      </w:r>
      <w:r w:rsidRPr="004A5FD3">
        <w:rPr>
          <w:rFonts w:ascii="Times New Roman" w:hAnsi="Times New Roman" w:cs="Times New Roman"/>
          <w:bCs/>
          <w:color w:val="303030"/>
          <w:sz w:val="24"/>
          <w:szCs w:val="24"/>
        </w:rPr>
        <w:t>Návrh zákona, ktorým sa mení a dopĺňa zákon č. 253/1998 Z. z. o hlásení pobytu občanov Slovenskej republiky a registri obyvateľov Slovenskej republiky v znení neskorších predpisov.</w:t>
      </w:r>
    </w:p>
    <w:p w:rsidR="004A5FD3" w:rsidRPr="004A5FD3" w:rsidP="004A5FD3">
      <w:pPr>
        <w:bidi w:val="0"/>
        <w:jc w:val="both"/>
        <w:outlineLvl w:val="4"/>
        <w:rPr>
          <w:rFonts w:ascii="Times New Roman" w:hAnsi="Times New Roman" w:cs="Times New Roman"/>
          <w:bCs/>
          <w:color w:val="303030"/>
          <w:sz w:val="24"/>
          <w:szCs w:val="24"/>
        </w:rPr>
      </w:pP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b/>
          <w:bCs/>
          <w:sz w:val="24"/>
          <w:szCs w:val="24"/>
          <w:lang w:eastAsia="sk-SK"/>
        </w:rPr>
        <w:t>3.  Problematika návrhu právneho predpisu:</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xml:space="preserve">Nie je obsiahnutá v judikatúre Súdneho dvora Európskej únie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Vzhľadom na vnútroštátny charakter navrhovaného právneho predpisu je bezpredmetné vyjadrovať sa k bodom 4., 5. až 6.</w:t>
      </w:r>
    </w:p>
    <w:p w:rsidR="004A5FD3" w:rsidRPr="004A5FD3" w:rsidP="004A5FD3">
      <w:pPr>
        <w:bidi w:val="0"/>
        <w:spacing w:after="0" w:line="240" w:lineRule="auto"/>
        <w:jc w:val="both"/>
        <w:rPr>
          <w:rFonts w:ascii="Times New Roman" w:hAnsi="Times New Roman" w:cs="Times New Roman"/>
          <w:sz w:val="24"/>
          <w:szCs w:val="24"/>
          <w:lang w:eastAsia="sk-SK"/>
        </w:rPr>
      </w:pPr>
      <w:r w:rsidRPr="004A5FD3">
        <w:rPr>
          <w:rFonts w:ascii="Times New Roman" w:hAnsi="Times New Roman" w:cs="Times New Roman"/>
          <w:sz w:val="24"/>
          <w:szCs w:val="24"/>
          <w:lang w:eastAsia="sk-SK"/>
        </w:rPr>
        <w:t> </w:t>
      </w:r>
    </w:p>
    <w:p w:rsidR="004A5FD3" w:rsidRPr="004A5FD3" w:rsidP="004A5FD3">
      <w:pPr>
        <w:bidi w:val="0"/>
        <w:rPr>
          <w:rFonts w:ascii="Calibri" w:hAnsi="Calibri" w:cs="Times New Roman"/>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tLeast"/>
        <w:jc w:val="center"/>
        <w:rPr>
          <w:rFonts w:ascii="Times New Roman" w:hAnsi="Times New Roman" w:cs="Times New Roman"/>
          <w:b/>
          <w:sz w:val="28"/>
          <w:szCs w:val="28"/>
          <w:lang w:eastAsia="sk-SK"/>
        </w:rPr>
      </w:pPr>
    </w:p>
    <w:p w:rsidR="004A5FD3" w:rsidRPr="004A5FD3" w:rsidP="004A5FD3">
      <w:pPr>
        <w:bidi w:val="0"/>
        <w:spacing w:after="0" w:line="240" w:lineRule="auto"/>
        <w:rPr>
          <w:rFonts w:ascii="Times New Roman" w:hAnsi="Times New Roman" w:cs="Times New Roman"/>
          <w:sz w:val="24"/>
          <w:szCs w:val="24"/>
          <w:lang w:eastAsia="sk-SK"/>
        </w:rPr>
      </w:pPr>
    </w:p>
    <w:p w:rsidR="004A5FD3" w:rsidRPr="004A5FD3" w:rsidP="004A5FD3">
      <w:pPr>
        <w:bidi w:val="0"/>
        <w:rPr>
          <w:rFonts w:ascii="Times New Roman" w:hAnsi="Times New Roman" w:cs="Times New Roman"/>
          <w:sz w:val="24"/>
          <w:szCs w:val="24"/>
        </w:rPr>
      </w:pPr>
    </w:p>
    <w:p w:rsidR="004A5FD3" w:rsidRPr="004A5FD3" w:rsidP="004A5FD3">
      <w:pPr>
        <w:bidi w:val="0"/>
        <w:jc w:val="center"/>
        <w:rPr>
          <w:rFonts w:ascii="Times New Roman" w:hAnsi="Times New Roman" w:cs="Times New Roman"/>
          <w:sz w:val="24"/>
          <w:szCs w:val="24"/>
        </w:rPr>
      </w:pPr>
    </w:p>
    <w:p w:rsidR="004A5FD3" w:rsidRPr="004A5FD3" w:rsidP="004A5FD3">
      <w:pPr>
        <w:bidi w:val="0"/>
        <w:rPr>
          <w:rFonts w:ascii="Times New Roman" w:hAnsi="Times New Roman" w:cs="Times New Roman"/>
        </w:rPr>
      </w:pPr>
    </w:p>
    <w:p w:rsidR="004A5FD3" w:rsidRPr="004A5FD3" w:rsidP="004A5FD3">
      <w:pPr>
        <w:bidi w:val="0"/>
        <w:rPr>
          <w:rFonts w:ascii="Calibri" w:hAnsi="Calibri" w:cs="Times New Roman"/>
        </w:rPr>
      </w:pPr>
    </w:p>
    <w:p w:rsidR="00F37928">
      <w:pPr>
        <w:bidi w:val="0"/>
      </w:pPr>
    </w:p>
    <w:sectPr w:rsidSect="004A5FD3">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BF" w:rsidP="004A5FD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E4DBF" w:rsidP="004A5FD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B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A4ED5">
      <w:rPr>
        <w:rFonts w:ascii="Times New Roman" w:hAnsi="Times New Roman"/>
        <w:noProof/>
      </w:rPr>
      <w:t>10</w:t>
    </w:r>
    <w:r>
      <w:rPr>
        <w:rFonts w:ascii="Times New Roman" w:hAnsi="Times New Roman"/>
      </w:rPr>
      <w:fldChar w:fldCharType="end"/>
    </w:r>
  </w:p>
  <w:p w:rsidR="001E4DBF" w:rsidP="004A5FD3">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C39" w:rsidP="004A5FD3">
      <w:pPr>
        <w:bidi w:val="0"/>
        <w:spacing w:after="0" w:line="240" w:lineRule="auto"/>
      </w:pPr>
      <w:r>
        <w:separator/>
      </w:r>
    </w:p>
  </w:footnote>
  <w:footnote w:type="continuationSeparator" w:id="1">
    <w:p w:rsidR="00140C39" w:rsidP="004A5FD3">
      <w:pPr>
        <w:bidi w:val="0"/>
        <w:spacing w:after="0" w:line="240" w:lineRule="auto"/>
      </w:pPr>
      <w:r>
        <w:continuationSeparator/>
      </w:r>
    </w:p>
  </w:footnote>
  <w:footnote w:id="2">
    <w:p w:rsidP="004A5FD3">
      <w:pPr>
        <w:pStyle w:val="FootnoteText"/>
        <w:bidi w:val="0"/>
      </w:pPr>
      <w:r w:rsidR="001E4DBF">
        <w:rPr>
          <w:rStyle w:val="FootnoteReference"/>
        </w:rPr>
        <w:footnoteRef/>
      </w:r>
      <w:r w:rsidR="001E4DBF">
        <w:t xml:space="preserve"> </w:t>
      </w:r>
      <w:r w:rsidR="001E4DBF">
        <w:rPr>
          <w:b/>
          <w:bCs/>
          <w:i/>
          <w:iCs/>
          <w:sz w:val="24"/>
          <w:szCs w:val="24"/>
        </w:rPr>
        <w:t>Softvér update (update-aktualizácia programového produktu)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BF">
    <w:pPr>
      <w:pStyle w:val="Header"/>
      <w:bidi w:val="0"/>
      <w:rPr>
        <w:rFonts w:ascii="Times New Roman" w:hAnsi="Times New Roman"/>
      </w:rPr>
    </w:pPr>
  </w:p>
  <w:p w:rsidR="001E4DBF" w:rsidP="004A5FD3">
    <w:pPr>
      <w:pStyle w:val="Header"/>
      <w:tabs>
        <w:tab w:val="left" w:pos="7695"/>
      </w:tabs>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3742"/>
    <w:multiLevelType w:val="hybridMultilevel"/>
    <w:tmpl w:val="6E0E974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203E17F1"/>
    <w:multiLevelType w:val="hybridMultilevel"/>
    <w:tmpl w:val="EC02AC98"/>
    <w:lvl w:ilvl="0">
      <w:start w:val="1"/>
      <w:numFmt w:val="lowerLetter"/>
      <w:lvlText w:val="%1)"/>
      <w:lvlJc w:val="left"/>
      <w:pPr>
        <w:ind w:left="1004" w:hanging="360"/>
      </w:pPr>
      <w:rPr>
        <w:rFonts w:ascii="Times New Roman" w:eastAsia="Times New Roman" w:hAnsi="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23733458"/>
    <w:multiLevelType w:val="hybridMultilevel"/>
    <w:tmpl w:val="49104DAE"/>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8CC20D1"/>
    <w:multiLevelType w:val="hybridMultilevel"/>
    <w:tmpl w:val="B6C05CE2"/>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9ED7436"/>
    <w:multiLevelType w:val="hybridMultilevel"/>
    <w:tmpl w:val="58A89C8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41C85E81"/>
    <w:multiLevelType w:val="hybridMultilevel"/>
    <w:tmpl w:val="6C78CAD4"/>
    <w:lvl w:ilvl="0">
      <w:start w:val="1"/>
      <w:numFmt w:val="decimal"/>
      <w:lvlText w:val="%1."/>
      <w:lvlJc w:val="left"/>
      <w:pPr>
        <w:ind w:left="2136" w:hanging="360"/>
      </w:pPr>
      <w:rPr>
        <w:rFonts w:cs="Times New Roman" w:hint="default"/>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6">
    <w:nsid w:val="42DD5101"/>
    <w:multiLevelType w:val="hybridMultilevel"/>
    <w:tmpl w:val="2F286718"/>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7">
    <w:nsid w:val="68D86123"/>
    <w:multiLevelType w:val="hybridMultilevel"/>
    <w:tmpl w:val="9F7CEB12"/>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A342A1F"/>
    <w:multiLevelType w:val="hybridMultilevel"/>
    <w:tmpl w:val="7E5034F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6CC05277"/>
    <w:multiLevelType w:val="hybridMultilevel"/>
    <w:tmpl w:val="B9FC9DE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0">
    <w:nsid w:val="7ABE113C"/>
    <w:multiLevelType w:val="hybridMultilevel"/>
    <w:tmpl w:val="EC762134"/>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0"/>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4A5FD3"/>
    <w:rsid w:val="00033E5F"/>
    <w:rsid w:val="00140C39"/>
    <w:rsid w:val="001A4ED5"/>
    <w:rsid w:val="001E4DBF"/>
    <w:rsid w:val="004A5FD3"/>
    <w:rsid w:val="0057496B"/>
    <w:rsid w:val="005D3F68"/>
    <w:rsid w:val="005E076D"/>
    <w:rsid w:val="00941A45"/>
    <w:rsid w:val="009B6469"/>
    <w:rsid w:val="00AC4C8E"/>
    <w:rsid w:val="00BE256B"/>
    <w:rsid w:val="00D05D0D"/>
    <w:rsid w:val="00F37928"/>
    <w:rsid w:val="00FE730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2">
    <w:name w:val="heading 2"/>
    <w:basedOn w:val="Normal"/>
    <w:next w:val="Normal"/>
    <w:link w:val="Nadpis2Char"/>
    <w:uiPriority w:val="9"/>
    <w:semiHidden/>
    <w:unhideWhenUsed/>
    <w:qFormat/>
    <w:rsid w:val="004A5FD3"/>
    <w:pPr>
      <w:keepNext/>
      <w:spacing w:before="240" w:after="60" w:line="240" w:lineRule="auto"/>
      <w:jc w:val="left"/>
      <w:outlineLvl w:val="1"/>
    </w:pPr>
    <w:rPr>
      <w:rFonts w:ascii="Arial" w:hAnsi="Arial" w:cs="Arial"/>
      <w:b/>
      <w:bCs/>
      <w:i/>
      <w:iCs/>
      <w:noProof/>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4A5FD3"/>
    <w:rPr>
      <w:rFonts w:ascii="Arial" w:hAnsi="Arial" w:cs="Arial"/>
      <w:b/>
      <w:bCs/>
      <w:i/>
      <w:iCs/>
      <w:noProof/>
      <w:sz w:val="28"/>
      <w:szCs w:val="28"/>
      <w:rtl w:val="0"/>
      <w:cs w:val="0"/>
      <w:lang w:eastAsia="sk-SK"/>
    </w:rPr>
  </w:style>
  <w:style w:type="paragraph" w:styleId="ListParagraph">
    <w:name w:val="List Paragraph"/>
    <w:basedOn w:val="Normal"/>
    <w:link w:val="OdsekzoznamuChar"/>
    <w:uiPriority w:val="99"/>
    <w:qFormat/>
    <w:rsid w:val="004A5FD3"/>
    <w:pPr>
      <w:ind w:left="720"/>
      <w:contextualSpacing/>
      <w:jc w:val="left"/>
    </w:pPr>
    <w:rPr>
      <w:rFonts w:ascii="Calibri" w:hAnsi="Calibri" w:cs="Times New Roman"/>
    </w:rPr>
  </w:style>
  <w:style w:type="paragraph" w:styleId="FootnoteText">
    <w:name w:val="footnote text"/>
    <w:basedOn w:val="Normal"/>
    <w:link w:val="TextpoznmkypodiarouChar"/>
    <w:uiPriority w:val="99"/>
    <w:rsid w:val="004A5FD3"/>
    <w:pPr>
      <w:jc w:val="left"/>
    </w:pPr>
    <w:rPr>
      <w:rFonts w:ascii="Calibri" w:hAnsi="Calibri" w:cs="Times New Roman"/>
      <w:sz w:val="20"/>
      <w:szCs w:val="20"/>
    </w:rPr>
  </w:style>
  <w:style w:type="character" w:customStyle="1" w:styleId="TextpoznmkypodiarouChar">
    <w:name w:val="Text poznámky pod čiarou Char"/>
    <w:basedOn w:val="DefaultParagraphFont"/>
    <w:link w:val="FootnoteText"/>
    <w:uiPriority w:val="99"/>
    <w:locked/>
    <w:rsid w:val="004A5FD3"/>
    <w:rPr>
      <w:rFonts w:ascii="Calibri" w:hAnsi="Calibri" w:cs="Times New Roman"/>
      <w:sz w:val="20"/>
      <w:szCs w:val="20"/>
      <w:rtl w:val="0"/>
      <w:cs w:val="0"/>
    </w:rPr>
  </w:style>
  <w:style w:type="character" w:styleId="FootnoteReference">
    <w:name w:val="footnote reference"/>
    <w:basedOn w:val="DefaultParagraphFont"/>
    <w:uiPriority w:val="99"/>
    <w:rsid w:val="004A5FD3"/>
    <w:rPr>
      <w:rFonts w:cs="Times New Roman"/>
      <w:vertAlign w:val="superscript"/>
      <w:rtl w:val="0"/>
      <w:cs w:val="0"/>
    </w:rPr>
  </w:style>
  <w:style w:type="character" w:customStyle="1" w:styleId="OdsekzoznamuChar">
    <w:name w:val="Odsek zoznamu Char"/>
    <w:link w:val="ListParagraph"/>
    <w:uiPriority w:val="99"/>
    <w:locked/>
    <w:rsid w:val="004A5FD3"/>
    <w:rPr>
      <w:rFonts w:ascii="Calibri" w:hAnsi="Calibri" w:cs="Calibri"/>
    </w:rPr>
  </w:style>
  <w:style w:type="paragraph" w:styleId="Footer">
    <w:name w:val="footer"/>
    <w:basedOn w:val="Normal"/>
    <w:link w:val="PtaChar"/>
    <w:uiPriority w:val="99"/>
    <w:rsid w:val="004A5FD3"/>
    <w:pPr>
      <w:tabs>
        <w:tab w:val="center" w:pos="4536"/>
        <w:tab w:val="right" w:pos="9072"/>
      </w:tabs>
      <w:spacing w:after="0" w:line="240" w:lineRule="auto"/>
      <w:jc w:val="left"/>
    </w:pPr>
    <w:rPr>
      <w:rFonts w:ascii="Times New Roman" w:hAnsi="Times New Roman" w:cs="Times New Roman"/>
      <w:sz w:val="24"/>
      <w:szCs w:val="24"/>
      <w:lang w:eastAsia="sk-SK"/>
    </w:rPr>
  </w:style>
  <w:style w:type="character" w:customStyle="1" w:styleId="PtaChar">
    <w:name w:val="Päta Char"/>
    <w:basedOn w:val="DefaultParagraphFont"/>
    <w:link w:val="Footer"/>
    <w:uiPriority w:val="99"/>
    <w:locked/>
    <w:rsid w:val="004A5FD3"/>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4A5FD3"/>
    <w:rPr>
      <w:rFonts w:cs="Times New Roman"/>
      <w:rtl w:val="0"/>
      <w:cs w:val="0"/>
    </w:rPr>
  </w:style>
  <w:style w:type="paragraph" w:styleId="Header">
    <w:name w:val="header"/>
    <w:basedOn w:val="Normal"/>
    <w:link w:val="HlavikaChar"/>
    <w:uiPriority w:val="99"/>
    <w:rsid w:val="004A5FD3"/>
    <w:pPr>
      <w:tabs>
        <w:tab w:val="center" w:pos="4536"/>
        <w:tab w:val="right" w:pos="9072"/>
      </w:tabs>
      <w:spacing w:after="0" w:line="240" w:lineRule="auto"/>
      <w:jc w:val="left"/>
    </w:pPr>
    <w:rPr>
      <w:rFonts w:ascii="Times New Roman" w:hAnsi="Times New Roman" w:cs="Times New Roman"/>
      <w:sz w:val="24"/>
      <w:szCs w:val="24"/>
      <w:lang w:eastAsia="sk-SK"/>
    </w:rPr>
  </w:style>
  <w:style w:type="character" w:customStyle="1" w:styleId="HlavikaChar">
    <w:name w:val="Hlavička Char"/>
    <w:basedOn w:val="DefaultParagraphFont"/>
    <w:link w:val="Header"/>
    <w:uiPriority w:val="99"/>
    <w:locked/>
    <w:rsid w:val="004A5FD3"/>
    <w:rPr>
      <w:rFonts w:ascii="Times New Roman" w:hAnsi="Times New Roman" w:cs="Times New Roman"/>
      <w:sz w:val="24"/>
      <w:szCs w:val="24"/>
      <w:rtl w:val="0"/>
      <w:cs w:val="0"/>
      <w:lang w:val="x-none" w:eastAsia="sk-SK"/>
    </w:rPr>
  </w:style>
  <w:style w:type="paragraph" w:styleId="NormalWeb">
    <w:name w:val="Normal (Web)"/>
    <w:basedOn w:val="Normal"/>
    <w:uiPriority w:val="99"/>
    <w:rsid w:val="004A5FD3"/>
    <w:pPr>
      <w:spacing w:before="100" w:beforeAutospacing="1" w:after="100" w:afterAutospacing="1" w:line="240" w:lineRule="auto"/>
      <w:jc w:val="left"/>
    </w:pPr>
    <w:rPr>
      <w:rFonts w:ascii="Times New Roman" w:hAnsi="Times New Roman" w:cs="Times New Roman"/>
      <w:sz w:val="24"/>
      <w:szCs w:val="24"/>
      <w:lang w:eastAsia="sk-SK"/>
    </w:rPr>
  </w:style>
  <w:style w:type="paragraph" w:styleId="BalloonText">
    <w:name w:val="Balloon Text"/>
    <w:basedOn w:val="Normal"/>
    <w:link w:val="TextbublinyChar"/>
    <w:uiPriority w:val="99"/>
    <w:semiHidden/>
    <w:unhideWhenUsed/>
    <w:rsid w:val="009B646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646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5285</Words>
  <Characters>30127</Characters>
  <Application>Microsoft Office Word</Application>
  <DocSecurity>0</DocSecurity>
  <Lines>0</Lines>
  <Paragraphs>0</Paragraphs>
  <ScaleCrop>false</ScaleCrop>
  <Company>MVSR</Company>
  <LinksUpToDate>false</LinksUpToDate>
  <CharactersWithSpaces>35342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V</cp:lastModifiedBy>
  <cp:revision>2</cp:revision>
  <cp:lastPrinted>2013-02-21T10:24:00Z</cp:lastPrinted>
  <dcterms:created xsi:type="dcterms:W3CDTF">2013-02-22T14:55:00Z</dcterms:created>
  <dcterms:modified xsi:type="dcterms:W3CDTF">2013-02-22T14:55:00Z</dcterms:modified>
</cp:coreProperties>
</file>