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585F" w:rsidRPr="00812649" w:rsidP="003B585F">
      <w:pPr>
        <w:bidi w:val="0"/>
        <w:jc w:val="center"/>
        <w:rPr>
          <w:lang w:val="sk-SK"/>
        </w:rPr>
      </w:pPr>
      <w:r w:rsidRPr="00812649">
        <w:rPr>
          <w:rFonts w:hint="default"/>
          <w:b/>
          <w:bCs/>
          <w:sz w:val="28"/>
          <w:szCs w:val="28"/>
          <w:lang w:val="sk-SK"/>
        </w:rPr>
        <w:t>Vplyvy na rozpoč</w:t>
      </w:r>
      <w:r w:rsidRPr="00812649">
        <w:rPr>
          <w:rFonts w:hint="default"/>
          <w:b/>
          <w:bCs/>
          <w:sz w:val="28"/>
          <w:szCs w:val="28"/>
          <w:lang w:val="sk-SK"/>
        </w:rPr>
        <w:t>et verejnej sprá</w:t>
      </w:r>
      <w:r w:rsidRPr="00812649">
        <w:rPr>
          <w:rFonts w:hint="default"/>
          <w:b/>
          <w:bCs/>
          <w:sz w:val="28"/>
          <w:szCs w:val="28"/>
          <w:lang w:val="sk-SK"/>
        </w:rPr>
        <w:t>vy,</w:t>
      </w:r>
    </w:p>
    <w:p w:rsidR="003B585F" w:rsidRPr="00812649" w:rsidP="003B585F">
      <w:pPr>
        <w:bidi w:val="0"/>
        <w:jc w:val="center"/>
        <w:rPr>
          <w:lang w:val="sk-SK"/>
        </w:rPr>
      </w:pPr>
      <w:r w:rsidRPr="00812649">
        <w:rPr>
          <w:rFonts w:hint="default"/>
          <w:b/>
          <w:bCs/>
          <w:sz w:val="28"/>
          <w:szCs w:val="28"/>
          <w:lang w:val="sk-SK"/>
        </w:rPr>
        <w:t>na zamestnanosť</w:t>
      </w:r>
      <w:r w:rsidRPr="00812649">
        <w:rPr>
          <w:rFonts w:hint="default"/>
          <w:b/>
          <w:bCs/>
          <w:sz w:val="28"/>
          <w:szCs w:val="28"/>
          <w:lang w:val="sk-SK"/>
        </w:rPr>
        <w:t xml:space="preserve"> vo verejnej sprá</w:t>
      </w:r>
      <w:r w:rsidRPr="00812649">
        <w:rPr>
          <w:rFonts w:hint="default"/>
          <w:b/>
          <w:bCs/>
          <w:sz w:val="28"/>
          <w:szCs w:val="28"/>
          <w:lang w:val="sk-SK"/>
        </w:rPr>
        <w:t>ve a </w:t>
      </w:r>
      <w:r w:rsidRPr="00812649">
        <w:rPr>
          <w:rFonts w:hint="default"/>
          <w:b/>
          <w:bCs/>
          <w:sz w:val="28"/>
          <w:szCs w:val="28"/>
          <w:lang w:val="sk-SK"/>
        </w:rPr>
        <w:t>financovanie ná</w:t>
      </w:r>
      <w:r w:rsidRPr="00812649">
        <w:rPr>
          <w:rFonts w:hint="default"/>
          <w:b/>
          <w:bCs/>
          <w:sz w:val="28"/>
          <w:szCs w:val="28"/>
          <w:lang w:val="sk-SK"/>
        </w:rPr>
        <w:t>vrhu</w:t>
      </w:r>
    </w:p>
    <w:p w:rsidR="003B585F" w:rsidRPr="00812649" w:rsidP="003B585F">
      <w:pPr>
        <w:bidi w:val="0"/>
        <w:rPr>
          <w:lang w:val="sk-SK"/>
        </w:rPr>
      </w:pPr>
      <w:r w:rsidRPr="00812649">
        <w:rPr>
          <w:lang w:val="sk-SK"/>
        </w:rPr>
        <w:t> </w:t>
      </w:r>
    </w:p>
    <w:p w:rsidR="003B585F" w:rsidRPr="00812649" w:rsidP="003B585F">
      <w:pPr>
        <w:bidi w:val="0"/>
        <w:rPr>
          <w:lang w:val="sk-SK"/>
        </w:rPr>
      </w:pPr>
      <w:r w:rsidRPr="00812649">
        <w:rPr>
          <w:rFonts w:hint="default"/>
          <w:b/>
          <w:bCs/>
          <w:lang w:val="sk-SK"/>
        </w:rPr>
        <w:t>2.1. Zhrnutie vplyvov na rozpoč</w:t>
      </w:r>
      <w:r w:rsidRPr="00812649">
        <w:rPr>
          <w:rFonts w:hint="default"/>
          <w:b/>
          <w:bCs/>
          <w:lang w:val="sk-SK"/>
        </w:rPr>
        <w:t>et verejnej sprá</w:t>
      </w:r>
      <w:r w:rsidRPr="00812649">
        <w:rPr>
          <w:rFonts w:hint="default"/>
          <w:b/>
          <w:bCs/>
          <w:lang w:val="sk-SK"/>
        </w:rPr>
        <w:t>vy v ná</w:t>
      </w:r>
      <w:r w:rsidRPr="00812649">
        <w:rPr>
          <w:rFonts w:hint="default"/>
          <w:b/>
          <w:bCs/>
          <w:lang w:val="sk-SK"/>
        </w:rPr>
        <w:t>vrhu</w:t>
      </w:r>
    </w:p>
    <w:p w:rsidR="003B585F" w:rsidP="003B585F">
      <w:pPr>
        <w:bidi w:val="0"/>
        <w:jc w:val="right"/>
        <w:rPr>
          <w:sz w:val="20"/>
          <w:szCs w:val="20"/>
          <w:lang w:val="sk-SK"/>
        </w:rPr>
      </w:pPr>
      <w:r w:rsidRPr="00812649">
        <w:rPr>
          <w:rFonts w:hint="default"/>
          <w:sz w:val="20"/>
          <w:szCs w:val="20"/>
          <w:lang w:val="sk-SK"/>
        </w:rPr>
        <w:t>Tabuľ</w:t>
      </w:r>
      <w:r w:rsidRPr="00812649">
        <w:rPr>
          <w:rFonts w:hint="default"/>
          <w:sz w:val="20"/>
          <w:szCs w:val="20"/>
          <w:lang w:val="sk-SK"/>
        </w:rPr>
        <w:t>ka č</w:t>
      </w:r>
      <w:r w:rsidRPr="00812649">
        <w:rPr>
          <w:rFonts w:hint="default"/>
          <w:sz w:val="20"/>
          <w:szCs w:val="20"/>
          <w:lang w:val="sk-SK"/>
        </w:rPr>
        <w:t xml:space="preserve">. 1 </w:t>
      </w:r>
    </w:p>
    <w:tbl>
      <w:tblPr>
        <w:tblStyle w:val="TableNormal"/>
        <w:tblW w:w="10029" w:type="dxa"/>
        <w:tblCellMar>
          <w:left w:w="0" w:type="dxa"/>
          <w:right w:w="0" w:type="dxa"/>
        </w:tblCellMar>
        <w:tblLook w:val="04A0"/>
      </w:tblPr>
      <w:tblGrid>
        <w:gridCol w:w="4661"/>
        <w:gridCol w:w="1447"/>
        <w:gridCol w:w="1387"/>
        <w:gridCol w:w="1267"/>
        <w:gridCol w:w="1267"/>
      </w:tblGrid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94" w:lineRule="atLeast"/>
              <w:jc w:val="center"/>
              <w:rPr>
                <w:lang w:val="sk-SK"/>
              </w:rPr>
            </w:pPr>
            <w:r>
              <w:rPr>
                <w:b/>
                <w:bCs/>
                <w:color w:val="FFFFFF"/>
                <w:lang w:val="sk-SK"/>
              </w:rPr>
              <w:t xml:space="preserve">Vplyvy na </w:t>
            </w:r>
            <w:r>
              <w:rPr>
                <w:rFonts w:hint="default"/>
                <w:b/>
                <w:bCs/>
                <w:lang w:val="sk-SK"/>
              </w:rPr>
              <w:t>rozpoč</w:t>
            </w:r>
            <w:r>
              <w:rPr>
                <w:rFonts w:hint="default"/>
                <w:b/>
                <w:bCs/>
                <w:lang w:val="sk-SK"/>
              </w:rPr>
              <w:t>et verejnej sprá</w:t>
            </w:r>
            <w:r>
              <w:rPr>
                <w:rFonts w:hint="default"/>
                <w:b/>
                <w:bCs/>
                <w:lang w:val="sk-SK"/>
              </w:rPr>
              <w:t>vy</w:t>
            </w:r>
          </w:p>
        </w:tc>
        <w:tc>
          <w:tcPr>
            <w:tcW w:w="5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94" w:lineRule="atLeast"/>
              <w:jc w:val="center"/>
              <w:rPr>
                <w:lang w:val="sk-SK"/>
              </w:rPr>
            </w:pPr>
            <w:r>
              <w:rPr>
                <w:rFonts w:hint="default"/>
                <w:b/>
                <w:bCs/>
                <w:color w:val="FFFFFF"/>
                <w:lang w:val="sk-SK"/>
              </w:rPr>
              <w:t>Vplyv na rozpoč</w:t>
            </w:r>
            <w:r>
              <w:rPr>
                <w:rFonts w:hint="default"/>
                <w:b/>
                <w:bCs/>
                <w:color w:val="FFFFFF"/>
                <w:lang w:val="sk-SK"/>
              </w:rPr>
              <w:t>et verejnej sprá</w:t>
            </w:r>
            <w:r>
              <w:rPr>
                <w:rFonts w:hint="default"/>
                <w:b/>
                <w:bCs/>
                <w:color w:val="FFFFFF"/>
                <w:lang w:val="sk-SK"/>
              </w:rPr>
              <w:t xml:space="preserve">vy </w:t>
            </w:r>
            <w:r>
              <w:rPr>
                <w:rFonts w:hint="default"/>
                <w:b/>
                <w:bCs/>
                <w:lang w:val="sk-SK"/>
              </w:rPr>
              <w:t>(v eurá</w:t>
            </w:r>
            <w:r>
              <w:rPr>
                <w:rFonts w:hint="default"/>
                <w:b/>
                <w:bCs/>
                <w:lang w:val="sk-SK"/>
              </w:rPr>
              <w:t>ch)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D5D8C">
            <w:pPr>
              <w:bidi w:val="0"/>
              <w:rPr>
                <w:lang w:val="sk-SK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center"/>
              <w:rPr>
                <w:lang w:val="sk-SK"/>
              </w:rPr>
            </w:pPr>
            <w:r>
              <w:rPr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center"/>
              <w:rPr>
                <w:lang w:val="sk-SK"/>
              </w:rPr>
            </w:pPr>
            <w:r>
              <w:rPr>
                <w:b/>
                <w:bCs/>
                <w:color w:val="FFFFFF"/>
                <w:lang w:val="sk-SK"/>
              </w:rPr>
              <w:t>2</w:t>
            </w:r>
            <w:r>
              <w:rPr>
                <w:b/>
                <w:bCs/>
                <w:color w:val="FFFFFF"/>
                <w:lang w:val="sk-SK"/>
              </w:rPr>
              <w:t>014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center"/>
              <w:rPr>
                <w:lang w:val="sk-SK"/>
              </w:rPr>
            </w:pPr>
            <w:r>
              <w:rPr>
                <w:b/>
                <w:bCs/>
                <w:color w:val="FFFFFF"/>
                <w:lang w:val="sk-SK"/>
              </w:rPr>
              <w:t>2015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center"/>
              <w:rPr>
                <w:lang w:val="sk-SK"/>
              </w:rPr>
            </w:pPr>
            <w:r>
              <w:rPr>
                <w:b/>
                <w:bCs/>
                <w:color w:val="FFFFFF"/>
                <w:lang w:val="sk-SK"/>
              </w:rPr>
              <w:t>2016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rPr>
                <w:lang w:val="sk-SK"/>
              </w:rPr>
            </w:pPr>
            <w:r>
              <w:rPr>
                <w:rFonts w:hint="default"/>
                <w:b/>
                <w:bCs/>
                <w:lang w:val="sk-SK"/>
              </w:rPr>
              <w:t>Prí</w:t>
            </w:r>
            <w:r>
              <w:rPr>
                <w:rFonts w:hint="default"/>
                <w:b/>
                <w:bCs/>
                <w:lang w:val="sk-SK"/>
              </w:rPr>
              <w:t>jmy verejnej sprá</w:t>
            </w:r>
            <w:r>
              <w:rPr>
                <w:rFonts w:hint="default"/>
                <w:b/>
                <w:bCs/>
                <w:lang w:val="sk-SK"/>
              </w:rPr>
              <w:t>vy celkom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13 286 000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rPr>
                <w:b/>
                <w:vertAlign w:val="superscript"/>
                <w:lang w:val="sk-SK"/>
              </w:rPr>
            </w:pPr>
            <w:r>
              <w:rPr>
                <w:b/>
                <w:lang w:val="sk-SK"/>
              </w:rPr>
              <w:t xml:space="preserve">  </w:t>
            </w: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32" w:lineRule="atLeast"/>
              <w:rPr>
                <w:lang w:val="sk-SK"/>
              </w:rPr>
            </w:pPr>
            <w:r>
              <w:rPr>
                <w:lang w:val="sk-SK"/>
              </w:rPr>
              <w:t xml:space="preserve">MZ SR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13 286 000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rPr>
                <w:b/>
                <w:vertAlign w:val="superscript"/>
                <w:lang w:val="sk-SK"/>
              </w:rPr>
            </w:pPr>
            <w:r>
              <w:rPr>
                <w:b/>
                <w:lang w:val="sk-SK"/>
              </w:rPr>
              <w:t xml:space="preserve">  </w:t>
            </w: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rPr>
                <w:i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 xml:space="preserve">z toho: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i/>
                <w:lang w:val="sk-SK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i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i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i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 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i/>
                <w:lang w:val="sk-SK"/>
              </w:rPr>
            </w:pPr>
            <w:r>
              <w:rPr>
                <w:rFonts w:hint="default"/>
                <w:bCs/>
                <w:i/>
                <w:iCs/>
                <w:lang w:val="sk-SK"/>
              </w:rPr>
              <w:t>- vplyv na Š</w:t>
            </w:r>
            <w:r>
              <w:rPr>
                <w:rFonts w:hint="default"/>
                <w:bCs/>
                <w:i/>
                <w:iCs/>
                <w:lang w:val="sk-SK"/>
              </w:rPr>
              <w:t>R (zdroj 11H, ek. klasifiká</w:t>
            </w:r>
            <w:r>
              <w:rPr>
                <w:rFonts w:hint="default"/>
                <w:bCs/>
                <w:i/>
                <w:iCs/>
                <w:lang w:val="sk-SK"/>
              </w:rPr>
              <w:t>cia  312003)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Cs/>
                <w:i/>
                <w:iCs/>
                <w:sz w:val="22"/>
                <w:szCs w:val="22"/>
                <w:lang w:val="sk-SK"/>
              </w:rPr>
              <w:t>13 286 000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rPr>
                <w:vertAlign w:val="superscript"/>
                <w:lang w:val="sk-SK"/>
              </w:rPr>
            </w:pPr>
            <w:r>
              <w:rPr>
                <w:lang w:val="sk-SK"/>
              </w:rPr>
              <w:t xml:space="preserve">  </w:t>
            </w:r>
            <w:r>
              <w:rPr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i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- vpl</w:t>
            </w:r>
            <w:r>
              <w:rPr>
                <w:rFonts w:hint="default"/>
                <w:bCs/>
                <w:i/>
                <w:iCs/>
                <w:lang w:val="sk-SK"/>
              </w:rPr>
              <w:t>yv na ú</w:t>
            </w:r>
            <w:r>
              <w:rPr>
                <w:rFonts w:hint="default"/>
                <w:bCs/>
                <w:i/>
                <w:iCs/>
                <w:lang w:val="sk-SK"/>
              </w:rPr>
              <w:t>zemnú</w:t>
            </w:r>
            <w:r>
              <w:rPr>
                <w:rFonts w:hint="default"/>
                <w:bCs/>
                <w:i/>
                <w:iCs/>
                <w:lang w:val="sk-SK"/>
              </w:rPr>
              <w:t xml:space="preserve"> samosprá</w:t>
            </w:r>
            <w:r>
              <w:rPr>
                <w:rFonts w:hint="default"/>
                <w:bCs/>
                <w:i/>
                <w:iCs/>
                <w:lang w:val="sk-SK"/>
              </w:rPr>
              <w:t>vu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i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i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i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i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rPr>
                <w:lang w:val="sk-SK"/>
              </w:rPr>
            </w:pPr>
            <w:r>
              <w:rPr>
                <w:rFonts w:hint="default"/>
                <w:b/>
                <w:bCs/>
                <w:lang w:val="sk-SK"/>
              </w:rPr>
              <w:t>1 + 2 Vý</w:t>
            </w:r>
            <w:r>
              <w:rPr>
                <w:rFonts w:hint="default"/>
                <w:b/>
                <w:bCs/>
                <w:lang w:val="sk-SK"/>
              </w:rPr>
              <w:t>davky verejnej sprá</w:t>
            </w:r>
            <w:r>
              <w:rPr>
                <w:rFonts w:hint="default"/>
                <w:b/>
                <w:bCs/>
                <w:lang w:val="sk-SK"/>
              </w:rPr>
              <w:t>vy celkom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Cs/>
                <w:lang w:val="sk-SK"/>
              </w:rPr>
            </w:pPr>
            <w:r>
              <w:rPr>
                <w:b/>
                <w:bCs/>
                <w:iCs/>
                <w:lang w:val="sk-SK"/>
              </w:rPr>
              <w:t>18 414 044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9 378 000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 xml:space="preserve">9 500 000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 w:rsidP="00DD5D8C">
            <w:pPr>
              <w:pStyle w:val="Odsekzoznamu"/>
              <w:numPr>
                <w:numId w:val="6"/>
              </w:numPr>
              <w:bidi w:val="0"/>
              <w:spacing w:line="125" w:lineRule="atLeast"/>
              <w:contextualSpacing/>
              <w:rPr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MZ SR: program 07B0204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5 128 044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9 378 000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Cs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Cs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rPr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 xml:space="preserve">z toho: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 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lang w:val="sk-SK"/>
              </w:rPr>
            </w:pPr>
            <w:r>
              <w:rPr>
                <w:rFonts w:hint="default"/>
                <w:bCs/>
                <w:i/>
                <w:iCs/>
                <w:lang w:val="sk-SK"/>
              </w:rPr>
              <w:t>- vplyv na Š</w:t>
            </w:r>
            <w:r>
              <w:rPr>
                <w:rFonts w:hint="default"/>
                <w:bCs/>
                <w:i/>
                <w:iCs/>
                <w:lang w:val="sk-SK"/>
              </w:rPr>
              <w:t xml:space="preserve">R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Cs/>
                <w:i/>
                <w:iCs/>
                <w:lang w:val="sk-SK"/>
              </w:rPr>
            </w:pPr>
            <w:r w:rsidRPr="00DD5D8C">
              <w:rPr>
                <w:bCs/>
                <w:i/>
                <w:iCs/>
                <w:lang w:val="sk-SK"/>
              </w:rPr>
              <w:t>5 128 044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Cs/>
                <w:i/>
                <w:iCs/>
                <w:sz w:val="22"/>
                <w:szCs w:val="22"/>
                <w:lang w:val="sk-SK"/>
              </w:rPr>
              <w:t>9 378 000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Cs/>
                <w:iCs/>
                <w:lang w:val="sk-SK"/>
              </w:rPr>
            </w:pPr>
            <w:r>
              <w:rPr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Cs/>
                <w:iCs/>
                <w:lang w:val="sk-SK"/>
              </w:rPr>
            </w:pPr>
            <w:r>
              <w:rPr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- vpl</w:t>
            </w:r>
            <w:r>
              <w:rPr>
                <w:rFonts w:hint="default"/>
                <w:bCs/>
                <w:i/>
                <w:iCs/>
                <w:lang w:val="sk-SK"/>
              </w:rPr>
              <w:t>yv na ú</w:t>
            </w:r>
            <w:r>
              <w:rPr>
                <w:rFonts w:hint="default"/>
                <w:bCs/>
                <w:i/>
                <w:iCs/>
                <w:lang w:val="sk-SK"/>
              </w:rPr>
              <w:t>zemnú</w:t>
            </w:r>
            <w:r>
              <w:rPr>
                <w:rFonts w:hint="default"/>
                <w:bCs/>
                <w:i/>
                <w:iCs/>
                <w:lang w:val="sk-SK"/>
              </w:rPr>
              <w:t xml:space="preserve"> samosprá</w:t>
            </w:r>
            <w:r>
              <w:rPr>
                <w:rFonts w:hint="default"/>
                <w:bCs/>
                <w:i/>
                <w:iCs/>
                <w:lang w:val="sk-SK"/>
              </w:rPr>
              <w:t>vu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i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i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i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i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 w:rsidP="00DD5D8C">
            <w:pPr>
              <w:pStyle w:val="Odsekzoznamu"/>
              <w:numPr>
                <w:numId w:val="6"/>
              </w:numPr>
              <w:bidi w:val="0"/>
              <w:spacing w:line="125" w:lineRule="atLeast"/>
              <w:contextualSpacing/>
              <w:rPr>
                <w:rFonts w:hint="default"/>
                <w:bCs/>
                <w:i/>
                <w:iCs/>
                <w:lang w:val="sk-SK"/>
              </w:rPr>
            </w:pPr>
            <w:r>
              <w:rPr>
                <w:rFonts w:hint="default"/>
                <w:bCs/>
                <w:i/>
                <w:iCs/>
                <w:lang w:val="sk-SK"/>
              </w:rPr>
              <w:t>Zdravotné</w:t>
            </w:r>
            <w:r>
              <w:rPr>
                <w:rFonts w:hint="default"/>
                <w:bCs/>
                <w:i/>
                <w:iCs/>
                <w:lang w:val="sk-SK"/>
              </w:rPr>
              <w:t xml:space="preserve"> poisť</w:t>
            </w:r>
            <w:r>
              <w:rPr>
                <w:rFonts w:hint="default"/>
                <w:bCs/>
                <w:i/>
                <w:iCs/>
                <w:lang w:val="sk-SK"/>
              </w:rPr>
              <w:t>ovne: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lang w:val="sk-SK"/>
              </w:rPr>
            </w:pPr>
            <w:r>
              <w:rPr>
                <w:b/>
                <w:bCs/>
                <w:i/>
                <w:lang w:val="sk-SK"/>
              </w:rPr>
              <w:t>13 286 000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Cs/>
                <w:i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- </w:t>
            </w:r>
            <w:r>
              <w:rPr>
                <w:rFonts w:hint="default"/>
                <w:bCs/>
                <w:i/>
                <w:iCs/>
                <w:lang w:val="sk-SK"/>
              </w:rPr>
              <w:t>ú</w:t>
            </w:r>
            <w:r>
              <w:rPr>
                <w:rFonts w:hint="default"/>
                <w:bCs/>
                <w:i/>
                <w:iCs/>
                <w:lang w:val="sk-SK"/>
              </w:rPr>
              <w:t>spora verejné</w:t>
            </w:r>
            <w:r>
              <w:rPr>
                <w:rFonts w:hint="default"/>
                <w:bCs/>
                <w:i/>
                <w:iCs/>
                <w:lang w:val="sk-SK"/>
              </w:rPr>
              <w:t>ho zdravotné</w:t>
            </w:r>
            <w:r>
              <w:rPr>
                <w:rFonts w:hint="default"/>
                <w:bCs/>
                <w:i/>
                <w:iCs/>
                <w:lang w:val="sk-SK"/>
              </w:rPr>
              <w:t>ho poistenia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Cs/>
                <w:i/>
                <w:lang w:val="sk-SK"/>
              </w:rPr>
            </w:pPr>
            <w:r>
              <w:rPr>
                <w:bCs/>
                <w:i/>
                <w:lang w:val="sk-SK"/>
              </w:rP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center"/>
              <w:rPr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Cs/>
                <w:i/>
                <w:iCs/>
                <w:sz w:val="22"/>
                <w:szCs w:val="22"/>
                <w:lang w:val="sk-SK"/>
              </w:rPr>
              <w:t xml:space="preserve">   -11 371 000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Cs/>
                <w:i/>
                <w:iCs/>
                <w:sz w:val="22"/>
                <w:szCs w:val="22"/>
                <w:lang w:val="sk-SK"/>
              </w:rPr>
              <w:t>-35 238 000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>
              <w:rPr>
                <w:bCs/>
                <w:i/>
                <w:iCs/>
                <w:sz w:val="22"/>
                <w:szCs w:val="22"/>
                <w:lang w:val="sk-SK"/>
              </w:rPr>
              <w:t>-59 213 000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378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D5D8C">
            <w:pPr>
              <w:bidi w:val="0"/>
              <w:spacing w:line="125" w:lineRule="atLeast"/>
              <w:jc w:val="right"/>
              <w:rPr>
                <w:bCs/>
                <w:i/>
                <w:iCs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- transfer ZP do kapitoly MZ SR</w:t>
            </w:r>
            <w:r w:rsidR="00C35BB7">
              <w:rPr>
                <w:bCs/>
                <w:i/>
                <w:iCs/>
                <w:vertAlign w:val="superscript"/>
                <w:lang w:val="sk-SK"/>
              </w:rPr>
              <w:t>1)</w:t>
            </w:r>
            <w:r>
              <w:rPr>
                <w:bCs/>
                <w:i/>
                <w:iCs/>
                <w:lang w:val="sk-SK"/>
              </w:rPr>
              <w:t xml:space="preserve"> 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D5D8C" w:rsidRPr="00DD5D8C">
            <w:pPr>
              <w:bidi w:val="0"/>
              <w:spacing w:line="125" w:lineRule="atLeast"/>
              <w:jc w:val="right"/>
              <w:rPr>
                <w:bCs/>
                <w:i/>
                <w:iCs/>
                <w:vertAlign w:val="superscript"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13 286 000</w:t>
            </w:r>
            <w:r>
              <w:rPr>
                <w:bCs/>
                <w:i/>
                <w:iCs/>
                <w:vertAlign w:val="superscript"/>
                <w:lang w:val="sk-SK"/>
              </w:rPr>
              <w:t>1)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D5D8C" w:rsidRPr="00DD5D8C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vertAlign w:val="superscript"/>
                <w:lang w:val="sk-SK"/>
              </w:rPr>
            </w:pPr>
            <w:r>
              <w:rPr>
                <w:bCs/>
                <w:i/>
                <w:iCs/>
                <w:sz w:val="22"/>
                <w:szCs w:val="22"/>
                <w:lang w:val="sk-SK"/>
              </w:rPr>
              <w:t xml:space="preserve"> 9 500 000</w:t>
            </w:r>
            <w:r w:rsidRPr="00DD5D8C">
              <w:rPr>
                <w:bCs/>
                <w:i/>
                <w:iCs/>
                <w:sz w:val="22"/>
                <w:szCs w:val="22"/>
                <w:vertAlign w:val="superscript"/>
                <w:lang w:val="sk-SK"/>
              </w:rPr>
              <w:t>2)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D5D8C" w:rsidRPr="00DD5D8C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vertAlign w:val="superscript"/>
                <w:lang w:val="sk-SK"/>
              </w:rPr>
            </w:pPr>
            <w:r>
              <w:rPr>
                <w:bCs/>
                <w:i/>
                <w:iCs/>
                <w:sz w:val="22"/>
                <w:szCs w:val="22"/>
                <w:lang w:val="sk-SK"/>
              </w:rPr>
              <w:t>19 500</w:t>
            </w:r>
            <w:r w:rsidR="00C35BB7">
              <w:rPr>
                <w:bCs/>
                <w:i/>
                <w:iCs/>
                <w:sz w:val="22"/>
                <w:szCs w:val="22"/>
                <w:lang w:val="sk-SK"/>
              </w:rPr>
              <w:t> </w:t>
            </w:r>
            <w:r>
              <w:rPr>
                <w:bCs/>
                <w:i/>
                <w:iCs/>
                <w:sz w:val="22"/>
                <w:szCs w:val="22"/>
                <w:lang w:val="sk-SK"/>
              </w:rPr>
              <w:t>000</w:t>
            </w:r>
            <w:r w:rsidR="00C35BB7">
              <w:rPr>
                <w:bCs/>
                <w:i/>
                <w:iCs/>
                <w:sz w:val="22"/>
                <w:szCs w:val="22"/>
                <w:vertAlign w:val="superscript"/>
                <w:lang w:val="sk-SK"/>
              </w:rPr>
              <w:t>2</w:t>
            </w:r>
            <w:r>
              <w:rPr>
                <w:bCs/>
                <w:i/>
                <w:iCs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DD5D8C">
            <w:pPr>
              <w:bidi w:val="0"/>
              <w:spacing w:line="125" w:lineRule="atLeast"/>
              <w:jc w:val="right"/>
              <w:rPr>
                <w:bCs/>
                <w:i/>
                <w:iCs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9 500 000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bCs/>
                <w:i/>
                <w:iCs/>
                <w:lang w:val="sk-SK"/>
              </w:rPr>
            </w:pPr>
            <w:r>
              <w:rPr>
                <w:rFonts w:hint="default"/>
                <w:bCs/>
                <w:i/>
                <w:iCs/>
                <w:lang w:val="sk-SK"/>
              </w:rPr>
              <w:t>-použ</w:t>
            </w:r>
            <w:r>
              <w:rPr>
                <w:rFonts w:hint="default"/>
                <w:bCs/>
                <w:i/>
                <w:iCs/>
                <w:lang w:val="sk-SK"/>
              </w:rPr>
              <w:t>itie ú</w:t>
            </w:r>
            <w:r>
              <w:rPr>
                <w:rFonts w:hint="default"/>
                <w:bCs/>
                <w:i/>
                <w:iCs/>
                <w:lang w:val="sk-SK"/>
              </w:rPr>
              <w:t>spor</w:t>
            </w:r>
            <w:r>
              <w:rPr>
                <w:rFonts w:hint="default"/>
                <w:bCs/>
                <w:i/>
                <w:iCs/>
                <w:lang w:val="sk-SK"/>
              </w:rPr>
              <w:t xml:space="preserve">y </w:t>
            </w:r>
            <w:r w:rsidR="00C35BB7">
              <w:rPr>
                <w:bCs/>
                <w:i/>
                <w:iCs/>
                <w:lang w:val="sk-SK"/>
              </w:rPr>
              <w:t>v </w:t>
            </w:r>
            <w:r w:rsidR="00C35BB7">
              <w:rPr>
                <w:rFonts w:hint="default"/>
                <w:bCs/>
                <w:i/>
                <w:iCs/>
                <w:lang w:val="sk-SK"/>
              </w:rPr>
              <w:t>rá</w:t>
            </w:r>
            <w:r w:rsidR="00C35BB7">
              <w:rPr>
                <w:rFonts w:hint="default"/>
                <w:bCs/>
                <w:i/>
                <w:iCs/>
                <w:lang w:val="sk-SK"/>
              </w:rPr>
              <w:t>mci VZP</w:t>
            </w:r>
            <w:r w:rsidR="00C35BB7">
              <w:rPr>
                <w:bCs/>
                <w:i/>
                <w:iCs/>
                <w:vertAlign w:val="superscript"/>
                <w:lang w:val="sk-SK"/>
              </w:rPr>
              <w:t>1)</w:t>
            </w:r>
            <w:r w:rsidR="00C35BB7">
              <w:rPr>
                <w:bCs/>
                <w:i/>
                <w:iCs/>
                <w:lang w:val="sk-SK"/>
              </w:rPr>
              <w:t xml:space="preserve"> </w:t>
            </w:r>
            <w:r>
              <w:rPr>
                <w:bCs/>
                <w:i/>
                <w:iCs/>
                <w:lang w:val="sk-SK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bCs/>
                <w:i/>
                <w:iCs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bCs/>
                <w:i/>
                <w:iCs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1 871 000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bCs/>
                <w:i/>
                <w:iCs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15 738 000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bCs/>
                <w:i/>
                <w:iCs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49 713 000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rPr>
                <w:lang w:val="sk-SK"/>
              </w:rPr>
            </w:pPr>
            <w:r>
              <w:rPr>
                <w:rFonts w:hint="default"/>
                <w:b/>
                <w:bCs/>
                <w:lang w:val="sk-SK"/>
              </w:rPr>
              <w:t>Celková</w:t>
            </w:r>
            <w:r>
              <w:rPr>
                <w:rFonts w:hint="default"/>
                <w:b/>
                <w:bCs/>
                <w:lang w:val="sk-SK"/>
              </w:rPr>
              <w:t xml:space="preserve"> zamestnanosť</w:t>
            </w:r>
            <w:r>
              <w:rPr>
                <w:rFonts w:hint="default"/>
                <w:b/>
                <w:bCs/>
                <w:lang w:val="sk-SK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rPr>
                <w:i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- z </w:t>
            </w:r>
            <w:r>
              <w:rPr>
                <w:rFonts w:hint="default"/>
                <w:bCs/>
                <w:i/>
                <w:iCs/>
                <w:lang w:val="sk-SK"/>
              </w:rPr>
              <w:t>toho vplyv na Š</w:t>
            </w:r>
            <w:r>
              <w:rPr>
                <w:rFonts w:hint="default"/>
                <w:bCs/>
                <w:i/>
                <w:iCs/>
                <w:lang w:val="sk-SK"/>
              </w:rPr>
              <w:t>R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D5D8C">
            <w:pPr>
              <w:bidi w:val="0"/>
              <w:spacing w:line="70" w:lineRule="atLeast"/>
              <w:jc w:val="right"/>
              <w:rPr>
                <w:bCs/>
                <w:i/>
                <w:iCs/>
                <w:lang w:val="sk-SK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D5D8C">
            <w:pPr>
              <w:bidi w:val="0"/>
              <w:spacing w:line="70" w:lineRule="atLeast"/>
              <w:jc w:val="right"/>
              <w:rPr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D5D8C">
            <w:pPr>
              <w:bidi w:val="0"/>
              <w:spacing w:line="70" w:lineRule="atLeast"/>
              <w:jc w:val="right"/>
              <w:rPr>
                <w:bCs/>
                <w:i/>
                <w:iCs/>
                <w:lang w:val="sk-SK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DD5D8C">
            <w:pPr>
              <w:bidi w:val="0"/>
              <w:spacing w:line="70" w:lineRule="atLeast"/>
              <w:jc w:val="right"/>
              <w:rPr>
                <w:bCs/>
                <w:i/>
                <w:iCs/>
                <w:lang w:val="sk-SK"/>
              </w:rPr>
            </w:pP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rPr>
                <w:b/>
                <w:lang w:val="sk-SK"/>
              </w:rPr>
            </w:pPr>
            <w:r>
              <w:rPr>
                <w:rFonts w:hint="default"/>
                <w:b/>
                <w:bCs/>
                <w:lang w:val="sk-SK"/>
              </w:rPr>
              <w:t>Financovanie zabezpeč</w:t>
            </w:r>
            <w:r>
              <w:rPr>
                <w:rFonts w:hint="default"/>
                <w:b/>
                <w:bCs/>
                <w:lang w:val="sk-SK"/>
              </w:rPr>
              <w:t>ené</w:t>
            </w:r>
            <w:r>
              <w:rPr>
                <w:rFonts w:hint="default"/>
                <w:b/>
                <w:bCs/>
                <w:lang w:val="sk-SK"/>
              </w:rPr>
              <w:t xml:space="preserve"> v </w:t>
            </w:r>
            <w:r>
              <w:rPr>
                <w:rFonts w:hint="default"/>
                <w:b/>
                <w:bCs/>
                <w:lang w:val="sk-SK"/>
              </w:rPr>
              <w:t>rozpoč</w:t>
            </w:r>
            <w:r>
              <w:rPr>
                <w:rFonts w:hint="default"/>
                <w:b/>
                <w:bCs/>
                <w:lang w:val="sk-SK"/>
              </w:rPr>
              <w:t>te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Cs/>
                <w:lang w:val="sk-SK"/>
              </w:rPr>
            </w:pPr>
            <w:r>
              <w:rPr>
                <w:b/>
                <w:bCs/>
                <w:iCs/>
                <w:lang w:val="sk-SK"/>
              </w:rPr>
              <w:t xml:space="preserve">0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/>
                <w:bCs/>
                <w:iCs/>
                <w:lang w:val="sk-SK"/>
              </w:rPr>
            </w:pPr>
            <w:r>
              <w:rPr>
                <w:b/>
                <w:bCs/>
                <w:iCs/>
                <w:lang w:val="sk-SK"/>
              </w:rPr>
              <w:t>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zabezpeč</w:t>
            </w:r>
            <w:r>
              <w:rPr>
                <w:rFonts w:hint="default"/>
                <w:lang w:val="sk-SK"/>
              </w:rPr>
              <w:t>ené</w:t>
            </w:r>
            <w:r>
              <w:rPr>
                <w:rFonts w:hint="default"/>
                <w:lang w:val="sk-SK"/>
              </w:rPr>
              <w:t xml:space="preserve"> v rá</w:t>
            </w:r>
            <w:r>
              <w:rPr>
                <w:rFonts w:hint="default"/>
                <w:lang w:val="sk-SK"/>
              </w:rPr>
              <w:t>mci rozpoč</w:t>
            </w:r>
            <w:r>
              <w:rPr>
                <w:rFonts w:hint="default"/>
                <w:lang w:val="sk-SK"/>
              </w:rPr>
              <w:t>tu MZ SR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Cs/>
                <w:i/>
                <w:iCs/>
                <w:lang w:val="sk-SK"/>
              </w:rPr>
            </w:pPr>
            <w:r>
              <w:rPr>
                <w:bCs/>
                <w:i/>
                <w:iCs/>
                <w:lang w:val="sk-SK"/>
              </w:rPr>
              <w:t>1 220 044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Cs/>
                <w:iCs/>
                <w:lang w:val="sk-SK"/>
              </w:rPr>
            </w:pPr>
            <w:r>
              <w:rPr>
                <w:bCs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Cs/>
                <w:iCs/>
                <w:lang w:val="sk-SK"/>
              </w:rPr>
            </w:pPr>
            <w:r>
              <w:rPr>
                <w:bCs/>
                <w:iCs/>
                <w:lang w:val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25" w:lineRule="atLeast"/>
              <w:jc w:val="right"/>
              <w:rPr>
                <w:bCs/>
                <w:iCs/>
                <w:lang w:val="sk-SK"/>
              </w:rPr>
            </w:pPr>
            <w:r>
              <w:rPr>
                <w:bCs/>
                <w:iCs/>
                <w:lang w:val="sk-SK"/>
              </w:rPr>
              <w:t>0</w:t>
            </w:r>
          </w:p>
        </w:tc>
      </w:tr>
      <w:tr>
        <w:tblPrEx>
          <w:tblW w:w="10029" w:type="dxa"/>
          <w:tblCellMar>
            <w:left w:w="0" w:type="dxa"/>
            <w:right w:w="0" w:type="dxa"/>
          </w:tblCellMar>
          <w:tblLook w:val="04A0"/>
        </w:tblPrEx>
        <w:tc>
          <w:tcPr>
            <w:tcW w:w="46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DD5D8C">
            <w:pPr>
              <w:bidi w:val="0"/>
              <w:spacing w:line="276" w:lineRule="auto"/>
              <w:rPr>
                <w:sz w:val="2"/>
                <w:lang w:val="sk-SK"/>
              </w:rPr>
            </w:pPr>
          </w:p>
        </w:tc>
        <w:tc>
          <w:tcPr>
            <w:tcW w:w="1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DD5D8C">
            <w:pPr>
              <w:bidi w:val="0"/>
              <w:spacing w:line="276" w:lineRule="auto"/>
              <w:rPr>
                <w:sz w:val="2"/>
                <w:lang w:val="sk-SK"/>
              </w:rPr>
            </w:pPr>
          </w:p>
        </w:tc>
        <w:tc>
          <w:tcPr>
            <w:tcW w:w="13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DD5D8C">
            <w:pPr>
              <w:bidi w:val="0"/>
              <w:spacing w:line="276" w:lineRule="auto"/>
              <w:rPr>
                <w:sz w:val="2"/>
                <w:lang w:val="sk-SK"/>
              </w:rPr>
            </w:pPr>
          </w:p>
        </w:tc>
        <w:tc>
          <w:tcPr>
            <w:tcW w:w="12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DD5D8C">
            <w:pPr>
              <w:bidi w:val="0"/>
              <w:spacing w:line="276" w:lineRule="auto"/>
              <w:rPr>
                <w:sz w:val="2"/>
                <w:lang w:val="sk-SK"/>
              </w:rPr>
            </w:pPr>
          </w:p>
        </w:tc>
        <w:tc>
          <w:tcPr>
            <w:tcW w:w="12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DD5D8C">
            <w:pPr>
              <w:bidi w:val="0"/>
              <w:spacing w:line="276" w:lineRule="auto"/>
              <w:rPr>
                <w:sz w:val="2"/>
                <w:lang w:val="sk-SK"/>
              </w:rPr>
            </w:pPr>
          </w:p>
        </w:tc>
      </w:tr>
    </w:tbl>
    <w:p w:rsidR="002A6154" w:rsidRPr="00DD5D8C" w:rsidP="007D7B6E">
      <w:pPr>
        <w:tabs>
          <w:tab w:val="left" w:pos="284"/>
        </w:tabs>
        <w:bidi w:val="0"/>
        <w:ind w:left="284" w:hanging="284"/>
        <w:rPr>
          <w:sz w:val="22"/>
          <w:szCs w:val="22"/>
          <w:lang w:val="sk-SK"/>
        </w:rPr>
      </w:pPr>
      <w:bookmarkStart w:id="0" w:name="OLE_LINK1"/>
      <w:bookmarkEnd w:id="0"/>
      <w:r w:rsidR="008A7DBA">
        <w:rPr>
          <w:vertAlign w:val="superscript"/>
          <w:lang w:val="sk-SK"/>
        </w:rPr>
        <w:t xml:space="preserve">1) </w:t>
      </w:r>
      <w:r w:rsidR="008A7DBA">
        <w:rPr>
          <w:lang w:val="sk-SK"/>
        </w:rPr>
        <w:tab/>
      </w:r>
      <w:r w:rsidR="00C35BB7">
        <w:rPr>
          <w:rFonts w:hint="default"/>
          <w:sz w:val="22"/>
          <w:szCs w:val="22"/>
          <w:lang w:val="sk-SK"/>
        </w:rPr>
        <w:t>Vý</w:t>
      </w:r>
      <w:r w:rsidR="00C35BB7">
        <w:rPr>
          <w:rFonts w:hint="default"/>
          <w:sz w:val="22"/>
          <w:szCs w:val="22"/>
          <w:lang w:val="sk-SK"/>
        </w:rPr>
        <w:t>davky zdravotný</w:t>
      </w:r>
      <w:r w:rsidR="00C35BB7">
        <w:rPr>
          <w:rFonts w:hint="default"/>
          <w:sz w:val="22"/>
          <w:szCs w:val="22"/>
          <w:lang w:val="sk-SK"/>
        </w:rPr>
        <w:t>ch poisť</w:t>
      </w:r>
      <w:r w:rsidR="00C35BB7">
        <w:rPr>
          <w:rFonts w:hint="default"/>
          <w:sz w:val="22"/>
          <w:szCs w:val="22"/>
          <w:lang w:val="sk-SK"/>
        </w:rPr>
        <w:t>ovní</w:t>
      </w:r>
      <w:r w:rsidR="00C35BB7">
        <w:rPr>
          <w:rFonts w:hint="default"/>
          <w:sz w:val="22"/>
          <w:szCs w:val="22"/>
          <w:lang w:val="sk-SK"/>
        </w:rPr>
        <w:t xml:space="preserve"> predstavujú</w:t>
      </w:r>
      <w:r w:rsidR="00C35BB7">
        <w:rPr>
          <w:rFonts w:hint="default"/>
          <w:sz w:val="22"/>
          <w:szCs w:val="22"/>
          <w:lang w:val="sk-SK"/>
        </w:rPr>
        <w:t xml:space="preserve"> </w:t>
      </w:r>
      <w:r w:rsidR="00C35BB7">
        <w:rPr>
          <w:rFonts w:hint="default"/>
          <w:sz w:val="22"/>
          <w:szCs w:val="22"/>
          <w:lang w:val="sk-SK"/>
        </w:rPr>
        <w:t>vý</w:t>
      </w:r>
      <w:r w:rsidR="00C35BB7">
        <w:rPr>
          <w:rFonts w:hint="default"/>
          <w:sz w:val="22"/>
          <w:szCs w:val="22"/>
          <w:lang w:val="sk-SK"/>
        </w:rPr>
        <w:t>davky z VZP</w:t>
      </w:r>
    </w:p>
    <w:p w:rsidR="003B585F" w:rsidRPr="00DD5D8C" w:rsidP="007D7B6E">
      <w:pPr>
        <w:tabs>
          <w:tab w:val="left" w:pos="284"/>
        </w:tabs>
        <w:bidi w:val="0"/>
        <w:ind w:left="284" w:hanging="284"/>
        <w:rPr>
          <w:sz w:val="22"/>
          <w:szCs w:val="22"/>
          <w:lang w:val="sk-SK"/>
        </w:rPr>
      </w:pPr>
      <w:r w:rsidR="00C35BB7">
        <w:rPr>
          <w:sz w:val="22"/>
          <w:szCs w:val="22"/>
          <w:vertAlign w:val="superscript"/>
          <w:lang w:val="sk-SK"/>
        </w:rPr>
        <w:t>2</w:t>
      </w:r>
      <w:r w:rsidRPr="00DD5D8C" w:rsidR="007D7B6E">
        <w:rPr>
          <w:sz w:val="22"/>
          <w:szCs w:val="22"/>
          <w:vertAlign w:val="superscript"/>
          <w:lang w:val="sk-SK"/>
        </w:rPr>
        <w:t>)</w:t>
      </w:r>
      <w:r w:rsidRPr="00DD5D8C" w:rsidR="007D7B6E">
        <w:rPr>
          <w:sz w:val="22"/>
          <w:szCs w:val="22"/>
          <w:lang w:val="sk-SK"/>
        </w:rPr>
        <w:t xml:space="preserve"> </w:t>
        <w:tab/>
      </w:r>
      <w:r w:rsidRPr="00DD5D8C" w:rsidR="007D7B6E">
        <w:rPr>
          <w:rFonts w:hint="default"/>
          <w:sz w:val="22"/>
          <w:szCs w:val="22"/>
          <w:lang w:val="sk-SK"/>
        </w:rPr>
        <w:t>Do ná</w:t>
      </w:r>
      <w:r w:rsidRPr="00DD5D8C" w:rsidR="007D7B6E">
        <w:rPr>
          <w:rFonts w:hint="default"/>
          <w:sz w:val="22"/>
          <w:szCs w:val="22"/>
          <w:lang w:val="sk-SK"/>
        </w:rPr>
        <w:t>kladov zdravotný</w:t>
      </w:r>
      <w:r w:rsidRPr="00DD5D8C" w:rsidR="007D7B6E">
        <w:rPr>
          <w:rFonts w:hint="default"/>
          <w:sz w:val="22"/>
          <w:szCs w:val="22"/>
          <w:lang w:val="sk-SK"/>
        </w:rPr>
        <w:t>ch poisť</w:t>
      </w:r>
      <w:r w:rsidRPr="00DD5D8C" w:rsidR="007D7B6E">
        <w:rPr>
          <w:rFonts w:hint="default"/>
          <w:sz w:val="22"/>
          <w:szCs w:val="22"/>
          <w:lang w:val="sk-SK"/>
        </w:rPr>
        <w:t>ovní</w:t>
      </w:r>
      <w:r w:rsidRPr="00DD5D8C" w:rsidR="007D7B6E">
        <w:rPr>
          <w:rFonts w:hint="default"/>
          <w:sz w:val="22"/>
          <w:szCs w:val="22"/>
          <w:lang w:val="sk-SK"/>
        </w:rPr>
        <w:t xml:space="preserve"> v </w:t>
      </w:r>
      <w:r w:rsidRPr="00DD5D8C" w:rsidR="007D7B6E">
        <w:rPr>
          <w:rFonts w:hint="default"/>
          <w:sz w:val="22"/>
          <w:szCs w:val="22"/>
          <w:lang w:val="sk-SK"/>
        </w:rPr>
        <w:t>roku 2015 sú</w:t>
      </w:r>
      <w:r w:rsidRPr="00DD5D8C" w:rsidR="007D7B6E">
        <w:rPr>
          <w:rFonts w:hint="default"/>
          <w:sz w:val="22"/>
          <w:szCs w:val="22"/>
          <w:lang w:val="sk-SK"/>
        </w:rPr>
        <w:t xml:space="preserve"> popri ná</w:t>
      </w:r>
      <w:r w:rsidRPr="00DD5D8C" w:rsidR="007D7B6E">
        <w:rPr>
          <w:rFonts w:hint="default"/>
          <w:sz w:val="22"/>
          <w:szCs w:val="22"/>
          <w:lang w:val="sk-SK"/>
        </w:rPr>
        <w:t>kladoch na prevá</w:t>
      </w:r>
      <w:r w:rsidRPr="00DD5D8C" w:rsidR="007D7B6E">
        <w:rPr>
          <w:rFonts w:hint="default"/>
          <w:sz w:val="22"/>
          <w:szCs w:val="22"/>
          <w:lang w:val="sk-SK"/>
        </w:rPr>
        <w:t>dzku NCZI vo výš</w:t>
      </w:r>
      <w:r w:rsidRPr="00DD5D8C" w:rsidR="007D7B6E">
        <w:rPr>
          <w:rFonts w:hint="default"/>
          <w:sz w:val="22"/>
          <w:szCs w:val="22"/>
          <w:lang w:val="sk-SK"/>
        </w:rPr>
        <w:t>ke 9,5 mil. €</w:t>
      </w:r>
      <w:r w:rsidRPr="00DD5D8C" w:rsidR="007D7B6E">
        <w:rPr>
          <w:rFonts w:hint="default"/>
          <w:sz w:val="22"/>
          <w:szCs w:val="22"/>
          <w:lang w:val="sk-SK"/>
        </w:rPr>
        <w:t xml:space="preserve"> zahrnuté</w:t>
      </w:r>
      <w:r w:rsidRPr="00DD5D8C" w:rsidR="007D7B6E">
        <w:rPr>
          <w:rFonts w:hint="default"/>
          <w:sz w:val="22"/>
          <w:szCs w:val="22"/>
          <w:lang w:val="sk-SK"/>
        </w:rPr>
        <w:t xml:space="preserve"> aj ná</w:t>
      </w:r>
      <w:r w:rsidRPr="00DD5D8C" w:rsidR="007D7B6E">
        <w:rPr>
          <w:rFonts w:hint="default"/>
          <w:sz w:val="22"/>
          <w:szCs w:val="22"/>
          <w:lang w:val="sk-SK"/>
        </w:rPr>
        <w:t>klady na vydanie elektronický</w:t>
      </w:r>
      <w:r w:rsidRPr="00DD5D8C" w:rsidR="007D7B6E">
        <w:rPr>
          <w:rFonts w:hint="default"/>
          <w:sz w:val="22"/>
          <w:szCs w:val="22"/>
          <w:lang w:val="sk-SK"/>
        </w:rPr>
        <w:t>ch preukazov poistencov vo výš</w:t>
      </w:r>
      <w:r w:rsidRPr="00DD5D8C" w:rsidR="007D7B6E">
        <w:rPr>
          <w:rFonts w:hint="default"/>
          <w:sz w:val="22"/>
          <w:szCs w:val="22"/>
          <w:lang w:val="sk-SK"/>
        </w:rPr>
        <w:t xml:space="preserve">ke </w:t>
      </w:r>
      <w:smartTag w:uri="urn:schemas-microsoft-com:office:smarttags" w:element="metricconverter">
        <w:smartTagPr>
          <w:attr w:name="ProductID" w:val="10 mi"/>
        </w:smartTagPr>
        <w:r w:rsidRPr="00DD5D8C" w:rsidR="007D7B6E">
          <w:rPr>
            <w:rFonts w:hint="default"/>
            <w:sz w:val="22"/>
            <w:szCs w:val="22"/>
            <w:lang w:val="sk-SK"/>
          </w:rPr>
          <w:t>10 mi</w:t>
        </w:r>
      </w:smartTag>
      <w:r w:rsidRPr="00DD5D8C" w:rsidR="007D7B6E">
        <w:rPr>
          <w:rFonts w:hint="default"/>
          <w:sz w:val="22"/>
          <w:szCs w:val="22"/>
          <w:lang w:val="sk-SK"/>
        </w:rPr>
        <w:t>. €</w:t>
      </w:r>
      <w:r w:rsidRPr="00DD5D8C" w:rsidR="007D7B6E">
        <w:rPr>
          <w:rFonts w:hint="default"/>
          <w:sz w:val="22"/>
          <w:szCs w:val="22"/>
          <w:lang w:val="sk-SK"/>
        </w:rPr>
        <w:t xml:space="preserve">. </w:t>
      </w:r>
    </w:p>
    <w:p w:rsidR="007D7B6E" w:rsidRPr="00812649" w:rsidP="007D7B6E">
      <w:pPr>
        <w:tabs>
          <w:tab w:val="left" w:pos="284"/>
        </w:tabs>
        <w:bidi w:val="0"/>
        <w:ind w:left="284" w:hanging="284"/>
        <w:rPr>
          <w:lang w:val="sk-SK"/>
        </w:rPr>
      </w:pPr>
    </w:p>
    <w:p w:rsidR="003B585F" w:rsidRPr="00812649" w:rsidP="003B585F">
      <w:pPr>
        <w:bidi w:val="0"/>
        <w:rPr>
          <w:lang w:val="sk-SK"/>
        </w:rPr>
      </w:pPr>
      <w:r w:rsidRPr="00812649">
        <w:rPr>
          <w:rFonts w:hint="default"/>
          <w:b/>
          <w:bCs/>
          <w:lang w:val="sk-SK"/>
        </w:rPr>
        <w:t>2.2. Financovanie ná</w:t>
      </w:r>
      <w:r w:rsidRPr="00812649">
        <w:rPr>
          <w:rFonts w:hint="default"/>
          <w:b/>
          <w:bCs/>
          <w:lang w:val="sk-SK"/>
        </w:rPr>
        <w:t>vrhu</w:t>
      </w:r>
    </w:p>
    <w:p w:rsidR="003B585F" w:rsidP="003B585F">
      <w:pPr>
        <w:bidi w:val="0"/>
        <w:jc w:val="right"/>
        <w:rPr>
          <w:sz w:val="20"/>
          <w:szCs w:val="20"/>
          <w:lang w:val="sk-SK"/>
        </w:rPr>
      </w:pPr>
      <w:r w:rsidRPr="00812649">
        <w:rPr>
          <w:rFonts w:hint="default"/>
          <w:sz w:val="20"/>
          <w:szCs w:val="20"/>
          <w:lang w:val="sk-SK"/>
        </w:rPr>
        <w:t>Tabuľ</w:t>
      </w:r>
      <w:r w:rsidRPr="00812649">
        <w:rPr>
          <w:rFonts w:hint="default"/>
          <w:sz w:val="20"/>
          <w:szCs w:val="20"/>
          <w:lang w:val="sk-SK"/>
        </w:rPr>
        <w:t>ka č</w:t>
      </w:r>
      <w:r w:rsidRPr="00812649">
        <w:rPr>
          <w:rFonts w:hint="default"/>
          <w:sz w:val="20"/>
          <w:szCs w:val="20"/>
          <w:lang w:val="sk-SK"/>
        </w:rPr>
        <w:t>. 2</w:t>
      </w:r>
    </w:p>
    <w:tbl>
      <w:tblPr>
        <w:tblStyle w:val="TableNormal"/>
        <w:tblW w:w="9993" w:type="dxa"/>
        <w:tblCellMar>
          <w:left w:w="0" w:type="dxa"/>
          <w:right w:w="0" w:type="dxa"/>
        </w:tblCellMar>
        <w:tblLook w:val="04A0"/>
      </w:tblPr>
      <w:tblGrid>
        <w:gridCol w:w="4304"/>
        <w:gridCol w:w="1436"/>
        <w:gridCol w:w="1418"/>
        <w:gridCol w:w="1417"/>
        <w:gridCol w:w="1418"/>
      </w:tblGrid>
      <w:tr>
        <w:tblPrEx>
          <w:tblW w:w="9993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center"/>
              <w:rPr>
                <w:lang w:val="sk-SK"/>
              </w:rPr>
            </w:pPr>
            <w:r>
              <w:rPr>
                <w:b/>
                <w:bCs/>
                <w:color w:val="FFFFFF"/>
                <w:lang w:val="sk-SK"/>
              </w:rPr>
              <w:t>Financova</w:t>
            </w:r>
            <w:r>
              <w:rPr>
                <w:b/>
                <w:bCs/>
                <w:color w:val="FFFFFF"/>
                <w:lang w:val="sk-SK"/>
              </w:rPr>
              <w:t>nie</w:t>
            </w:r>
          </w:p>
        </w:tc>
        <w:tc>
          <w:tcPr>
            <w:tcW w:w="5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center"/>
              <w:rPr>
                <w:lang w:val="sk-SK"/>
              </w:rPr>
            </w:pPr>
            <w:r>
              <w:rPr>
                <w:rFonts w:hint="default"/>
                <w:b/>
                <w:bCs/>
                <w:color w:val="FFFFFF"/>
                <w:lang w:val="sk-SK"/>
              </w:rPr>
              <w:t>Vplyv na rozpoč</w:t>
            </w:r>
            <w:r>
              <w:rPr>
                <w:rFonts w:hint="default"/>
                <w:b/>
                <w:bCs/>
                <w:color w:val="FFFFFF"/>
                <w:lang w:val="sk-SK"/>
              </w:rPr>
              <w:t>et verejnej sprá</w:t>
            </w:r>
            <w:r>
              <w:rPr>
                <w:rFonts w:hint="default"/>
                <w:b/>
                <w:bCs/>
                <w:color w:val="FFFFFF"/>
                <w:lang w:val="sk-SK"/>
              </w:rPr>
              <w:t xml:space="preserve">vy </w:t>
            </w:r>
            <w:r>
              <w:rPr>
                <w:rFonts w:hint="default"/>
                <w:b/>
                <w:bCs/>
                <w:lang w:val="sk-SK"/>
              </w:rPr>
              <w:t>(v eurá</w:t>
            </w:r>
            <w:r>
              <w:rPr>
                <w:rFonts w:hint="default"/>
                <w:b/>
                <w:bCs/>
                <w:lang w:val="sk-SK"/>
              </w:rPr>
              <w:t>ch)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  <w:tblLook w:val="04A0"/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D5D8C">
            <w:pPr>
              <w:bidi w:val="0"/>
              <w:rPr>
                <w:lang w:val="sk-SK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center"/>
              <w:rPr>
                <w:lang w:val="sk-SK"/>
              </w:rPr>
            </w:pPr>
            <w:r>
              <w:rPr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center"/>
              <w:rPr>
                <w:lang w:val="sk-SK"/>
              </w:rPr>
            </w:pPr>
            <w:r>
              <w:rPr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center"/>
              <w:rPr>
                <w:lang w:val="sk-SK"/>
              </w:rPr>
            </w:pPr>
            <w:r>
              <w:rPr>
                <w:b/>
                <w:bCs/>
                <w:color w:val="FFFFFF"/>
                <w:lang w:val="sk-SK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jc w:val="center"/>
              <w:rPr>
                <w:lang w:val="sk-SK"/>
              </w:rPr>
            </w:pPr>
            <w:r>
              <w:rPr>
                <w:b/>
                <w:bCs/>
                <w:color w:val="FFFFFF"/>
                <w:lang w:val="sk-SK"/>
              </w:rPr>
              <w:t>2016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  <w:tblLook w:val="04A0"/>
        </w:tblPrEx>
        <w:trPr>
          <w:trHeight w:val="552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rPr>
                <w:lang w:val="sk-SK"/>
              </w:rPr>
            </w:pPr>
            <w:r>
              <w:rPr>
                <w:rFonts w:hint="default"/>
                <w:b/>
                <w:bCs/>
                <w:lang w:val="sk-SK"/>
              </w:rPr>
              <w:t>Celkový</w:t>
            </w:r>
            <w:r>
              <w:rPr>
                <w:rFonts w:hint="default"/>
                <w:b/>
                <w:bCs/>
                <w:lang w:val="sk-SK"/>
              </w:rPr>
              <w:t xml:space="preserve"> vplyv na rozpoč</w:t>
            </w:r>
            <w:r>
              <w:rPr>
                <w:rFonts w:hint="default"/>
                <w:b/>
                <w:bCs/>
                <w:lang w:val="sk-SK"/>
              </w:rPr>
              <w:t>et verejnej sprá</w:t>
            </w:r>
            <w:r>
              <w:rPr>
                <w:rFonts w:hint="default"/>
                <w:b/>
                <w:bCs/>
                <w:lang w:val="sk-SK"/>
              </w:rPr>
              <w:t>vy ( - prí</w:t>
            </w:r>
            <w:r>
              <w:rPr>
                <w:rFonts w:hint="default"/>
                <w:b/>
                <w:bCs/>
                <w:lang w:val="sk-SK"/>
              </w:rPr>
              <w:t>jmy, + vý</w:t>
            </w:r>
            <w:r>
              <w:rPr>
                <w:rFonts w:hint="default"/>
                <w:b/>
                <w:bCs/>
                <w:lang w:val="sk-SK"/>
              </w:rPr>
              <w:t>davky)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 w:rsidRPr="00DD5D8C">
            <w:pPr>
              <w:bidi w:val="0"/>
              <w:spacing w:line="276" w:lineRule="auto"/>
              <w:jc w:val="center"/>
              <w:rPr>
                <w:b/>
                <w:lang w:val="sk-SK"/>
              </w:rPr>
            </w:pPr>
            <w:r w:rsidRPr="00DD5D8C">
              <w:rPr>
                <w:b/>
                <w:lang w:val="sk-SK"/>
              </w:rPr>
              <w:t>5 128 044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-122 000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b/>
                <w:lang w:val="sk-SK"/>
              </w:rPr>
            </w:pPr>
            <w:r>
              <w:rPr>
                <w:b/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  <w:tblLook w:val="04A0"/>
        </w:tblPrEx>
        <w:trPr>
          <w:trHeight w:val="344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rPr>
                <w:rFonts w:hint="default"/>
                <w:lang w:val="sk-SK"/>
              </w:rPr>
            </w:pPr>
            <w:r>
              <w:rPr>
                <w:lang w:val="sk-SK"/>
              </w:rPr>
              <w:t> </w:t>
            </w:r>
            <w:r>
              <w:rPr>
                <w:rFonts w:hint="default"/>
                <w:lang w:val="sk-SK"/>
              </w:rPr>
              <w:t xml:space="preserve"> z toho vplyv na Š</w:t>
            </w:r>
            <w:r>
              <w:rPr>
                <w:rFonts w:hint="default"/>
                <w:lang w:val="sk-SK"/>
              </w:rPr>
              <w:t>R: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 w:rsidRP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 w:rsidRPr="00DD5D8C">
              <w:rPr>
                <w:lang w:val="sk-SK"/>
              </w:rPr>
              <w:t>5 128 044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-122 000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  <w:tblLook w:val="04A0"/>
        </w:tblPrEx>
        <w:trPr>
          <w:trHeight w:val="552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51" w:lineRule="atLeast"/>
              <w:rPr>
                <w:rFonts w:hint="default"/>
                <w:lang w:val="sk-SK"/>
              </w:rPr>
            </w:pPr>
            <w:r>
              <w:rPr>
                <w:lang w:val="sk-SK"/>
              </w:rPr>
              <w:t> </w:t>
            </w:r>
            <w:r>
              <w:rPr>
                <w:rFonts w:hint="default"/>
                <w:lang w:val="sk-SK"/>
              </w:rPr>
              <w:t xml:space="preserve"> financovanie zabezpeč</w:t>
            </w:r>
            <w:r>
              <w:rPr>
                <w:rFonts w:hint="default"/>
                <w:lang w:val="sk-SK"/>
              </w:rPr>
              <w:t>ené</w:t>
            </w:r>
            <w:r>
              <w:rPr>
                <w:rFonts w:hint="default"/>
                <w:lang w:val="sk-SK"/>
              </w:rPr>
              <w:t xml:space="preserve"> v </w:t>
            </w:r>
            <w:r>
              <w:rPr>
                <w:rFonts w:hint="default"/>
                <w:lang w:val="sk-SK"/>
              </w:rPr>
              <w:t>rozpoč</w:t>
            </w:r>
            <w:r>
              <w:rPr>
                <w:rFonts w:hint="default"/>
                <w:lang w:val="sk-SK"/>
              </w:rPr>
              <w:t>te</w:t>
            </w:r>
          </w:p>
          <w:p w:rsidR="00DD5D8C">
            <w:pPr>
              <w:bidi w:val="0"/>
              <w:spacing w:line="151" w:lineRule="atLeast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 xml:space="preserve">  MZ SR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1 2</w:t>
            </w:r>
            <w:r>
              <w:rPr>
                <w:lang w:val="sk-SK"/>
              </w:rPr>
              <w:t>20 044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  <w:tblLook w:val="04A0"/>
        </w:tblPrEx>
        <w:trPr>
          <w:trHeight w:val="552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135" w:lineRule="atLeast"/>
              <w:rPr>
                <w:rFonts w:hint="default"/>
                <w:lang w:val="sk-SK"/>
              </w:rPr>
            </w:pPr>
            <w:r>
              <w:rPr>
                <w:lang w:val="sk-SK"/>
              </w:rPr>
              <w:t> </w:t>
            </w:r>
            <w:r>
              <w:rPr>
                <w:rFonts w:hint="default"/>
                <w:lang w:val="sk-SK"/>
              </w:rPr>
              <w:t xml:space="preserve"> ostatné</w:t>
            </w:r>
            <w:r>
              <w:rPr>
                <w:rFonts w:hint="default"/>
                <w:lang w:val="sk-SK"/>
              </w:rPr>
              <w:t xml:space="preserve"> zdroje financovania transfer od ZP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3 908 000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vertAlign w:val="superscript"/>
                <w:lang w:val="sk-SK"/>
              </w:rPr>
            </w:pPr>
            <w:r>
              <w:rPr>
                <w:vertAlign w:val="superscript"/>
                <w:lang w:val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vertAlign w:val="superscript"/>
                <w:lang w:val="sk-SK"/>
              </w:rPr>
            </w:pPr>
            <w:r>
              <w:rPr>
                <w:vertAlign w:val="superscript"/>
                <w:lang w:val="sk-SK"/>
              </w:rPr>
              <w:t>0</w:t>
            </w:r>
          </w:p>
        </w:tc>
      </w:tr>
      <w:tr>
        <w:tblPrEx>
          <w:tblW w:w="9993" w:type="dxa"/>
          <w:tblCellMar>
            <w:left w:w="0" w:type="dxa"/>
            <w:right w:w="0" w:type="dxa"/>
          </w:tblCellMar>
          <w:tblLook w:val="04A0"/>
        </w:tblPrEx>
        <w:trPr>
          <w:trHeight w:val="552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70" w:lineRule="atLeast"/>
              <w:rPr>
                <w:lang w:val="sk-SK"/>
              </w:rPr>
            </w:pPr>
            <w:r>
              <w:rPr>
                <w:rFonts w:hint="default"/>
                <w:b/>
                <w:bCs/>
                <w:lang w:val="sk-SK"/>
              </w:rPr>
              <w:t>Rozpoč</w:t>
            </w:r>
            <w:r>
              <w:rPr>
                <w:rFonts w:hint="default"/>
                <w:b/>
                <w:bCs/>
                <w:lang w:val="sk-SK"/>
              </w:rPr>
              <w:t>tovo nekrytý</w:t>
            </w:r>
            <w:r>
              <w:rPr>
                <w:rFonts w:hint="default"/>
                <w:b/>
                <w:bCs/>
                <w:lang w:val="sk-SK"/>
              </w:rPr>
              <w:t xml:space="preserve"> vplyv / ú</w:t>
            </w:r>
            <w:r>
              <w:rPr>
                <w:rFonts w:hint="default"/>
                <w:b/>
                <w:bCs/>
                <w:lang w:val="sk-SK"/>
              </w:rPr>
              <w:t>spora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D5D8C">
            <w:pPr>
              <w:bidi w:val="0"/>
              <w:spacing w:line="276" w:lineRule="auto"/>
              <w:jc w:val="center"/>
              <w:rPr>
                <w:lang w:val="sk-SK"/>
              </w:rPr>
            </w:pPr>
            <w:r>
              <w:rPr>
                <w:lang w:val="sk-SK"/>
              </w:rPr>
              <w:t>0</w:t>
            </w:r>
          </w:p>
        </w:tc>
      </w:tr>
    </w:tbl>
    <w:p w:rsidR="00C35BB7" w:rsidP="003B585F">
      <w:pPr>
        <w:bidi w:val="0"/>
        <w:rPr>
          <w:b/>
          <w:bCs/>
          <w:lang w:val="sk-SK"/>
        </w:rPr>
      </w:pPr>
    </w:p>
    <w:p w:rsidR="00C35BB7" w:rsidP="003B585F">
      <w:pPr>
        <w:bidi w:val="0"/>
        <w:rPr>
          <w:b/>
          <w:bCs/>
          <w:lang w:val="sk-SK"/>
        </w:rPr>
      </w:pPr>
    </w:p>
    <w:p w:rsidR="00C35BB7" w:rsidP="003B585F">
      <w:pPr>
        <w:bidi w:val="0"/>
        <w:rPr>
          <w:b/>
          <w:bCs/>
          <w:lang w:val="sk-SK"/>
        </w:rPr>
      </w:pPr>
    </w:p>
    <w:p w:rsidR="00C35BB7" w:rsidP="003B585F">
      <w:pPr>
        <w:bidi w:val="0"/>
        <w:rPr>
          <w:b/>
          <w:bCs/>
          <w:lang w:val="sk-SK"/>
        </w:rPr>
      </w:pPr>
    </w:p>
    <w:p w:rsidR="00C35BB7" w:rsidP="003B585F">
      <w:pPr>
        <w:bidi w:val="0"/>
        <w:rPr>
          <w:b/>
          <w:bCs/>
          <w:lang w:val="sk-SK"/>
        </w:rPr>
      </w:pPr>
    </w:p>
    <w:p w:rsidR="00C35BB7" w:rsidP="003B585F">
      <w:pPr>
        <w:bidi w:val="0"/>
        <w:rPr>
          <w:b/>
          <w:bCs/>
          <w:lang w:val="sk-SK"/>
        </w:rPr>
      </w:pPr>
    </w:p>
    <w:p w:rsidR="003B585F" w:rsidRPr="00812649" w:rsidP="003B585F">
      <w:pPr>
        <w:bidi w:val="0"/>
        <w:rPr>
          <w:rFonts w:hint="default"/>
          <w:b/>
          <w:bCs/>
          <w:lang w:val="sk-SK"/>
        </w:rPr>
      </w:pPr>
      <w:r w:rsidRPr="00812649">
        <w:rPr>
          <w:b/>
          <w:bCs/>
          <w:lang w:val="sk-SK"/>
        </w:rPr>
        <w:t> </w:t>
      </w:r>
      <w:r w:rsidRPr="00812649">
        <w:rPr>
          <w:rFonts w:hint="default"/>
          <w:b/>
          <w:bCs/>
          <w:lang w:val="sk-SK"/>
        </w:rPr>
        <w:t>Ná</w:t>
      </w:r>
      <w:r w:rsidRPr="00812649">
        <w:rPr>
          <w:rFonts w:hint="default"/>
          <w:b/>
          <w:bCs/>
          <w:lang w:val="sk-SK"/>
        </w:rPr>
        <w:t>vrh na rieš</w:t>
      </w:r>
      <w:r w:rsidRPr="00812649">
        <w:rPr>
          <w:rFonts w:hint="default"/>
          <w:b/>
          <w:bCs/>
          <w:lang w:val="sk-SK"/>
        </w:rPr>
        <w:t>enie ú</w:t>
      </w:r>
      <w:r w:rsidRPr="00812649">
        <w:rPr>
          <w:rFonts w:hint="default"/>
          <w:b/>
          <w:bCs/>
          <w:lang w:val="sk-SK"/>
        </w:rPr>
        <w:t>bytku prí</w:t>
      </w:r>
      <w:r w:rsidRPr="00812649">
        <w:rPr>
          <w:rFonts w:hint="default"/>
          <w:b/>
          <w:bCs/>
          <w:lang w:val="sk-SK"/>
        </w:rPr>
        <w:t>jmov alebo zvýš</w:t>
      </w:r>
      <w:r w:rsidRPr="00812649">
        <w:rPr>
          <w:rFonts w:hint="default"/>
          <w:b/>
          <w:bCs/>
          <w:lang w:val="sk-SK"/>
        </w:rPr>
        <w:t>ený</w:t>
      </w:r>
      <w:r w:rsidRPr="00812649">
        <w:rPr>
          <w:rFonts w:hint="default"/>
          <w:b/>
          <w:bCs/>
          <w:lang w:val="sk-SK"/>
        </w:rPr>
        <w:t>ch vý</w:t>
      </w:r>
      <w:r w:rsidRPr="00812649">
        <w:rPr>
          <w:rFonts w:hint="default"/>
          <w:b/>
          <w:bCs/>
          <w:lang w:val="sk-SK"/>
        </w:rPr>
        <w:t>davkov podľ</w:t>
      </w:r>
      <w:r w:rsidRPr="00812649">
        <w:rPr>
          <w:rFonts w:hint="default"/>
          <w:b/>
          <w:bCs/>
          <w:lang w:val="sk-SK"/>
        </w:rPr>
        <w:t>a §</w:t>
      </w:r>
      <w:r w:rsidRPr="00812649">
        <w:rPr>
          <w:rFonts w:hint="default"/>
          <w:b/>
          <w:bCs/>
          <w:lang w:val="sk-SK"/>
        </w:rPr>
        <w:t xml:space="preserve"> 33 ods. 1 zá</w:t>
      </w:r>
      <w:r w:rsidRPr="00812649">
        <w:rPr>
          <w:rFonts w:hint="default"/>
          <w:b/>
          <w:bCs/>
          <w:lang w:val="sk-SK"/>
        </w:rPr>
        <w:t>kona č</w:t>
      </w:r>
      <w:r w:rsidRPr="00812649">
        <w:rPr>
          <w:rFonts w:hint="default"/>
          <w:b/>
          <w:bCs/>
          <w:lang w:val="sk-SK"/>
        </w:rPr>
        <w:t>. 523/2004 Z. z. o </w:t>
      </w:r>
      <w:r w:rsidRPr="00812649">
        <w:rPr>
          <w:rFonts w:hint="default"/>
          <w:b/>
          <w:bCs/>
          <w:lang w:val="sk-SK"/>
        </w:rPr>
        <w:t>rozpoč</w:t>
      </w:r>
      <w:r w:rsidRPr="00812649">
        <w:rPr>
          <w:rFonts w:hint="default"/>
          <w:b/>
          <w:bCs/>
          <w:lang w:val="sk-SK"/>
        </w:rPr>
        <w:t>tový</w:t>
      </w:r>
      <w:r w:rsidRPr="00812649">
        <w:rPr>
          <w:rFonts w:hint="default"/>
          <w:b/>
          <w:bCs/>
          <w:lang w:val="sk-SK"/>
        </w:rPr>
        <w:t>ch pravidlá</w:t>
      </w:r>
      <w:r w:rsidRPr="00812649">
        <w:rPr>
          <w:rFonts w:hint="default"/>
          <w:b/>
          <w:bCs/>
          <w:lang w:val="sk-SK"/>
        </w:rPr>
        <w:t>ch ver</w:t>
      </w:r>
      <w:r w:rsidRPr="00812649">
        <w:rPr>
          <w:rFonts w:hint="default"/>
          <w:b/>
          <w:bCs/>
          <w:lang w:val="sk-SK"/>
        </w:rPr>
        <w:t>ejnej sprá</w:t>
      </w:r>
      <w:r w:rsidRPr="00812649">
        <w:rPr>
          <w:rFonts w:hint="default"/>
          <w:b/>
          <w:bCs/>
          <w:lang w:val="sk-SK"/>
        </w:rPr>
        <w:t>vy:</w:t>
      </w:r>
    </w:p>
    <w:p w:rsidR="003B585F" w:rsidRPr="00812649" w:rsidP="003B585F">
      <w:pPr>
        <w:bidi w:val="0"/>
        <w:rPr>
          <w:lang w:val="sk-SK"/>
        </w:rPr>
      </w:pPr>
    </w:p>
    <w:p w:rsidR="003B585F" w:rsidP="001B2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3" w:color="000000"/>
        </w:pBdr>
        <w:bidi w:val="0"/>
        <w:rPr>
          <w:lang w:val="sk-SK"/>
        </w:rPr>
      </w:pPr>
      <w:r w:rsidRPr="00812649">
        <w:rPr>
          <w:rFonts w:hint="default"/>
          <w:color w:val="000000"/>
          <w:lang w:val="sk-SK"/>
        </w:rPr>
        <w:t>Zvýš</w:t>
      </w:r>
      <w:r w:rsidRPr="00812649">
        <w:rPr>
          <w:rFonts w:hint="default"/>
          <w:color w:val="000000"/>
          <w:lang w:val="sk-SK"/>
        </w:rPr>
        <w:t>ené</w:t>
      </w:r>
      <w:r w:rsidRPr="00812649">
        <w:rPr>
          <w:rFonts w:hint="default"/>
          <w:color w:val="000000"/>
          <w:lang w:val="sk-SK"/>
        </w:rPr>
        <w:t xml:space="preserve"> vý</w:t>
      </w:r>
      <w:r w:rsidRPr="00812649">
        <w:rPr>
          <w:rFonts w:hint="default"/>
          <w:color w:val="000000"/>
          <w:lang w:val="sk-SK"/>
        </w:rPr>
        <w:t>davky Ministerstva zdravotní</w:t>
      </w:r>
      <w:r w:rsidRPr="00812649">
        <w:rPr>
          <w:rFonts w:hint="default"/>
          <w:color w:val="000000"/>
          <w:lang w:val="sk-SK"/>
        </w:rPr>
        <w:t>ctva SR sú</w:t>
      </w:r>
      <w:r w:rsidRPr="00812649">
        <w:rPr>
          <w:rFonts w:hint="default"/>
          <w:color w:val="000000"/>
          <w:lang w:val="sk-SK"/>
        </w:rPr>
        <w:t>visiace s predlož</w:t>
      </w:r>
      <w:r w:rsidRPr="00812649">
        <w:rPr>
          <w:rFonts w:hint="default"/>
          <w:color w:val="000000"/>
          <w:lang w:val="sk-SK"/>
        </w:rPr>
        <w:t>ený</w:t>
      </w:r>
      <w:r w:rsidRPr="00812649">
        <w:rPr>
          <w:rFonts w:hint="default"/>
          <w:color w:val="000000"/>
          <w:lang w:val="sk-SK"/>
        </w:rPr>
        <w:t>m ná</w:t>
      </w:r>
      <w:r w:rsidRPr="00812649">
        <w:rPr>
          <w:rFonts w:hint="default"/>
          <w:color w:val="000000"/>
          <w:lang w:val="sk-SK"/>
        </w:rPr>
        <w:t>vrhom budú</w:t>
      </w:r>
      <w:r w:rsidRPr="00812649">
        <w:rPr>
          <w:rFonts w:hint="default"/>
          <w:color w:val="000000"/>
          <w:lang w:val="sk-SK"/>
        </w:rPr>
        <w:t xml:space="preserve"> zabezpeč</w:t>
      </w:r>
      <w:r w:rsidRPr="00812649">
        <w:rPr>
          <w:rFonts w:hint="default"/>
          <w:color w:val="000000"/>
          <w:lang w:val="sk-SK"/>
        </w:rPr>
        <w:t>ené</w:t>
      </w:r>
      <w:r w:rsidRPr="00812649">
        <w:rPr>
          <w:rFonts w:hint="default"/>
          <w:color w:val="000000"/>
          <w:lang w:val="sk-SK"/>
        </w:rPr>
        <w:t xml:space="preserve"> formou prí</w:t>
      </w:r>
      <w:r w:rsidRPr="00812649">
        <w:rPr>
          <w:rFonts w:hint="default"/>
          <w:color w:val="000000"/>
          <w:lang w:val="sk-SK"/>
        </w:rPr>
        <w:t>spevku zdravotný</w:t>
      </w:r>
      <w:r w:rsidRPr="00812649">
        <w:rPr>
          <w:rFonts w:hint="default"/>
          <w:color w:val="000000"/>
          <w:lang w:val="sk-SK"/>
        </w:rPr>
        <w:t>ch poisť</w:t>
      </w:r>
      <w:r w:rsidRPr="00812649">
        <w:rPr>
          <w:rFonts w:hint="default"/>
          <w:color w:val="000000"/>
          <w:lang w:val="sk-SK"/>
        </w:rPr>
        <w:t>ovní</w:t>
      </w:r>
      <w:r w:rsidRPr="00812649">
        <w:rPr>
          <w:rFonts w:hint="default"/>
          <w:color w:val="000000"/>
          <w:lang w:val="sk-SK"/>
        </w:rPr>
        <w:t xml:space="preserve"> </w:t>
      </w:r>
      <w:r w:rsidRPr="00812649">
        <w:rPr>
          <w:rFonts w:hint="default"/>
          <w:lang w:val="sk-SK"/>
        </w:rPr>
        <w:t>na sprá</w:t>
      </w:r>
      <w:r w:rsidRPr="00812649">
        <w:rPr>
          <w:rFonts w:hint="default"/>
          <w:lang w:val="sk-SK"/>
        </w:rPr>
        <w:t>vu ná</w:t>
      </w:r>
      <w:r w:rsidRPr="00812649">
        <w:rPr>
          <w:rFonts w:hint="default"/>
          <w:lang w:val="sk-SK"/>
        </w:rPr>
        <w:t>rodné</w:t>
      </w:r>
      <w:r w:rsidRPr="00812649">
        <w:rPr>
          <w:rFonts w:hint="default"/>
          <w:lang w:val="sk-SK"/>
        </w:rPr>
        <w:t>ho zdravotní</w:t>
      </w:r>
      <w:r w:rsidRPr="00812649">
        <w:rPr>
          <w:rFonts w:hint="default"/>
          <w:lang w:val="sk-SK"/>
        </w:rPr>
        <w:t>ckeho informač</w:t>
      </w:r>
      <w:r w:rsidRPr="00812649">
        <w:rPr>
          <w:rFonts w:hint="default"/>
          <w:lang w:val="sk-SK"/>
        </w:rPr>
        <w:t>né</w:t>
      </w:r>
      <w:r w:rsidRPr="00812649">
        <w:rPr>
          <w:rFonts w:hint="default"/>
          <w:lang w:val="sk-SK"/>
        </w:rPr>
        <w:t>ho systé</w:t>
      </w:r>
      <w:r w:rsidRPr="00812649">
        <w:rPr>
          <w:rFonts w:hint="default"/>
          <w:lang w:val="sk-SK"/>
        </w:rPr>
        <w:t>mu pouká</w:t>
      </w:r>
      <w:r w:rsidRPr="00812649">
        <w:rPr>
          <w:rFonts w:hint="default"/>
          <w:lang w:val="sk-SK"/>
        </w:rPr>
        <w:t>zaný</w:t>
      </w:r>
      <w:r w:rsidRPr="00812649">
        <w:rPr>
          <w:rFonts w:hint="default"/>
          <w:lang w:val="sk-SK"/>
        </w:rPr>
        <w:t>ch na úč</w:t>
      </w:r>
      <w:r w:rsidRPr="00812649">
        <w:rPr>
          <w:rFonts w:hint="default"/>
          <w:lang w:val="sk-SK"/>
        </w:rPr>
        <w:t>et ministerstva zdravotní</w:t>
      </w:r>
      <w:r w:rsidRPr="00812649">
        <w:rPr>
          <w:rFonts w:hint="default"/>
          <w:lang w:val="sk-SK"/>
        </w:rPr>
        <w:t>ctva vo v</w:t>
      </w:r>
      <w:r w:rsidRPr="00812649">
        <w:rPr>
          <w:rFonts w:hint="default"/>
          <w:lang w:val="sk-SK"/>
        </w:rPr>
        <w:t>ýš</w:t>
      </w:r>
      <w:r w:rsidRPr="00812649">
        <w:rPr>
          <w:rFonts w:hint="default"/>
          <w:lang w:val="sk-SK"/>
        </w:rPr>
        <w:t>ke 0, 27 % zo zá</w:t>
      </w:r>
      <w:r w:rsidRPr="00812649">
        <w:rPr>
          <w:rFonts w:hint="default"/>
          <w:lang w:val="sk-SK"/>
        </w:rPr>
        <w:t>kladu na jej urč</w:t>
      </w:r>
      <w:r w:rsidRPr="00812649">
        <w:rPr>
          <w:rFonts w:hint="default"/>
          <w:lang w:val="sk-SK"/>
        </w:rPr>
        <w:t>enie. Zá</w:t>
      </w:r>
      <w:r w:rsidRPr="00812649">
        <w:rPr>
          <w:rFonts w:hint="default"/>
          <w:lang w:val="sk-SK"/>
        </w:rPr>
        <w:t>kladom na urč</w:t>
      </w:r>
      <w:r w:rsidRPr="00812649">
        <w:rPr>
          <w:rFonts w:hint="default"/>
          <w:lang w:val="sk-SK"/>
        </w:rPr>
        <w:t>enie výš</w:t>
      </w:r>
      <w:r w:rsidRPr="00812649">
        <w:rPr>
          <w:rFonts w:hint="default"/>
          <w:lang w:val="sk-SK"/>
        </w:rPr>
        <w:t>ky prí</w:t>
      </w:r>
      <w:r w:rsidRPr="00812649">
        <w:rPr>
          <w:rFonts w:hint="default"/>
          <w:lang w:val="sk-SK"/>
        </w:rPr>
        <w:t>spevku je celková</w:t>
      </w:r>
      <w:r w:rsidRPr="00812649">
        <w:rPr>
          <w:rFonts w:hint="default"/>
          <w:lang w:val="sk-SK"/>
        </w:rPr>
        <w:t xml:space="preserve"> suma z roč</w:t>
      </w:r>
      <w:r w:rsidRPr="00812649">
        <w:rPr>
          <w:rFonts w:hint="default"/>
          <w:lang w:val="sk-SK"/>
        </w:rPr>
        <w:t>né</w:t>
      </w:r>
      <w:r w:rsidRPr="00812649">
        <w:rPr>
          <w:rFonts w:hint="default"/>
          <w:lang w:val="sk-SK"/>
        </w:rPr>
        <w:t>ho prerozdeľ</w:t>
      </w:r>
      <w:r w:rsidRPr="00812649">
        <w:rPr>
          <w:rFonts w:hint="default"/>
          <w:lang w:val="sk-SK"/>
        </w:rPr>
        <w:t>ovania poistné</w:t>
      </w:r>
      <w:r w:rsidRPr="00812649">
        <w:rPr>
          <w:rFonts w:hint="default"/>
          <w:lang w:val="sk-SK"/>
        </w:rPr>
        <w:t>ho (§</w:t>
      </w:r>
      <w:r w:rsidRPr="00812649">
        <w:rPr>
          <w:rFonts w:hint="default"/>
          <w:lang w:val="sk-SK"/>
        </w:rPr>
        <w:t xml:space="preserve"> 27a zá</w:t>
      </w:r>
      <w:r w:rsidRPr="00812649">
        <w:rPr>
          <w:rFonts w:hint="default"/>
          <w:lang w:val="sk-SK"/>
        </w:rPr>
        <w:t>kona č</w:t>
      </w:r>
      <w:r w:rsidRPr="00812649">
        <w:rPr>
          <w:rFonts w:hint="default"/>
          <w:lang w:val="sk-SK"/>
        </w:rPr>
        <w:t>. 580/2004 Z. z. v znení</w:t>
      </w:r>
      <w:r w:rsidRPr="00812649">
        <w:rPr>
          <w:rFonts w:hint="default"/>
          <w:lang w:val="sk-SK"/>
        </w:rPr>
        <w:t xml:space="preserve"> neskorší</w:t>
      </w:r>
      <w:r w:rsidRPr="00812649">
        <w:rPr>
          <w:rFonts w:hint="default"/>
          <w:lang w:val="sk-SK"/>
        </w:rPr>
        <w:t>ch predpisov) uvedená</w:t>
      </w:r>
      <w:r w:rsidRPr="00812649">
        <w:rPr>
          <w:rFonts w:hint="default"/>
          <w:lang w:val="sk-SK"/>
        </w:rPr>
        <w:t xml:space="preserve"> v rozhodnutí</w:t>
      </w:r>
      <w:r w:rsidRPr="00812649">
        <w:rPr>
          <w:rFonts w:hint="default"/>
          <w:lang w:val="sk-SK"/>
        </w:rPr>
        <w:t xml:space="preserve"> o roč</w:t>
      </w:r>
      <w:r w:rsidRPr="00812649">
        <w:rPr>
          <w:rFonts w:hint="default"/>
          <w:lang w:val="sk-SK"/>
        </w:rPr>
        <w:t>nom prerozdeľ</w:t>
      </w:r>
      <w:r w:rsidRPr="00812649">
        <w:rPr>
          <w:rFonts w:hint="default"/>
          <w:lang w:val="sk-SK"/>
        </w:rPr>
        <w:t>ovaní</w:t>
      </w:r>
      <w:r w:rsidRPr="00812649">
        <w:rPr>
          <w:rFonts w:hint="default"/>
          <w:lang w:val="sk-SK"/>
        </w:rPr>
        <w:t xml:space="preserve"> poistné</w:t>
      </w:r>
      <w:r w:rsidRPr="00812649">
        <w:rPr>
          <w:rFonts w:hint="default"/>
          <w:lang w:val="sk-SK"/>
        </w:rPr>
        <w:t>ho podľ</w:t>
      </w:r>
      <w:r w:rsidRPr="00812649">
        <w:rPr>
          <w:rFonts w:hint="default"/>
          <w:lang w:val="sk-SK"/>
        </w:rPr>
        <w:t>a osob</w:t>
      </w:r>
      <w:r w:rsidRPr="00812649">
        <w:rPr>
          <w:rFonts w:hint="default"/>
          <w:lang w:val="sk-SK"/>
        </w:rPr>
        <w:t>i</w:t>
      </w:r>
      <w:r w:rsidRPr="00812649">
        <w:rPr>
          <w:rFonts w:hint="default"/>
          <w:lang w:val="sk-SK"/>
        </w:rPr>
        <w:t>tné</w:t>
      </w:r>
      <w:r w:rsidRPr="00812649">
        <w:rPr>
          <w:rFonts w:hint="default"/>
          <w:lang w:val="sk-SK"/>
        </w:rPr>
        <w:t>ho prepisu</w:t>
      </w:r>
      <w:r w:rsidRPr="00812649" w:rsidR="00FE5E09">
        <w:rPr>
          <w:lang w:val="sk-SK"/>
        </w:rPr>
        <w:t xml:space="preserve"> </w:t>
      </w:r>
      <w:r w:rsidRPr="00812649">
        <w:rPr>
          <w:rFonts w:hint="default"/>
          <w:lang w:val="sk-SK"/>
        </w:rPr>
        <w:t>(§</w:t>
      </w:r>
      <w:r w:rsidRPr="00812649">
        <w:rPr>
          <w:rFonts w:hint="default"/>
          <w:lang w:val="sk-SK"/>
        </w:rPr>
        <w:t xml:space="preserve"> 27a ods. 5 zá</w:t>
      </w:r>
      <w:r w:rsidRPr="00812649">
        <w:rPr>
          <w:rFonts w:hint="default"/>
          <w:lang w:val="sk-SK"/>
        </w:rPr>
        <w:t>kona č</w:t>
      </w:r>
      <w:r w:rsidRPr="00812649">
        <w:rPr>
          <w:rFonts w:hint="default"/>
          <w:lang w:val="sk-SK"/>
        </w:rPr>
        <w:t>. 580/2004 Z. z. v znení</w:t>
      </w:r>
      <w:r w:rsidRPr="00812649">
        <w:rPr>
          <w:rFonts w:hint="default"/>
          <w:lang w:val="sk-SK"/>
        </w:rPr>
        <w:t xml:space="preserve"> neskorší</w:t>
      </w:r>
      <w:r w:rsidRPr="00812649">
        <w:rPr>
          <w:rFonts w:hint="default"/>
          <w:lang w:val="sk-SK"/>
        </w:rPr>
        <w:t>ch predpisov).</w:t>
      </w:r>
      <w:r w:rsidR="001B24DA">
        <w:rPr>
          <w:lang w:val="sk-SK"/>
        </w:rPr>
        <w:t xml:space="preserve"> </w:t>
      </w:r>
    </w:p>
    <w:p w:rsidR="001B24DA" w:rsidRPr="00812649" w:rsidP="001B24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3" w:color="000000"/>
        </w:pBdr>
        <w:bidi w:val="0"/>
        <w:rPr>
          <w:color w:val="000000"/>
          <w:lang w:val="sk-SK"/>
        </w:rPr>
      </w:pPr>
    </w:p>
    <w:p w:rsidR="001B24DA" w:rsidP="003B585F">
      <w:pPr>
        <w:bidi w:val="0"/>
        <w:rPr>
          <w:b/>
          <w:bCs/>
          <w:lang w:val="sk-SK"/>
        </w:rPr>
      </w:pPr>
    </w:p>
    <w:tbl>
      <w:tblPr>
        <w:tblStyle w:val="TableNormal"/>
        <w:tblW w:w="9555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3580"/>
        <w:gridCol w:w="1733"/>
        <w:gridCol w:w="4242"/>
      </w:tblGrid>
      <w:tr>
        <w:tblPrEx>
          <w:tblW w:w="9555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</w:tcPr>
          <w:p w:rsidR="001B24DA" w:rsidP="00551E0C">
            <w:pPr>
              <w:bidi w:val="0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  <w:p w:rsidR="001B24DA" w:rsidP="00551E0C">
            <w:pPr>
              <w:bidi w:val="0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  <w:p w:rsidR="001B24DA" w:rsidRPr="00663C71" w:rsidP="00551E0C">
            <w:pPr>
              <w:bidi w:val="0"/>
              <w:jc w:val="both"/>
              <w:rPr>
                <w:rFonts w:hint="default"/>
              </w:rPr>
            </w:pPr>
            <w:r w:rsidRPr="00663C71">
              <w:rPr>
                <w:rFonts w:hint="default"/>
              </w:rPr>
              <w:t>1.Výš</w:t>
            </w:r>
            <w:r w:rsidRPr="00663C71">
              <w:rPr>
                <w:rFonts w:hint="default"/>
              </w:rPr>
              <w:t>ka prí</w:t>
            </w:r>
            <w:r w:rsidRPr="00663C71">
              <w:rPr>
                <w:rFonts w:hint="default"/>
              </w:rPr>
              <w:t>spevku pre NZIS v </w:t>
            </w:r>
            <w:r w:rsidRPr="00663C71">
              <w:rPr>
                <w:rFonts w:hint="default"/>
              </w:rPr>
              <w:t>ná</w:t>
            </w:r>
            <w:r w:rsidRPr="00663C71">
              <w:rPr>
                <w:rFonts w:hint="default"/>
              </w:rPr>
              <w:t>vrhu zá</w:t>
            </w:r>
            <w:r w:rsidRPr="00663C71">
              <w:rPr>
                <w:rFonts w:hint="default"/>
              </w:rPr>
              <w:t>kona je vypočí</w:t>
            </w:r>
            <w:r w:rsidRPr="00663C71">
              <w:rPr>
                <w:rFonts w:hint="default"/>
              </w:rPr>
              <w:t>taná</w:t>
            </w:r>
            <w:r w:rsidRPr="00663C71">
              <w:rPr>
                <w:rFonts w:hint="default"/>
              </w:rPr>
              <w:t xml:space="preserve"> z </w:t>
            </w:r>
            <w:r w:rsidRPr="00663C71">
              <w:rPr>
                <w:rFonts w:hint="default"/>
              </w:rPr>
              <w:t>podkladov, ktoré</w:t>
            </w:r>
            <w:r w:rsidRPr="00663C71">
              <w:rPr>
                <w:rFonts w:hint="default"/>
              </w:rPr>
              <w:t xml:space="preserve"> Ministerstvo zdravotní</w:t>
            </w:r>
            <w:r w:rsidRPr="00663C71">
              <w:rPr>
                <w:rFonts w:hint="default"/>
              </w:rPr>
              <w:t>ctva SR vypočí</w:t>
            </w:r>
            <w:r w:rsidRPr="00663C71">
              <w:rPr>
                <w:rFonts w:hint="default"/>
              </w:rPr>
              <w:t>talo z </w:t>
            </w:r>
            <w:r w:rsidRPr="00663C71">
              <w:rPr>
                <w:rFonts w:hint="default"/>
              </w:rPr>
              <w:t>predbež</w:t>
            </w:r>
            <w:r w:rsidRPr="00663C71">
              <w:rPr>
                <w:rFonts w:hint="default"/>
              </w:rPr>
              <w:t>ný</w:t>
            </w:r>
            <w:r w:rsidRPr="00663C71">
              <w:rPr>
                <w:rFonts w:hint="default"/>
              </w:rPr>
              <w:t>ch ú</w:t>
            </w:r>
            <w:r w:rsidRPr="00663C71">
              <w:rPr>
                <w:rFonts w:hint="default"/>
              </w:rPr>
              <w:t>dajov od jednotlivý</w:t>
            </w:r>
            <w:r w:rsidRPr="00663C71">
              <w:rPr>
                <w:rFonts w:hint="default"/>
              </w:rPr>
              <w:t>ch zdravotný</w:t>
            </w:r>
            <w:r w:rsidRPr="00663C71">
              <w:rPr>
                <w:rFonts w:hint="default"/>
              </w:rPr>
              <w:t>ch p</w:t>
            </w:r>
            <w:r w:rsidRPr="00663C71">
              <w:rPr>
                <w:rFonts w:hint="default"/>
              </w:rPr>
              <w:t>oisť</w:t>
            </w:r>
            <w:r w:rsidRPr="00663C71">
              <w:rPr>
                <w:rFonts w:hint="default"/>
              </w:rPr>
              <w:t>ovní</w:t>
            </w:r>
            <w:r w:rsidRPr="00663C71">
              <w:rPr>
                <w:rFonts w:hint="default"/>
              </w:rPr>
              <w:t xml:space="preserve"> .</w:t>
            </w:r>
          </w:p>
          <w:p w:rsidR="001B24DA" w:rsidRPr="00663C71" w:rsidP="00551E0C">
            <w:pPr>
              <w:bidi w:val="0"/>
              <w:jc w:val="both"/>
              <w:rPr>
                <w:rFonts w:hint="default"/>
              </w:rPr>
            </w:pPr>
            <w:r w:rsidRPr="00663C71">
              <w:rPr>
                <w:rFonts w:hint="default"/>
              </w:rPr>
              <w:t>Zá</w:t>
            </w:r>
            <w:r w:rsidRPr="00663C71">
              <w:rPr>
                <w:rFonts w:hint="default"/>
              </w:rPr>
              <w:t>kladom pre vý</w:t>
            </w:r>
            <w:r w:rsidRPr="00663C71">
              <w:rPr>
                <w:rFonts w:hint="default"/>
              </w:rPr>
              <w:t>poč</w:t>
            </w:r>
            <w:r w:rsidRPr="00663C71">
              <w:rPr>
                <w:rFonts w:hint="default"/>
              </w:rPr>
              <w:t>et bola celková</w:t>
            </w:r>
            <w:r w:rsidRPr="00663C71">
              <w:rPr>
                <w:rFonts w:hint="default"/>
              </w:rPr>
              <w:t xml:space="preserve"> suma z </w:t>
            </w:r>
            <w:r w:rsidRPr="00663C71">
              <w:rPr>
                <w:rFonts w:hint="default"/>
              </w:rPr>
              <w:t>predpokladané</w:t>
            </w:r>
            <w:r w:rsidRPr="00663C71">
              <w:rPr>
                <w:rFonts w:hint="default"/>
              </w:rPr>
              <w:t>ho vý</w:t>
            </w:r>
            <w:r w:rsidRPr="00663C71">
              <w:rPr>
                <w:rFonts w:hint="default"/>
              </w:rPr>
              <w:t>sledku roč</w:t>
            </w:r>
            <w:r w:rsidRPr="00663C71">
              <w:rPr>
                <w:rFonts w:hint="default"/>
              </w:rPr>
              <w:t>né</w:t>
            </w:r>
            <w:r w:rsidRPr="00663C71">
              <w:rPr>
                <w:rFonts w:hint="default"/>
              </w:rPr>
              <w:t>ho prerozdeľ</w:t>
            </w:r>
            <w:r w:rsidRPr="00663C71">
              <w:rPr>
                <w:rFonts w:hint="default"/>
              </w:rPr>
              <w:t>ovania podľ</w:t>
            </w:r>
            <w:r w:rsidRPr="00663C71">
              <w:rPr>
                <w:rFonts w:hint="default"/>
              </w:rPr>
              <w:t>a §</w:t>
            </w:r>
            <w:r w:rsidRPr="00663C71">
              <w:rPr>
                <w:rFonts w:hint="default"/>
              </w:rPr>
              <w:t xml:space="preserve"> 27a ods. 5 zá</w:t>
            </w:r>
            <w:r w:rsidRPr="00663C71">
              <w:rPr>
                <w:rFonts w:hint="default"/>
              </w:rPr>
              <w:t>kona č</w:t>
            </w:r>
            <w:r w:rsidRPr="00663C71">
              <w:rPr>
                <w:rFonts w:hint="default"/>
              </w:rPr>
              <w:t>. 581/2004 Z. z. o </w:t>
            </w:r>
            <w:r w:rsidRPr="00663C71">
              <w:rPr>
                <w:rFonts w:hint="default"/>
              </w:rPr>
              <w:t>zdravotný</w:t>
            </w:r>
            <w:r w:rsidRPr="00663C71">
              <w:rPr>
                <w:rFonts w:hint="default"/>
              </w:rPr>
              <w:t>ch poisť</w:t>
            </w:r>
            <w:r w:rsidRPr="00663C71">
              <w:rPr>
                <w:rFonts w:hint="default"/>
              </w:rPr>
              <w:t>ovniach.</w:t>
            </w:r>
          </w:p>
          <w:p w:rsidR="001B24DA" w:rsidRPr="00663C71" w:rsidP="00551E0C">
            <w:pPr>
              <w:bidi w:val="0"/>
              <w:jc w:val="both"/>
              <w:rPr>
                <w:rFonts w:hint="default"/>
              </w:rPr>
            </w:pPr>
            <w:r w:rsidRPr="00663C71">
              <w:rPr>
                <w:rFonts w:hint="default"/>
              </w:rPr>
              <w:t>Vý</w:t>
            </w:r>
            <w:r w:rsidRPr="00663C71">
              <w:rPr>
                <w:rFonts w:hint="default"/>
              </w:rPr>
              <w:t>poč</w:t>
            </w:r>
            <w:r w:rsidRPr="00663C71">
              <w:rPr>
                <w:rFonts w:hint="default"/>
              </w:rPr>
              <w:t>et bol vykonaný</w:t>
            </w:r>
            <w:r w:rsidRPr="00663C71">
              <w:rPr>
                <w:rFonts w:hint="default"/>
              </w:rPr>
              <w:t xml:space="preserve"> podľ</w:t>
            </w:r>
            <w:r w:rsidRPr="00663C71">
              <w:rPr>
                <w:rFonts w:hint="default"/>
              </w:rPr>
              <w:t>a zdravotný</w:t>
            </w:r>
            <w:r w:rsidRPr="00663C71">
              <w:rPr>
                <w:rFonts w:hint="default"/>
              </w:rPr>
              <w:t>ch poisť</w:t>
            </w:r>
            <w:r w:rsidRPr="00663C71">
              <w:rPr>
                <w:rFonts w:hint="default"/>
              </w:rPr>
              <w:t>ovní</w:t>
            </w:r>
            <w:r w:rsidRPr="00663C71">
              <w:rPr>
                <w:rFonts w:hint="default"/>
              </w:rPr>
              <w:t xml:space="preserve"> a </w:t>
            </w:r>
            <w:r w:rsidRPr="00663C71">
              <w:rPr>
                <w:rFonts w:hint="default"/>
              </w:rPr>
              <w:t>zaokrú</w:t>
            </w:r>
            <w:r w:rsidRPr="00663C71">
              <w:rPr>
                <w:rFonts w:hint="default"/>
              </w:rPr>
              <w:t>hlene predstavuje predpokl</w:t>
            </w:r>
            <w:r w:rsidRPr="00663C71">
              <w:rPr>
                <w:rFonts w:hint="default"/>
              </w:rPr>
              <w:t>adanú</w:t>
            </w:r>
            <w:r w:rsidRPr="00663C71">
              <w:rPr>
                <w:rFonts w:hint="default"/>
              </w:rPr>
              <w:t xml:space="preserve"> sumu 9 </w:t>
            </w:r>
            <w:r w:rsidRPr="00663C71">
              <w:rPr>
                <w:rFonts w:hint="default"/>
              </w:rPr>
              <w:t>378 000 EUR  na rok  (viď</w:t>
            </w:r>
            <w:r w:rsidRPr="00663C71">
              <w:rPr>
                <w:rFonts w:hint="default"/>
              </w:rPr>
              <w:t>.: Tabuľ</w:t>
            </w:r>
            <w:r w:rsidRPr="00663C71">
              <w:rPr>
                <w:rFonts w:hint="default"/>
              </w:rPr>
              <w:t>ka č</w:t>
            </w:r>
            <w:r w:rsidRPr="00663C71">
              <w:rPr>
                <w:rFonts w:hint="default"/>
              </w:rPr>
              <w:t>.1)</w:t>
            </w:r>
          </w:p>
          <w:p w:rsidR="001B24DA" w:rsidP="00551E0C">
            <w:pPr>
              <w:bidi w:val="0"/>
              <w:rPr>
                <w:rFonts w:ascii="Arial" w:hAnsi="Arial" w:cs="Arial"/>
                <w:sz w:val="18"/>
                <w:szCs w:val="18"/>
                <w:lang w:eastAsia="sk-SK"/>
              </w:rPr>
            </w:pPr>
          </w:p>
          <w:p w:rsidR="001B24DA" w:rsidRPr="00722B3B" w:rsidP="00551E0C">
            <w:pPr>
              <w:bidi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 w:hint="default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Tabuľ</w:t>
            </w:r>
            <w:r>
              <w:rPr>
                <w:rFonts w:ascii="Arial" w:hAnsi="Arial" w:cs="Arial" w:hint="default"/>
                <w:sz w:val="18"/>
                <w:szCs w:val="18"/>
                <w:lang w:eastAsia="sk-SK"/>
              </w:rPr>
              <w:t>ka č</w:t>
            </w:r>
            <w:r>
              <w:rPr>
                <w:rFonts w:ascii="Arial" w:hAnsi="Arial" w:cs="Arial" w:hint="default"/>
                <w:sz w:val="18"/>
                <w:szCs w:val="18"/>
                <w:lang w:eastAsia="sk-SK"/>
              </w:rPr>
              <w:t>. 1</w:t>
            </w:r>
          </w:p>
        </w:tc>
      </w:tr>
      <w:tr>
        <w:tblPrEx>
          <w:tblW w:w="9555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center"/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Zdravotné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 xml:space="preserve"> poisť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ovne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center"/>
              <w:rPr>
                <w:rFonts w:ascii="Arial" w:hAnsi="Arial" w:cs="Arial" w:hint="default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 w:hint="default"/>
                <w:sz w:val="16"/>
                <w:szCs w:val="16"/>
                <w:lang w:eastAsia="sk-SK"/>
              </w:rPr>
              <w:t>Zá</w:t>
            </w:r>
            <w:r w:rsidRPr="00722B3B">
              <w:rPr>
                <w:rFonts w:ascii="Arial" w:hAnsi="Arial" w:cs="Arial" w:hint="default"/>
                <w:sz w:val="16"/>
                <w:szCs w:val="16"/>
                <w:lang w:eastAsia="sk-SK"/>
              </w:rPr>
              <w:t>klad pre vý</w:t>
            </w:r>
            <w:r w:rsidRPr="00722B3B">
              <w:rPr>
                <w:rFonts w:ascii="Arial" w:hAnsi="Arial" w:cs="Arial" w:hint="default"/>
                <w:sz w:val="16"/>
                <w:szCs w:val="16"/>
                <w:lang w:eastAsia="sk-SK"/>
              </w:rPr>
              <w:t>poč</w:t>
            </w:r>
            <w:r w:rsidRPr="00722B3B">
              <w:rPr>
                <w:rFonts w:ascii="Arial" w:hAnsi="Arial" w:cs="Arial" w:hint="default"/>
                <w:sz w:val="16"/>
                <w:szCs w:val="16"/>
                <w:lang w:eastAsia="sk-SK"/>
              </w:rPr>
              <w:t>et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 w:hint="default"/>
                <w:sz w:val="16"/>
                <w:szCs w:val="16"/>
                <w:lang w:eastAsia="sk-SK"/>
              </w:rPr>
              <w:t>prí</w:t>
            </w:r>
            <w:r w:rsidRPr="00722B3B">
              <w:rPr>
                <w:rFonts w:ascii="Arial" w:hAnsi="Arial" w:cs="Arial" w:hint="default"/>
                <w:sz w:val="16"/>
                <w:szCs w:val="16"/>
                <w:lang w:eastAsia="sk-SK"/>
              </w:rPr>
              <w:t>spevok pre NZIS</w:t>
            </w:r>
            <w:r>
              <w:rPr>
                <w:rFonts w:ascii="Arial" w:hAnsi="Arial" w:cs="Arial" w:hint="default"/>
                <w:sz w:val="16"/>
                <w:szCs w:val="16"/>
                <w:lang w:eastAsia="sk-SK"/>
              </w:rPr>
              <w:t xml:space="preserve"> 0,27% zo zá</w:t>
            </w:r>
            <w:r>
              <w:rPr>
                <w:rFonts w:ascii="Arial" w:hAnsi="Arial" w:cs="Arial" w:hint="default"/>
                <w:sz w:val="16"/>
                <w:szCs w:val="16"/>
                <w:lang w:eastAsia="sk-SK"/>
              </w:rPr>
              <w:t>kl</w:t>
            </w:r>
            <w:r>
              <w:rPr>
                <w:rFonts w:ascii="Arial" w:hAnsi="Arial" w:cs="Arial" w:hint="default"/>
                <w:sz w:val="16"/>
                <w:szCs w:val="16"/>
                <w:lang w:eastAsia="sk-SK"/>
              </w:rPr>
              <w:t>adu</w:t>
            </w:r>
          </w:p>
        </w:tc>
      </w:tr>
      <w:tr>
        <w:tblPrEx>
          <w:tblW w:w="9555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1B24DA" w:rsidRPr="00722B3B" w:rsidP="00551E0C">
            <w:pPr>
              <w:bidi w:val="0"/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Vš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eobecná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 xml:space="preserve"> zdravotná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 xml:space="preserve"> poisť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ovň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a, a.s.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2 435 851 482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6 576 799,00</w:t>
            </w:r>
          </w:p>
        </w:tc>
      </w:tr>
      <w:tr>
        <w:tblPrEx>
          <w:tblW w:w="9555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1B24DA" w:rsidRPr="00722B3B" w:rsidP="00551E0C">
            <w:pPr>
              <w:bidi w:val="0"/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Dô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vera zdravotná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 xml:space="preserve"> poisť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ovň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a, a.s.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838 900 116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2 265 030,31</w:t>
            </w:r>
          </w:p>
        </w:tc>
      </w:tr>
      <w:tr>
        <w:tblPrEx>
          <w:tblW w:w="9555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1B24DA" w:rsidRPr="00722B3B" w:rsidP="00551E0C">
            <w:pPr>
              <w:bidi w:val="0"/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Union zdravotná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 xml:space="preserve"> poisť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ovň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a, a.s.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198 529 467</w:t>
            </w: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536 029,56</w:t>
            </w:r>
          </w:p>
        </w:tc>
      </w:tr>
      <w:tr>
        <w:tblPrEx>
          <w:tblW w:w="9555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722B3B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3 473 281 065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9 377 858,88</w:t>
            </w:r>
          </w:p>
        </w:tc>
      </w:tr>
    </w:tbl>
    <w:p w:rsidR="001B24DA" w:rsidP="001B24DA">
      <w:pPr>
        <w:bidi w:val="0"/>
      </w:pPr>
    </w:p>
    <w:p w:rsidR="001B24DA" w:rsidP="001B24DA">
      <w:pPr>
        <w:bidi w:val="0"/>
      </w:pPr>
    </w:p>
    <w:p w:rsidR="001B24DA" w:rsidP="001B24DA">
      <w:pPr>
        <w:bidi w:val="0"/>
        <w:rPr>
          <w:rFonts w:hint="default"/>
        </w:rPr>
      </w:pPr>
      <w:r>
        <w:rPr>
          <w:rFonts w:hint="default"/>
        </w:rPr>
        <w:t>2. Výš</w:t>
      </w:r>
      <w:r>
        <w:rPr>
          <w:rFonts w:hint="default"/>
        </w:rPr>
        <w:t>ka prí</w:t>
      </w:r>
      <w:r>
        <w:rPr>
          <w:rFonts w:hint="default"/>
        </w:rPr>
        <w:t>spevku pre NZIS v </w:t>
      </w:r>
      <w:r>
        <w:rPr>
          <w:rFonts w:hint="default"/>
        </w:rPr>
        <w:t>ná</w:t>
      </w:r>
      <w:r>
        <w:rPr>
          <w:rFonts w:hint="default"/>
        </w:rPr>
        <w:t>vrhu zá</w:t>
      </w:r>
      <w:r>
        <w:rPr>
          <w:rFonts w:hint="default"/>
        </w:rPr>
        <w:t>k</w:t>
      </w:r>
      <w:r>
        <w:rPr>
          <w:rFonts w:hint="default"/>
        </w:rPr>
        <w:t>ona je vypočí</w:t>
      </w:r>
      <w:r>
        <w:rPr>
          <w:rFonts w:hint="default"/>
        </w:rPr>
        <w:t>taná</w:t>
      </w:r>
      <w:r>
        <w:rPr>
          <w:rFonts w:hint="default"/>
        </w:rPr>
        <w:t xml:space="preserve"> z </w:t>
      </w:r>
      <w:r>
        <w:rPr>
          <w:rFonts w:hint="default"/>
        </w:rPr>
        <w:t>podkladov, ktoré</w:t>
      </w:r>
      <w:r>
        <w:rPr>
          <w:rFonts w:hint="default"/>
        </w:rPr>
        <w:t xml:space="preserve"> vypočí</w:t>
      </w:r>
      <w:r>
        <w:rPr>
          <w:rFonts w:hint="default"/>
        </w:rPr>
        <w:t>tal Ú</w:t>
      </w:r>
      <w:r>
        <w:rPr>
          <w:rFonts w:hint="default"/>
        </w:rPr>
        <w:t>rad pre dohľ</w:t>
      </w:r>
      <w:r>
        <w:rPr>
          <w:rFonts w:hint="default"/>
        </w:rPr>
        <w:t>ad nad zdravotnou starostlivosť</w:t>
      </w:r>
      <w:r>
        <w:rPr>
          <w:rFonts w:hint="default"/>
        </w:rPr>
        <w:t>ou podľ</w:t>
      </w:r>
      <w:r>
        <w:rPr>
          <w:rFonts w:hint="default"/>
        </w:rPr>
        <w:t>a §</w:t>
      </w:r>
      <w:r>
        <w:rPr>
          <w:rFonts w:hint="default"/>
        </w:rPr>
        <w:t xml:space="preserve"> 18 ods. 9 zá</w:t>
      </w:r>
      <w:r>
        <w:rPr>
          <w:rFonts w:hint="default"/>
        </w:rPr>
        <w:t>kona č</w:t>
      </w:r>
      <w:r>
        <w:rPr>
          <w:rFonts w:hint="default"/>
        </w:rPr>
        <w:t>. 581/2004 Z. z. o </w:t>
      </w:r>
      <w:r>
        <w:rPr>
          <w:rFonts w:hint="default"/>
        </w:rPr>
        <w:t>zdravotný</w:t>
      </w:r>
      <w:r>
        <w:rPr>
          <w:rFonts w:hint="default"/>
        </w:rPr>
        <w:t>ch poisť</w:t>
      </w:r>
      <w:r>
        <w:rPr>
          <w:rFonts w:hint="default"/>
        </w:rPr>
        <w:t>ovniach.</w:t>
      </w:r>
    </w:p>
    <w:p w:rsidR="001B24DA" w:rsidP="001B24DA">
      <w:pPr>
        <w:bidi w:val="0"/>
        <w:rPr>
          <w:rFonts w:hint="default"/>
        </w:rPr>
      </w:pPr>
      <w:r>
        <w:rPr>
          <w:rFonts w:hint="default"/>
        </w:rPr>
        <w:t>Zá</w:t>
      </w:r>
      <w:r>
        <w:rPr>
          <w:rFonts w:hint="default"/>
        </w:rPr>
        <w:t>kladom pre vý</w:t>
      </w:r>
      <w:r>
        <w:rPr>
          <w:rFonts w:hint="default"/>
        </w:rPr>
        <w:t>poč</w:t>
      </w:r>
      <w:r>
        <w:rPr>
          <w:rFonts w:hint="default"/>
        </w:rPr>
        <w:t>et bola  celková</w:t>
      </w:r>
      <w:r>
        <w:rPr>
          <w:rFonts w:hint="default"/>
        </w:rPr>
        <w:t xml:space="preserve"> suma z </w:t>
      </w:r>
      <w:r>
        <w:rPr>
          <w:rFonts w:hint="default"/>
        </w:rPr>
        <w:t>roč</w:t>
      </w:r>
      <w:r>
        <w:rPr>
          <w:rFonts w:hint="default"/>
        </w:rPr>
        <w:t>né</w:t>
      </w:r>
      <w:r>
        <w:rPr>
          <w:rFonts w:hint="default"/>
        </w:rPr>
        <w:t>ho prerozdeľ</w:t>
      </w:r>
      <w:r>
        <w:rPr>
          <w:rFonts w:hint="default"/>
        </w:rPr>
        <w:t>ovania podľ</w:t>
      </w:r>
      <w:r>
        <w:rPr>
          <w:rFonts w:hint="default"/>
        </w:rPr>
        <w:t>a §</w:t>
      </w:r>
      <w:r>
        <w:rPr>
          <w:rFonts w:hint="default"/>
        </w:rPr>
        <w:t xml:space="preserve"> 27a ods. 5 zá</w:t>
      </w:r>
      <w:r>
        <w:rPr>
          <w:rFonts w:hint="default"/>
        </w:rPr>
        <w:t>kona</w:t>
      </w:r>
      <w:r>
        <w:rPr>
          <w:rFonts w:hint="default"/>
        </w:rPr>
        <w:t xml:space="preserve"> č</w:t>
      </w:r>
      <w:r>
        <w:rPr>
          <w:rFonts w:hint="default"/>
        </w:rPr>
        <w:t>. 581/2004 Z. z. o </w:t>
      </w:r>
      <w:r>
        <w:rPr>
          <w:rFonts w:hint="default"/>
        </w:rPr>
        <w:t>zdravotný</w:t>
      </w:r>
      <w:r>
        <w:rPr>
          <w:rFonts w:hint="default"/>
        </w:rPr>
        <w:t>ch poisť</w:t>
      </w:r>
      <w:r>
        <w:rPr>
          <w:rFonts w:hint="default"/>
        </w:rPr>
        <w:t>ovniach.</w:t>
      </w:r>
    </w:p>
    <w:p w:rsidR="001B24DA" w:rsidP="001B24DA">
      <w:pPr>
        <w:bidi w:val="0"/>
        <w:rPr>
          <w:rFonts w:hint="default"/>
        </w:rPr>
      </w:pPr>
      <w:r>
        <w:rPr>
          <w:rFonts w:hint="default"/>
        </w:rPr>
        <w:t>Vý</w:t>
      </w:r>
      <w:r>
        <w:rPr>
          <w:rFonts w:hint="default"/>
        </w:rPr>
        <w:t>poč</w:t>
      </w:r>
      <w:r>
        <w:rPr>
          <w:rFonts w:hint="default"/>
        </w:rPr>
        <w:t>et bol vykonaný</w:t>
      </w:r>
      <w:r>
        <w:rPr>
          <w:rFonts w:hint="default"/>
        </w:rPr>
        <w:t xml:space="preserve"> podľ</w:t>
      </w:r>
      <w:r>
        <w:rPr>
          <w:rFonts w:hint="default"/>
        </w:rPr>
        <w:t>a zdravotný</w:t>
      </w:r>
      <w:r>
        <w:rPr>
          <w:rFonts w:hint="default"/>
        </w:rPr>
        <w:t>ch poisť</w:t>
      </w:r>
      <w:r>
        <w:rPr>
          <w:rFonts w:hint="default"/>
        </w:rPr>
        <w:t>ovní</w:t>
      </w:r>
      <w:r>
        <w:rPr>
          <w:rFonts w:hint="default"/>
        </w:rPr>
        <w:t xml:space="preserve"> a </w:t>
      </w:r>
      <w:r>
        <w:rPr>
          <w:rFonts w:hint="default"/>
        </w:rPr>
        <w:t>zaokrú</w:t>
      </w:r>
      <w:r>
        <w:rPr>
          <w:rFonts w:hint="default"/>
        </w:rPr>
        <w:t>hlene predstavuje sumu 9 500 </w:t>
      </w:r>
      <w:r>
        <w:rPr>
          <w:rFonts w:hint="default"/>
        </w:rPr>
        <w:t>000 EUR  na rok uvedenú</w:t>
      </w:r>
      <w:r>
        <w:rPr>
          <w:rFonts w:hint="default"/>
        </w:rPr>
        <w:t xml:space="preserve"> v </w:t>
      </w:r>
      <w:r>
        <w:rPr>
          <w:rFonts w:hint="default"/>
        </w:rPr>
        <w:t>ná</w:t>
      </w:r>
      <w:r>
        <w:rPr>
          <w:rFonts w:hint="default"/>
        </w:rPr>
        <w:t>vrhu zá</w:t>
      </w:r>
      <w:r>
        <w:rPr>
          <w:rFonts w:hint="default"/>
        </w:rPr>
        <w:t>kona (viď</w:t>
      </w:r>
      <w:r>
        <w:rPr>
          <w:rFonts w:hint="default"/>
        </w:rPr>
        <w:t>.: Tabuľ</w:t>
      </w:r>
      <w:r>
        <w:rPr>
          <w:rFonts w:hint="default"/>
        </w:rPr>
        <w:t>ka č</w:t>
      </w:r>
      <w:r>
        <w:rPr>
          <w:rFonts w:hint="default"/>
        </w:rPr>
        <w:t>. 2).</w:t>
      </w:r>
    </w:p>
    <w:p w:rsidR="001B24DA" w:rsidP="001B24DA">
      <w:pPr>
        <w:bidi w:val="0"/>
        <w:rPr>
          <w:rFonts w:hint="default"/>
        </w:rPr>
      </w:pPr>
    </w:p>
    <w:tbl>
      <w:tblPr>
        <w:tblStyle w:val="TableNormal"/>
        <w:tblW w:w="9582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4845"/>
        <w:gridCol w:w="2345"/>
        <w:gridCol w:w="2392"/>
      </w:tblGrid>
      <w:tr>
        <w:tblPrEx>
          <w:tblW w:w="9582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254"/>
        </w:trPr>
        <w:tc>
          <w:tcPr>
            <w:tcW w:w="9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lrTb"/>
            <w:vAlign w:val="bottom"/>
          </w:tcPr>
          <w:p w:rsidR="001B24DA" w:rsidP="00551E0C">
            <w:pPr>
              <w:bidi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722B3B">
              <w:rPr>
                <w:rFonts w:ascii="Arial" w:hAnsi="Arial" w:cs="Arial" w:hint="default"/>
                <w:sz w:val="18"/>
                <w:szCs w:val="18"/>
                <w:lang w:eastAsia="sk-SK"/>
              </w:rPr>
              <w:t>Zo  skutoč</w:t>
            </w:r>
            <w:r w:rsidRPr="00722B3B">
              <w:rPr>
                <w:rFonts w:ascii="Arial" w:hAnsi="Arial" w:cs="Arial" w:hint="default"/>
                <w:sz w:val="18"/>
                <w:szCs w:val="18"/>
                <w:lang w:eastAsia="sk-SK"/>
              </w:rPr>
              <w:t>né</w:t>
            </w:r>
            <w:r w:rsidRPr="00722B3B">
              <w:rPr>
                <w:rFonts w:ascii="Arial" w:hAnsi="Arial" w:cs="Arial" w:hint="default"/>
                <w:sz w:val="18"/>
                <w:szCs w:val="18"/>
                <w:lang w:eastAsia="sk-SK"/>
              </w:rPr>
              <w:t>ho  vý</w:t>
            </w:r>
            <w:r w:rsidRPr="00722B3B">
              <w:rPr>
                <w:rFonts w:ascii="Arial" w:hAnsi="Arial" w:cs="Arial" w:hint="default"/>
                <w:sz w:val="18"/>
                <w:szCs w:val="18"/>
                <w:lang w:eastAsia="sk-SK"/>
              </w:rPr>
              <w:t>sledku roč</w:t>
            </w:r>
            <w:r w:rsidRPr="00722B3B">
              <w:rPr>
                <w:rFonts w:ascii="Arial" w:hAnsi="Arial" w:cs="Arial" w:hint="default"/>
                <w:sz w:val="18"/>
                <w:szCs w:val="18"/>
                <w:lang w:eastAsia="sk-SK"/>
              </w:rPr>
              <w:t>né</w:t>
            </w:r>
            <w:r w:rsidRPr="00722B3B">
              <w:rPr>
                <w:rFonts w:ascii="Arial" w:hAnsi="Arial" w:cs="Arial" w:hint="default"/>
                <w:sz w:val="18"/>
                <w:szCs w:val="18"/>
                <w:lang w:eastAsia="sk-SK"/>
              </w:rPr>
              <w:t>ho prerozdelenia za rok 2011 (</w:t>
            </w:r>
            <w:r w:rsidRPr="00722B3B">
              <w:rPr>
                <w:rFonts w:ascii="Arial" w:hAnsi="Arial" w:cs="Arial" w:hint="default"/>
                <w:sz w:val="18"/>
                <w:szCs w:val="18"/>
                <w:lang w:eastAsia="sk-SK"/>
              </w:rPr>
              <w:t>zo dň</w:t>
            </w:r>
            <w:r w:rsidRPr="00722B3B">
              <w:rPr>
                <w:rFonts w:ascii="Arial" w:hAnsi="Arial" w:cs="Arial" w:hint="default"/>
                <w:sz w:val="18"/>
                <w:szCs w:val="18"/>
                <w:lang w:eastAsia="sk-SK"/>
              </w:rPr>
              <w:t>a 14. 12. 2012)</w:t>
            </w:r>
          </w:p>
          <w:p w:rsidR="001B24DA" w:rsidRPr="00722B3B" w:rsidP="00551E0C">
            <w:pPr>
              <w:bidi w:val="0"/>
              <w:rPr>
                <w:rFonts w:ascii="Arial" w:hAnsi="Arial" w:cs="Arial"/>
                <w:sz w:val="18"/>
                <w:szCs w:val="18"/>
                <w:lang w:eastAsia="sk-SK"/>
              </w:rPr>
            </w:pPr>
            <w:r>
              <w:rPr>
                <w:rFonts w:ascii="Arial" w:hAnsi="Arial" w:cs="Arial" w:hint="default"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Tabuľ</w:t>
            </w:r>
            <w:r>
              <w:rPr>
                <w:rFonts w:ascii="Arial" w:hAnsi="Arial" w:cs="Arial" w:hint="default"/>
                <w:sz w:val="18"/>
                <w:szCs w:val="18"/>
                <w:lang w:eastAsia="sk-SK"/>
              </w:rPr>
              <w:t>ka č</w:t>
            </w:r>
            <w:r>
              <w:rPr>
                <w:rFonts w:ascii="Arial" w:hAnsi="Arial" w:cs="Arial" w:hint="default"/>
                <w:sz w:val="18"/>
                <w:szCs w:val="18"/>
                <w:lang w:eastAsia="sk-SK"/>
              </w:rPr>
              <w:t>. 2</w:t>
            </w:r>
          </w:p>
        </w:tc>
      </w:tr>
      <w:tr>
        <w:tblPrEx>
          <w:tblW w:w="9582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25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center"/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Zdravotné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 xml:space="preserve"> poisť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ovne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center"/>
              <w:rPr>
                <w:rFonts w:ascii="Arial" w:hAnsi="Arial" w:cs="Arial" w:hint="default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 w:hint="default"/>
                <w:sz w:val="16"/>
                <w:szCs w:val="16"/>
                <w:lang w:eastAsia="sk-SK"/>
              </w:rPr>
              <w:t>Zá</w:t>
            </w:r>
            <w:r w:rsidRPr="00722B3B">
              <w:rPr>
                <w:rFonts w:ascii="Arial" w:hAnsi="Arial" w:cs="Arial" w:hint="default"/>
                <w:sz w:val="16"/>
                <w:szCs w:val="16"/>
                <w:lang w:eastAsia="sk-SK"/>
              </w:rPr>
              <w:t>klad pre vý</w:t>
            </w:r>
            <w:r w:rsidRPr="00722B3B">
              <w:rPr>
                <w:rFonts w:ascii="Arial" w:hAnsi="Arial" w:cs="Arial" w:hint="default"/>
                <w:sz w:val="16"/>
                <w:szCs w:val="16"/>
                <w:lang w:eastAsia="sk-SK"/>
              </w:rPr>
              <w:t>poč</w:t>
            </w:r>
            <w:r w:rsidRPr="00722B3B">
              <w:rPr>
                <w:rFonts w:ascii="Arial" w:hAnsi="Arial" w:cs="Arial" w:hint="default"/>
                <w:sz w:val="16"/>
                <w:szCs w:val="16"/>
                <w:lang w:eastAsia="sk-SK"/>
              </w:rPr>
              <w:t>et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 w:hint="default"/>
                <w:sz w:val="16"/>
                <w:szCs w:val="16"/>
                <w:lang w:eastAsia="sk-SK"/>
              </w:rPr>
              <w:t>prí</w:t>
            </w:r>
            <w:r w:rsidRPr="00722B3B">
              <w:rPr>
                <w:rFonts w:ascii="Arial" w:hAnsi="Arial" w:cs="Arial" w:hint="default"/>
                <w:sz w:val="16"/>
                <w:szCs w:val="16"/>
                <w:lang w:eastAsia="sk-SK"/>
              </w:rPr>
              <w:t>spevok pre NZIS</w:t>
            </w:r>
            <w:r>
              <w:rPr>
                <w:rFonts w:ascii="Arial" w:hAnsi="Arial" w:cs="Arial" w:hint="default"/>
                <w:sz w:val="16"/>
                <w:szCs w:val="16"/>
                <w:lang w:eastAsia="sk-SK"/>
              </w:rPr>
              <w:t xml:space="preserve"> 0,27 % zo zá</w:t>
            </w:r>
            <w:r>
              <w:rPr>
                <w:rFonts w:ascii="Arial" w:hAnsi="Arial" w:cs="Arial" w:hint="default"/>
                <w:sz w:val="16"/>
                <w:szCs w:val="16"/>
                <w:lang w:eastAsia="sk-SK"/>
              </w:rPr>
              <w:t>kladu</w:t>
            </w:r>
          </w:p>
        </w:tc>
      </w:tr>
      <w:tr>
        <w:tblPrEx>
          <w:tblW w:w="9582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254"/>
        </w:trPr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1B24DA" w:rsidRPr="00722B3B" w:rsidP="00551E0C">
            <w:pPr>
              <w:bidi w:val="0"/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Vš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eobecná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 xml:space="preserve"> zdravotná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 xml:space="preserve"> poisť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ovň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a,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 xml:space="preserve"> a.s.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2 454 533 935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6 627 241,62</w:t>
            </w:r>
          </w:p>
        </w:tc>
      </w:tr>
      <w:tr>
        <w:tblPrEx>
          <w:tblW w:w="9582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254"/>
        </w:trPr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1B24DA" w:rsidRPr="00722B3B" w:rsidP="00551E0C">
            <w:pPr>
              <w:bidi w:val="0"/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Dô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vera zdravotná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 xml:space="preserve"> poisť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ovň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a, a.s.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846 506 712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2 285 568,12</w:t>
            </w:r>
          </w:p>
        </w:tc>
      </w:tr>
      <w:tr>
        <w:tblPrEx>
          <w:tblW w:w="9582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254"/>
        </w:trPr>
        <w:tc>
          <w:tcPr>
            <w:tcW w:w="4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1B24DA" w:rsidRPr="00722B3B" w:rsidP="00551E0C">
            <w:pPr>
              <w:bidi w:val="0"/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Union zdravotná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 xml:space="preserve"> poisť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ovň</w:t>
            </w:r>
            <w:r w:rsidRPr="00722B3B">
              <w:rPr>
                <w:rFonts w:ascii="Arial" w:hAnsi="Arial" w:cs="Arial" w:hint="default"/>
                <w:b/>
                <w:bCs/>
                <w:sz w:val="16"/>
                <w:szCs w:val="16"/>
                <w:lang w:eastAsia="sk-SK"/>
              </w:rPr>
              <w:t>a, a.s.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200 192 313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540 519,25</w:t>
            </w:r>
          </w:p>
        </w:tc>
      </w:tr>
      <w:tr>
        <w:tblPrEx>
          <w:tblW w:w="9582" w:type="dxa"/>
          <w:tblInd w:w="55" w:type="dxa"/>
          <w:tblCellMar>
            <w:left w:w="70" w:type="dxa"/>
            <w:right w:w="70" w:type="dxa"/>
          </w:tblCellMar>
          <w:tblLook w:val="00A0"/>
        </w:tblPrEx>
        <w:trPr>
          <w:trHeight w:val="25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722B3B">
              <w:rPr>
                <w:rFonts w:ascii="Arial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3 501 232 960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B24DA" w:rsidRPr="00722B3B" w:rsidP="00551E0C">
            <w:pPr>
              <w:bidi w:val="0"/>
              <w:jc w:val="right"/>
              <w:rPr>
                <w:rFonts w:ascii="Arial" w:hAnsi="Arial" w:cs="Arial"/>
                <w:sz w:val="16"/>
                <w:szCs w:val="16"/>
                <w:lang w:eastAsia="sk-SK"/>
              </w:rPr>
            </w:pPr>
            <w:r w:rsidRPr="00722B3B">
              <w:rPr>
                <w:rFonts w:ascii="Arial" w:hAnsi="Arial" w:cs="Arial"/>
                <w:sz w:val="16"/>
                <w:szCs w:val="16"/>
                <w:lang w:eastAsia="sk-SK"/>
              </w:rPr>
              <w:t>9 453 328,99</w:t>
            </w:r>
          </w:p>
        </w:tc>
      </w:tr>
    </w:tbl>
    <w:p w:rsidR="001B24DA" w:rsidP="001B24DA">
      <w:pPr>
        <w:bidi w:val="0"/>
      </w:pPr>
    </w:p>
    <w:p w:rsidR="001B24DA" w:rsidP="001B24DA">
      <w:pPr>
        <w:bidi w:val="0"/>
        <w:rPr>
          <w:rFonts w:hint="default"/>
        </w:rPr>
      </w:pPr>
      <w:r>
        <w:rPr>
          <w:rFonts w:hint="default"/>
        </w:rPr>
        <w:t>Prí</w:t>
      </w:r>
      <w:r>
        <w:rPr>
          <w:rFonts w:hint="default"/>
        </w:rPr>
        <w:t>spevok sa bude vypočí</w:t>
      </w:r>
      <w:r>
        <w:rPr>
          <w:rFonts w:hint="default"/>
        </w:rPr>
        <w:t>tavať</w:t>
      </w:r>
      <w:r>
        <w:rPr>
          <w:rFonts w:hint="default"/>
        </w:rPr>
        <w:t xml:space="preserve"> analogicky ako prí</w:t>
      </w:r>
      <w:r>
        <w:rPr>
          <w:rFonts w:hint="default"/>
        </w:rPr>
        <w:t>spevok na č</w:t>
      </w:r>
      <w:r>
        <w:rPr>
          <w:rFonts w:hint="default"/>
        </w:rPr>
        <w:t>innosť</w:t>
      </w:r>
      <w:r>
        <w:rPr>
          <w:rFonts w:hint="default"/>
        </w:rPr>
        <w:t xml:space="preserve"> operač</w:t>
      </w:r>
      <w:r>
        <w:rPr>
          <w:rFonts w:hint="default"/>
        </w:rPr>
        <w:t>ný</w:t>
      </w:r>
      <w:r>
        <w:rPr>
          <w:rFonts w:hint="default"/>
        </w:rPr>
        <w:t>ch</w:t>
      </w:r>
      <w:r>
        <w:rPr>
          <w:rFonts w:hint="default"/>
        </w:rPr>
        <w:t xml:space="preserve"> stredí</w:t>
      </w:r>
      <w:r>
        <w:rPr>
          <w:rFonts w:hint="default"/>
        </w:rPr>
        <w:t>sk tiesň</w:t>
      </w:r>
      <w:r>
        <w:rPr>
          <w:rFonts w:hint="default"/>
        </w:rPr>
        <w:t>ové</w:t>
      </w:r>
      <w:r>
        <w:rPr>
          <w:rFonts w:hint="default"/>
        </w:rPr>
        <w:t>ho volania zá</w:t>
      </w:r>
      <w:r>
        <w:rPr>
          <w:rFonts w:hint="default"/>
        </w:rPr>
        <w:t>chrannej zdravotnej služ</w:t>
      </w:r>
      <w:r>
        <w:rPr>
          <w:rFonts w:hint="default"/>
        </w:rPr>
        <w:t>by (§</w:t>
      </w:r>
      <w:r>
        <w:rPr>
          <w:rFonts w:hint="default"/>
        </w:rPr>
        <w:t xml:space="preserve"> 8a zá</w:t>
      </w:r>
      <w:r>
        <w:rPr>
          <w:rFonts w:hint="default"/>
        </w:rPr>
        <w:t>kona z.č</w:t>
      </w:r>
      <w:r>
        <w:rPr>
          <w:rFonts w:hint="default"/>
        </w:rPr>
        <w:t>.581/2004 Z. z.)</w:t>
      </w:r>
      <w:bookmarkStart w:id="1" w:name="_GoBack"/>
      <w:bookmarkEnd w:id="1"/>
    </w:p>
    <w:p w:rsidR="001B24DA" w:rsidP="003B585F">
      <w:pPr>
        <w:bidi w:val="0"/>
        <w:rPr>
          <w:b/>
          <w:bCs/>
          <w:lang w:val="sk-SK"/>
        </w:rPr>
      </w:pPr>
    </w:p>
    <w:p w:rsidR="001B24DA" w:rsidP="003B585F">
      <w:pPr>
        <w:bidi w:val="0"/>
        <w:rPr>
          <w:b/>
          <w:bCs/>
          <w:lang w:val="sk-SK"/>
        </w:rPr>
      </w:pPr>
    </w:p>
    <w:p w:rsidR="00C35BB7" w:rsidP="003B585F">
      <w:pPr>
        <w:bidi w:val="0"/>
        <w:rPr>
          <w:b/>
          <w:bCs/>
          <w:lang w:val="sk-SK"/>
        </w:rPr>
      </w:pPr>
    </w:p>
    <w:p w:rsidR="00C35BB7" w:rsidP="003B585F">
      <w:pPr>
        <w:bidi w:val="0"/>
        <w:rPr>
          <w:b/>
          <w:bCs/>
          <w:lang w:val="sk-SK"/>
        </w:rPr>
      </w:pPr>
    </w:p>
    <w:p w:rsidR="001B24DA" w:rsidRPr="00812649" w:rsidP="003B585F">
      <w:pPr>
        <w:bidi w:val="0"/>
        <w:rPr>
          <w:b/>
          <w:bCs/>
          <w:lang w:val="sk-SK"/>
        </w:rPr>
      </w:pPr>
    </w:p>
    <w:p w:rsidR="003B585F" w:rsidRPr="00812649" w:rsidP="003B585F">
      <w:pPr>
        <w:bidi w:val="0"/>
        <w:rPr>
          <w:lang w:val="sk-SK"/>
        </w:rPr>
      </w:pPr>
      <w:r w:rsidRPr="00812649">
        <w:rPr>
          <w:rFonts w:hint="default"/>
          <w:b/>
          <w:bCs/>
          <w:lang w:val="sk-SK"/>
        </w:rPr>
        <w:t>2.3. Popis a charakteristika ná</w:t>
      </w:r>
      <w:r w:rsidRPr="00812649">
        <w:rPr>
          <w:rFonts w:hint="default"/>
          <w:b/>
          <w:bCs/>
          <w:lang w:val="sk-SK"/>
        </w:rPr>
        <w:t>vrhu</w:t>
      </w:r>
    </w:p>
    <w:p w:rsidR="003B585F" w:rsidRPr="00812649" w:rsidP="003B585F">
      <w:pPr>
        <w:bidi w:val="0"/>
        <w:rPr>
          <w:lang w:val="sk-SK"/>
        </w:rPr>
      </w:pPr>
      <w:r w:rsidRPr="00812649">
        <w:rPr>
          <w:lang w:val="sk-SK"/>
        </w:rPr>
        <w:t> </w:t>
      </w:r>
    </w:p>
    <w:p w:rsidR="003B585F" w:rsidRPr="00812649" w:rsidP="003B585F">
      <w:pPr>
        <w:bidi w:val="0"/>
        <w:jc w:val="both"/>
        <w:rPr>
          <w:lang w:val="sk-SK"/>
        </w:rPr>
      </w:pPr>
      <w:r w:rsidRPr="00812649">
        <w:rPr>
          <w:rFonts w:hint="default"/>
          <w:b/>
          <w:bCs/>
          <w:lang w:val="sk-SK"/>
        </w:rPr>
        <w:t>2.3.1. Popis ná</w:t>
      </w:r>
      <w:r w:rsidRPr="00812649">
        <w:rPr>
          <w:rFonts w:hint="default"/>
          <w:b/>
          <w:bCs/>
          <w:lang w:val="sk-SK"/>
        </w:rPr>
        <w:t>vrhu:</w:t>
      </w:r>
    </w:p>
    <w:p w:rsidR="003B585F" w:rsidRPr="00812649" w:rsidP="003B585F">
      <w:pPr>
        <w:bidi w:val="0"/>
        <w:jc w:val="both"/>
        <w:rPr>
          <w:lang w:val="sk-SK"/>
        </w:rPr>
      </w:pPr>
      <w:r w:rsidRPr="00812649">
        <w:rPr>
          <w:b/>
          <w:bCs/>
          <w:lang w:val="sk-SK"/>
        </w:rPr>
        <w:t> </w:t>
      </w:r>
    </w:p>
    <w:p w:rsidR="003B585F" w:rsidRPr="00812649" w:rsidP="003B585F">
      <w:pPr>
        <w:bidi w:val="0"/>
        <w:ind w:firstLine="720"/>
        <w:jc w:val="both"/>
        <w:rPr>
          <w:rFonts w:hint="default"/>
          <w:lang w:val="sk-SK"/>
        </w:rPr>
      </w:pPr>
      <w:r w:rsidRPr="00812649">
        <w:rPr>
          <w:rFonts w:hint="default"/>
          <w:lang w:val="sk-SK"/>
        </w:rPr>
        <w:t>Ná</w:t>
      </w:r>
      <w:r w:rsidRPr="00812649">
        <w:rPr>
          <w:rFonts w:hint="default"/>
          <w:lang w:val="sk-SK"/>
        </w:rPr>
        <w:t>vrh zá</w:t>
      </w:r>
      <w:r w:rsidRPr="00812649">
        <w:rPr>
          <w:rFonts w:hint="default"/>
          <w:lang w:val="sk-SK"/>
        </w:rPr>
        <w:t>kona má</w:t>
      </w:r>
      <w:r w:rsidRPr="00812649">
        <w:rPr>
          <w:rFonts w:hint="default"/>
          <w:lang w:val="sk-SK"/>
        </w:rPr>
        <w:t xml:space="preserve"> za ciele upraviť</w:t>
      </w:r>
      <w:r w:rsidRPr="00812649">
        <w:rPr>
          <w:rFonts w:hint="default"/>
          <w:lang w:val="sk-SK"/>
        </w:rPr>
        <w:t xml:space="preserve"> a </w:t>
      </w:r>
      <w:r w:rsidRPr="00812649">
        <w:rPr>
          <w:rFonts w:hint="default"/>
          <w:lang w:val="sk-SK"/>
        </w:rPr>
        <w:t>doplniť</w:t>
      </w:r>
      <w:r w:rsidRPr="00812649">
        <w:rPr>
          <w:rFonts w:hint="default"/>
          <w:lang w:val="sk-SK"/>
        </w:rPr>
        <w:t xml:space="preserve"> súč</w:t>
      </w:r>
      <w:r w:rsidRPr="00812649">
        <w:rPr>
          <w:rFonts w:hint="default"/>
          <w:lang w:val="sk-SK"/>
        </w:rPr>
        <w:t>asnú</w:t>
      </w:r>
      <w:r w:rsidRPr="00812649">
        <w:rPr>
          <w:rFonts w:hint="default"/>
          <w:lang w:val="sk-SK"/>
        </w:rPr>
        <w:t xml:space="preserve"> legislatí</w:t>
      </w:r>
      <w:r w:rsidRPr="00812649">
        <w:rPr>
          <w:rFonts w:hint="default"/>
          <w:lang w:val="sk-SK"/>
        </w:rPr>
        <w:t>vu tak, aby podporovala nastá</w:t>
      </w:r>
      <w:r w:rsidRPr="00812649">
        <w:rPr>
          <w:rFonts w:hint="default"/>
          <w:lang w:val="sk-SK"/>
        </w:rPr>
        <w:t>vajú</w:t>
      </w:r>
      <w:r w:rsidRPr="00812649">
        <w:rPr>
          <w:rFonts w:hint="default"/>
          <w:lang w:val="sk-SK"/>
        </w:rPr>
        <w:t>cu ele</w:t>
      </w:r>
      <w:r w:rsidRPr="00812649">
        <w:rPr>
          <w:rFonts w:hint="default"/>
          <w:lang w:val="sk-SK"/>
        </w:rPr>
        <w:t>ktronizá</w:t>
      </w:r>
      <w:r w:rsidRPr="00812649">
        <w:rPr>
          <w:rFonts w:hint="default"/>
          <w:lang w:val="sk-SK"/>
        </w:rPr>
        <w:t>ciu verejné</w:t>
      </w:r>
      <w:r w:rsidRPr="00812649">
        <w:rPr>
          <w:rFonts w:hint="default"/>
          <w:lang w:val="sk-SK"/>
        </w:rPr>
        <w:t>ho zdravotní</w:t>
      </w:r>
      <w:r w:rsidRPr="00812649">
        <w:rPr>
          <w:rFonts w:hint="default"/>
          <w:lang w:val="sk-SK"/>
        </w:rPr>
        <w:t>ctva. Zavedenie tý</w:t>
      </w:r>
      <w:r w:rsidRPr="00812649">
        <w:rPr>
          <w:rFonts w:hint="default"/>
          <w:lang w:val="sk-SK"/>
        </w:rPr>
        <w:t>chto kľúč</w:t>
      </w:r>
      <w:r w:rsidRPr="00812649">
        <w:rPr>
          <w:rFonts w:hint="default"/>
          <w:lang w:val="sk-SK"/>
        </w:rPr>
        <w:t>ový</w:t>
      </w:r>
      <w:r w:rsidRPr="00812649">
        <w:rPr>
          <w:rFonts w:hint="default"/>
          <w:lang w:val="sk-SK"/>
        </w:rPr>
        <w:t>ch legislatí</w:t>
      </w:r>
      <w:r w:rsidRPr="00812649">
        <w:rPr>
          <w:rFonts w:hint="default"/>
          <w:lang w:val="sk-SK"/>
        </w:rPr>
        <w:t>vnych ú</w:t>
      </w:r>
      <w:r w:rsidRPr="00812649">
        <w:rPr>
          <w:rFonts w:hint="default"/>
          <w:lang w:val="sk-SK"/>
        </w:rPr>
        <w:t>prav priamo umožň</w:t>
      </w:r>
      <w:r w:rsidRPr="00812649">
        <w:rPr>
          <w:rFonts w:hint="default"/>
          <w:lang w:val="sk-SK"/>
        </w:rPr>
        <w:t>uje realizá</w:t>
      </w:r>
      <w:r w:rsidRPr="00812649">
        <w:rPr>
          <w:rFonts w:hint="default"/>
          <w:lang w:val="sk-SK"/>
        </w:rPr>
        <w:t>ciu Programu implementá</w:t>
      </w:r>
      <w:r w:rsidRPr="00812649">
        <w:rPr>
          <w:rFonts w:hint="default"/>
          <w:lang w:val="sk-SK"/>
        </w:rPr>
        <w:t>cie eHealth v </w:t>
      </w:r>
      <w:r w:rsidRPr="00812649">
        <w:rPr>
          <w:rFonts w:hint="default"/>
          <w:lang w:val="sk-SK"/>
        </w:rPr>
        <w:t>SR. Cieľ</w:t>
      </w:r>
      <w:r w:rsidRPr="00812649">
        <w:rPr>
          <w:rFonts w:hint="default"/>
          <w:lang w:val="sk-SK"/>
        </w:rPr>
        <w:t>om prvej fá</w:t>
      </w:r>
      <w:r w:rsidRPr="00812649">
        <w:rPr>
          <w:rFonts w:hint="default"/>
          <w:lang w:val="sk-SK"/>
        </w:rPr>
        <w:t>zy programu je podstatné</w:t>
      </w:r>
      <w:r w:rsidRPr="00812649">
        <w:rPr>
          <w:rFonts w:hint="default"/>
          <w:lang w:val="sk-SK"/>
        </w:rPr>
        <w:t xml:space="preserve"> zefektí</w:t>
      </w:r>
      <w:r w:rsidRPr="00812649">
        <w:rPr>
          <w:rFonts w:hint="default"/>
          <w:lang w:val="sk-SK"/>
        </w:rPr>
        <w:t>vnenie fungovania zdravotní</w:t>
      </w:r>
      <w:r w:rsidRPr="00812649">
        <w:rPr>
          <w:rFonts w:hint="default"/>
          <w:lang w:val="sk-SK"/>
        </w:rPr>
        <w:t>ctva a </w:t>
      </w:r>
      <w:r w:rsidRPr="00812649">
        <w:rPr>
          <w:rFonts w:hint="default"/>
          <w:lang w:val="sk-SK"/>
        </w:rPr>
        <w:t>prí</w:t>
      </w:r>
      <w:r w:rsidRPr="00812649">
        <w:rPr>
          <w:rFonts w:hint="default"/>
          <w:lang w:val="sk-SK"/>
        </w:rPr>
        <w:t>nos úž</w:t>
      </w:r>
      <w:r w:rsidRPr="00812649">
        <w:rPr>
          <w:rFonts w:hint="default"/>
          <w:lang w:val="sk-SK"/>
        </w:rPr>
        <w:t>itku pre zainter</w:t>
      </w:r>
      <w:r w:rsidRPr="00812649">
        <w:rPr>
          <w:rFonts w:hint="default"/>
          <w:lang w:val="sk-SK"/>
        </w:rPr>
        <w:t>e</w:t>
      </w:r>
      <w:r w:rsidRPr="00812649">
        <w:rPr>
          <w:rFonts w:hint="default"/>
          <w:lang w:val="sk-SK"/>
        </w:rPr>
        <w:t>sované</w:t>
      </w:r>
      <w:r w:rsidRPr="00812649">
        <w:rPr>
          <w:rFonts w:hint="default"/>
          <w:lang w:val="sk-SK"/>
        </w:rPr>
        <w:t xml:space="preserve"> strany v </w:t>
      </w:r>
      <w:r w:rsidRPr="00812649">
        <w:rPr>
          <w:rFonts w:hint="default"/>
          <w:lang w:val="sk-SK"/>
        </w:rPr>
        <w:t>č</w:t>
      </w:r>
      <w:r w:rsidRPr="00812649">
        <w:rPr>
          <w:rFonts w:hint="default"/>
          <w:lang w:val="sk-SK"/>
        </w:rPr>
        <w:t>o najkratš</w:t>
      </w:r>
      <w:r w:rsidRPr="00812649">
        <w:rPr>
          <w:rFonts w:hint="default"/>
          <w:lang w:val="sk-SK"/>
        </w:rPr>
        <w:t>om mož</w:t>
      </w:r>
      <w:r w:rsidRPr="00812649">
        <w:rPr>
          <w:rFonts w:hint="default"/>
          <w:lang w:val="sk-SK"/>
        </w:rPr>
        <w:t>nom č</w:t>
      </w:r>
      <w:r w:rsidRPr="00812649">
        <w:rPr>
          <w:rFonts w:hint="default"/>
          <w:lang w:val="sk-SK"/>
        </w:rPr>
        <w:t>asovom horizonte. Medzi hlavné</w:t>
      </w:r>
      <w:r w:rsidRPr="00812649">
        <w:rPr>
          <w:rFonts w:hint="default"/>
          <w:lang w:val="sk-SK"/>
        </w:rPr>
        <w:t xml:space="preserve"> prí</w:t>
      </w:r>
      <w:r w:rsidRPr="00812649">
        <w:rPr>
          <w:rFonts w:hint="default"/>
          <w:lang w:val="sk-SK"/>
        </w:rPr>
        <w:t>nosy patrí</w:t>
      </w:r>
      <w:r w:rsidRPr="00812649">
        <w:rPr>
          <w:rFonts w:hint="default"/>
          <w:lang w:val="sk-SK"/>
        </w:rPr>
        <w:t xml:space="preserve"> realizá</w:t>
      </w:r>
      <w:r w:rsidRPr="00812649">
        <w:rPr>
          <w:rFonts w:hint="default"/>
          <w:lang w:val="sk-SK"/>
        </w:rPr>
        <w:t>cia finanč</w:t>
      </w:r>
      <w:r w:rsidRPr="00812649">
        <w:rPr>
          <w:rFonts w:hint="default"/>
          <w:lang w:val="sk-SK"/>
        </w:rPr>
        <w:t>ný</w:t>
      </w:r>
      <w:r w:rsidRPr="00812649">
        <w:rPr>
          <w:rFonts w:hint="default"/>
          <w:lang w:val="sk-SK"/>
        </w:rPr>
        <w:t>ch a </w:t>
      </w:r>
      <w:r w:rsidRPr="00812649">
        <w:rPr>
          <w:rFonts w:hint="default"/>
          <w:lang w:val="sk-SK"/>
        </w:rPr>
        <w:t>č</w:t>
      </w:r>
      <w:r w:rsidRPr="00812649">
        <w:rPr>
          <w:rFonts w:hint="default"/>
          <w:lang w:val="sk-SK"/>
        </w:rPr>
        <w:t>asový</w:t>
      </w:r>
      <w:r w:rsidRPr="00812649">
        <w:rPr>
          <w:rFonts w:hint="default"/>
          <w:lang w:val="sk-SK"/>
        </w:rPr>
        <w:t>ch ú</w:t>
      </w:r>
      <w:r w:rsidRPr="00812649">
        <w:rPr>
          <w:rFonts w:hint="default"/>
          <w:lang w:val="sk-SK"/>
        </w:rPr>
        <w:t>spor pri preskripcii a </w:t>
      </w:r>
      <w:r w:rsidRPr="00812649">
        <w:rPr>
          <w:rFonts w:hint="default"/>
          <w:lang w:val="sk-SK"/>
        </w:rPr>
        <w:t>vý</w:t>
      </w:r>
      <w:r w:rsidRPr="00812649">
        <w:rPr>
          <w:rFonts w:hint="default"/>
          <w:lang w:val="sk-SK"/>
        </w:rPr>
        <w:t>daji liekov a </w:t>
      </w:r>
      <w:r w:rsidRPr="00812649">
        <w:rPr>
          <w:rFonts w:hint="default"/>
          <w:lang w:val="sk-SK"/>
        </w:rPr>
        <w:t>zdravotní</w:t>
      </w:r>
      <w:r w:rsidRPr="00812649">
        <w:rPr>
          <w:rFonts w:hint="default"/>
          <w:lang w:val="sk-SK"/>
        </w:rPr>
        <w:t>ckych pomô</w:t>
      </w:r>
      <w:r w:rsidRPr="00812649">
        <w:rPr>
          <w:rFonts w:hint="default"/>
          <w:lang w:val="sk-SK"/>
        </w:rPr>
        <w:t>cok, zamedzenie než</w:t>
      </w:r>
      <w:r w:rsidRPr="00812649">
        <w:rPr>
          <w:rFonts w:hint="default"/>
          <w:lang w:val="sk-SK"/>
        </w:rPr>
        <w:t>iaducim interakciá</w:t>
      </w:r>
      <w:r w:rsidRPr="00812649">
        <w:rPr>
          <w:rFonts w:hint="default"/>
          <w:lang w:val="sk-SK"/>
        </w:rPr>
        <w:t>m pri preskripcii liekov, zvýš</w:t>
      </w:r>
      <w:r w:rsidRPr="00812649">
        <w:rPr>
          <w:rFonts w:hint="default"/>
          <w:lang w:val="sk-SK"/>
        </w:rPr>
        <w:t>enie komfortu</w:t>
      </w:r>
      <w:r w:rsidRPr="00812649">
        <w:rPr>
          <w:rFonts w:hint="default"/>
          <w:lang w:val="sk-SK"/>
        </w:rPr>
        <w:t xml:space="preserve"> </w:t>
      </w:r>
      <w:r w:rsidRPr="00812649">
        <w:rPr>
          <w:rFonts w:hint="default"/>
          <w:lang w:val="sk-SK"/>
        </w:rPr>
        <w:t>pacienta pri preskripcii a </w:t>
      </w:r>
      <w:r w:rsidRPr="00812649">
        <w:rPr>
          <w:rFonts w:hint="default"/>
          <w:lang w:val="sk-SK"/>
        </w:rPr>
        <w:t>vý</w:t>
      </w:r>
      <w:r w:rsidRPr="00812649">
        <w:rPr>
          <w:rFonts w:hint="default"/>
          <w:lang w:val="sk-SK"/>
        </w:rPr>
        <w:t>bere lieku a </w:t>
      </w:r>
      <w:r w:rsidRPr="00812649">
        <w:rPr>
          <w:rFonts w:hint="default"/>
          <w:lang w:val="sk-SK"/>
        </w:rPr>
        <w:t>zdravotní</w:t>
      </w:r>
      <w:r w:rsidRPr="00812649">
        <w:rPr>
          <w:rFonts w:hint="default"/>
          <w:lang w:val="sk-SK"/>
        </w:rPr>
        <w:t>ckych pomô</w:t>
      </w:r>
      <w:r w:rsidRPr="00812649">
        <w:rPr>
          <w:rFonts w:hint="default"/>
          <w:lang w:val="sk-SK"/>
        </w:rPr>
        <w:t>cok, zníž</w:t>
      </w:r>
      <w:r w:rsidRPr="00812649">
        <w:rPr>
          <w:rFonts w:hint="default"/>
          <w:lang w:val="sk-SK"/>
        </w:rPr>
        <w:t>enie ná</w:t>
      </w:r>
      <w:r w:rsidRPr="00812649">
        <w:rPr>
          <w:rFonts w:hint="default"/>
          <w:lang w:val="sk-SK"/>
        </w:rPr>
        <w:t>kladov na poskytovanie zdravotnej starostlivosti (ako dô</w:t>
      </w:r>
      <w:r w:rsidRPr="00812649">
        <w:rPr>
          <w:rFonts w:hint="default"/>
          <w:lang w:val="sk-SK"/>
        </w:rPr>
        <w:t>sledok zvýš</w:t>
      </w:r>
      <w:r w:rsidRPr="00812649">
        <w:rPr>
          <w:rFonts w:hint="default"/>
          <w:lang w:val="sk-SK"/>
        </w:rPr>
        <w:t>enej kontroly zo strany zdravotný</w:t>
      </w:r>
      <w:r w:rsidRPr="00812649">
        <w:rPr>
          <w:rFonts w:hint="default"/>
          <w:lang w:val="sk-SK"/>
        </w:rPr>
        <w:t>ch poisť</w:t>
      </w:r>
      <w:r w:rsidRPr="00812649">
        <w:rPr>
          <w:rFonts w:hint="default"/>
          <w:lang w:val="sk-SK"/>
        </w:rPr>
        <w:t>ovní</w:t>
      </w:r>
      <w:r w:rsidRPr="00812649">
        <w:rPr>
          <w:rFonts w:hint="default"/>
          <w:lang w:val="sk-SK"/>
        </w:rPr>
        <w:t>) a </w:t>
      </w:r>
      <w:r w:rsidRPr="00812649">
        <w:rPr>
          <w:rFonts w:hint="default"/>
          <w:lang w:val="sk-SK"/>
        </w:rPr>
        <w:t>taktiež</w:t>
      </w:r>
      <w:r w:rsidRPr="00812649">
        <w:rPr>
          <w:rFonts w:hint="default"/>
          <w:lang w:val="sk-SK"/>
        </w:rPr>
        <w:t xml:space="preserve"> poskytovanie agregovaný</w:t>
      </w:r>
      <w:r w:rsidRPr="00812649">
        <w:rPr>
          <w:rFonts w:hint="default"/>
          <w:lang w:val="sk-SK"/>
        </w:rPr>
        <w:t>ch informá</w:t>
      </w:r>
      <w:r w:rsidRPr="00812649">
        <w:rPr>
          <w:rFonts w:hint="default"/>
          <w:lang w:val="sk-SK"/>
        </w:rPr>
        <w:t>cií</w:t>
      </w:r>
      <w:r w:rsidRPr="00812649">
        <w:rPr>
          <w:rFonts w:hint="default"/>
          <w:lang w:val="sk-SK"/>
        </w:rPr>
        <w:t xml:space="preserve"> o zdravotnej star</w:t>
      </w:r>
      <w:r w:rsidRPr="00812649">
        <w:rPr>
          <w:rFonts w:hint="default"/>
          <w:lang w:val="sk-SK"/>
        </w:rPr>
        <w:t>o</w:t>
      </w:r>
      <w:r w:rsidRPr="00812649">
        <w:rPr>
          <w:rFonts w:hint="default"/>
          <w:lang w:val="sk-SK"/>
        </w:rPr>
        <w:t>stlivosti v systé</w:t>
      </w:r>
      <w:r w:rsidRPr="00812649">
        <w:rPr>
          <w:rFonts w:hint="default"/>
          <w:lang w:val="sk-SK"/>
        </w:rPr>
        <w:t>me verejné</w:t>
      </w:r>
      <w:r w:rsidRPr="00812649">
        <w:rPr>
          <w:rFonts w:hint="default"/>
          <w:lang w:val="sk-SK"/>
        </w:rPr>
        <w:t>ho zdravotní</w:t>
      </w:r>
      <w:r w:rsidRPr="00812649">
        <w:rPr>
          <w:rFonts w:hint="default"/>
          <w:lang w:val="sk-SK"/>
        </w:rPr>
        <w:t>ctva.</w:t>
      </w:r>
    </w:p>
    <w:p w:rsidR="003B585F" w:rsidRPr="00812649" w:rsidP="003B585F">
      <w:pPr>
        <w:bidi w:val="0"/>
        <w:ind w:firstLine="720"/>
        <w:jc w:val="both"/>
        <w:rPr>
          <w:rFonts w:hint="default"/>
          <w:lang w:val="sk-SK"/>
        </w:rPr>
      </w:pPr>
    </w:p>
    <w:p w:rsidR="003B585F" w:rsidRPr="00812649" w:rsidP="003B585F">
      <w:pPr>
        <w:bidi w:val="0"/>
        <w:ind w:firstLine="708"/>
        <w:jc w:val="both"/>
        <w:rPr>
          <w:lang w:val="sk-SK"/>
        </w:rPr>
      </w:pPr>
      <w:r w:rsidRPr="00812649">
        <w:rPr>
          <w:rFonts w:hint="default"/>
          <w:color w:val="000000"/>
          <w:lang w:val="sk-SK"/>
        </w:rPr>
        <w:t>Ná</w:t>
      </w:r>
      <w:r w:rsidRPr="00812649">
        <w:rPr>
          <w:rFonts w:hint="default"/>
          <w:color w:val="000000"/>
          <w:lang w:val="sk-SK"/>
        </w:rPr>
        <w:t>vrh bude implementovaný</w:t>
      </w:r>
      <w:r w:rsidRPr="00812649">
        <w:rPr>
          <w:rFonts w:hint="default"/>
          <w:color w:val="000000"/>
          <w:lang w:val="sk-SK"/>
        </w:rPr>
        <w:t xml:space="preserve"> Ministerstvom zdravotní</w:t>
      </w:r>
      <w:r w:rsidRPr="00812649">
        <w:rPr>
          <w:rFonts w:hint="default"/>
          <w:color w:val="000000"/>
          <w:lang w:val="sk-SK"/>
        </w:rPr>
        <w:t>ctva SR.</w:t>
      </w:r>
    </w:p>
    <w:p w:rsidR="003B585F" w:rsidRPr="00812649" w:rsidP="003B585F">
      <w:pPr>
        <w:bidi w:val="0"/>
        <w:rPr>
          <w:lang w:val="sk-SK"/>
        </w:rPr>
      </w:pPr>
      <w:r w:rsidRPr="00812649">
        <w:rPr>
          <w:lang w:val="sk-SK"/>
        </w:rPr>
        <w:t> </w:t>
      </w:r>
    </w:p>
    <w:p w:rsidR="003B585F" w:rsidRPr="00812649" w:rsidP="003B585F">
      <w:pPr>
        <w:bidi w:val="0"/>
        <w:rPr>
          <w:lang w:val="sk-SK"/>
        </w:rPr>
      </w:pPr>
      <w:r w:rsidRPr="00812649">
        <w:rPr>
          <w:lang w:val="sk-SK"/>
        </w:rPr>
        <w:t>.......................................................................................................................................................</w:t>
      </w:r>
    </w:p>
    <w:p w:rsidR="003B585F" w:rsidRPr="00812649" w:rsidP="003B585F">
      <w:pPr>
        <w:bidi w:val="0"/>
        <w:rPr>
          <w:lang w:val="sk-SK"/>
        </w:rPr>
      </w:pPr>
      <w:r w:rsidRPr="00812649">
        <w:rPr>
          <w:lang w:val="sk-SK"/>
        </w:rPr>
        <w:t> </w:t>
      </w:r>
    </w:p>
    <w:p w:rsidR="003B585F" w:rsidRPr="00812649" w:rsidP="003B585F">
      <w:pPr>
        <w:bidi w:val="0"/>
        <w:rPr>
          <w:lang w:val="sk-SK"/>
        </w:rPr>
      </w:pPr>
      <w:r w:rsidRPr="00812649">
        <w:rPr>
          <w:rFonts w:hint="default"/>
          <w:b/>
          <w:bCs/>
          <w:lang w:val="sk-SK"/>
        </w:rPr>
        <w:t>2.3.2. Charakteristika ná</w:t>
      </w:r>
      <w:r w:rsidRPr="00812649">
        <w:rPr>
          <w:rFonts w:hint="default"/>
          <w:b/>
          <w:bCs/>
          <w:lang w:val="sk-SK"/>
        </w:rPr>
        <w:t>vrhu podľ</w:t>
      </w:r>
      <w:r w:rsidRPr="00812649">
        <w:rPr>
          <w:rFonts w:hint="default"/>
          <w:b/>
          <w:bCs/>
          <w:lang w:val="sk-SK"/>
        </w:rPr>
        <w:t>a bodu  2.3.2. Metodiky:</w:t>
      </w:r>
    </w:p>
    <w:p w:rsidR="003B585F" w:rsidRPr="00812649" w:rsidP="003B585F">
      <w:pPr>
        <w:bidi w:val="0"/>
        <w:rPr>
          <w:lang w:val="sk-SK"/>
        </w:rPr>
      </w:pPr>
      <w:r w:rsidRPr="00812649">
        <w:rPr>
          <w:lang w:val="sk-SK"/>
        </w:rPr>
        <w:t> </w:t>
      </w:r>
    </w:p>
    <w:p w:rsidR="003B585F" w:rsidRPr="00812649" w:rsidP="003B585F">
      <w:pPr>
        <w:bidi w:val="0"/>
        <w:rPr>
          <w:lang w:val="sk-SK"/>
        </w:rPr>
      </w:pPr>
      <w:r w:rsidRPr="00812649">
        <w:rPr>
          <w:b/>
          <w:bCs/>
          <w:bdr w:val="single" w:sz="4" w:space="0" w:color="000000" w:frame="1"/>
          <w:lang w:val="sk-SK"/>
        </w:rPr>
        <w:t>   </w:t>
      </w:r>
      <w:r w:rsidRPr="00812649">
        <w:rPr>
          <w:b/>
          <w:bCs/>
          <w:bdr w:val="single" w:sz="4" w:space="0" w:color="000000" w:frame="1"/>
          <w:lang w:val="sk-SK"/>
        </w:rPr>
        <w:t xml:space="preserve"> </w:t>
      </w:r>
      <w:r w:rsidRPr="00812649">
        <w:rPr>
          <w:b/>
          <w:bCs/>
          <w:lang w:val="sk-SK"/>
        </w:rPr>
        <w:t> </w:t>
      </w:r>
      <w:r w:rsidRPr="00812649">
        <w:rPr>
          <w:b/>
          <w:bCs/>
          <w:lang w:val="sk-SK"/>
        </w:rPr>
        <w:t xml:space="preserve"> </w:t>
      </w:r>
      <w:r w:rsidRPr="00812649">
        <w:rPr>
          <w:lang w:val="sk-SK"/>
        </w:rPr>
        <w:t>zmena sadzby</w:t>
      </w:r>
    </w:p>
    <w:p w:rsidR="003B585F" w:rsidRPr="00812649" w:rsidP="003B585F">
      <w:pPr>
        <w:bidi w:val="0"/>
        <w:rPr>
          <w:rFonts w:hint="default"/>
          <w:lang w:val="sk-SK"/>
        </w:rPr>
      </w:pPr>
      <w:r w:rsidRPr="00812649">
        <w:rPr>
          <w:bdr w:val="single" w:sz="4" w:space="0" w:color="000000" w:frame="1"/>
          <w:lang w:val="sk-SK"/>
        </w:rPr>
        <w:t>   </w:t>
      </w:r>
      <w:r w:rsidRPr="00812649">
        <w:rPr>
          <w:bdr w:val="single" w:sz="4" w:space="0" w:color="000000" w:frame="1"/>
          <w:lang w:val="sk-SK"/>
        </w:rPr>
        <w:t xml:space="preserve"> </w:t>
      </w:r>
      <w:r w:rsidRPr="00812649">
        <w:rPr>
          <w:lang w:val="sk-SK"/>
        </w:rPr>
        <w:t> </w:t>
      </w:r>
      <w:r w:rsidRPr="00812649">
        <w:rPr>
          <w:lang w:val="sk-SK"/>
        </w:rPr>
        <w:t xml:space="preserve"> zmena v </w:t>
      </w:r>
      <w:r w:rsidRPr="00812649">
        <w:rPr>
          <w:rFonts w:hint="default"/>
          <w:lang w:val="sk-SK"/>
        </w:rPr>
        <w:t>ná</w:t>
      </w:r>
      <w:r w:rsidRPr="00812649">
        <w:rPr>
          <w:rFonts w:hint="default"/>
          <w:lang w:val="sk-SK"/>
        </w:rPr>
        <w:t>roku</w:t>
      </w:r>
    </w:p>
    <w:p w:rsidR="003B585F" w:rsidRPr="00812649" w:rsidP="003B585F">
      <w:pPr>
        <w:bidi w:val="0"/>
        <w:rPr>
          <w:rFonts w:hint="default"/>
          <w:lang w:val="sk-SK"/>
        </w:rPr>
      </w:pPr>
      <w:r w:rsidRPr="00812649">
        <w:rPr>
          <w:bdr w:val="single" w:sz="4" w:space="0" w:color="000000" w:frame="1"/>
          <w:lang w:val="sk-SK"/>
        </w:rPr>
        <w:t> </w:t>
      </w:r>
      <w:r w:rsidRPr="00812649">
        <w:rPr>
          <w:bdr w:val="single" w:sz="4" w:space="0" w:color="000000" w:frame="1"/>
          <w:lang w:val="sk-SK"/>
        </w:rPr>
        <w:t xml:space="preserve">x </w:t>
      </w:r>
      <w:r w:rsidRPr="00812649">
        <w:rPr>
          <w:lang w:val="sk-SK"/>
        </w:rPr>
        <w:t> </w:t>
      </w:r>
      <w:r w:rsidRPr="00812649">
        <w:rPr>
          <w:rFonts w:hint="default"/>
          <w:lang w:val="sk-SK"/>
        </w:rPr>
        <w:t xml:space="preserve"> nová</w:t>
      </w:r>
      <w:r w:rsidRPr="00812649">
        <w:rPr>
          <w:rFonts w:hint="default"/>
          <w:lang w:val="sk-SK"/>
        </w:rPr>
        <w:t xml:space="preserve"> služ</w:t>
      </w:r>
      <w:r w:rsidRPr="00812649">
        <w:rPr>
          <w:rFonts w:hint="default"/>
          <w:lang w:val="sk-SK"/>
        </w:rPr>
        <w:t>ba alebo nariadenie (alebo ich zruš</w:t>
      </w:r>
      <w:r w:rsidRPr="00812649">
        <w:rPr>
          <w:rFonts w:hint="default"/>
          <w:lang w:val="sk-SK"/>
        </w:rPr>
        <w:t>enie)</w:t>
      </w:r>
    </w:p>
    <w:p w:rsidR="003B585F" w:rsidRPr="00812649" w:rsidP="003B585F">
      <w:pPr>
        <w:bidi w:val="0"/>
        <w:rPr>
          <w:rFonts w:hint="default"/>
          <w:lang w:val="sk-SK"/>
        </w:rPr>
      </w:pPr>
      <w:r w:rsidRPr="00812649">
        <w:rPr>
          <w:bdr w:val="single" w:sz="4" w:space="0" w:color="000000" w:frame="1"/>
          <w:lang w:val="sk-SK"/>
        </w:rPr>
        <w:t> </w:t>
      </w:r>
      <w:r w:rsidRPr="00812649">
        <w:rPr>
          <w:bdr w:val="single" w:sz="4" w:space="0" w:color="000000" w:frame="1"/>
          <w:lang w:val="sk-SK"/>
        </w:rPr>
        <w:t xml:space="preserve">   </w:t>
      </w:r>
      <w:r w:rsidRPr="00812649">
        <w:rPr>
          <w:lang w:val="sk-SK"/>
        </w:rPr>
        <w:t> </w:t>
      </w:r>
      <w:r w:rsidRPr="00812649">
        <w:rPr>
          <w:rFonts w:hint="default"/>
          <w:lang w:val="sk-SK"/>
        </w:rPr>
        <w:t xml:space="preserve"> kombinovaný</w:t>
      </w:r>
      <w:r w:rsidRPr="00812649">
        <w:rPr>
          <w:rFonts w:hint="default"/>
          <w:lang w:val="sk-SK"/>
        </w:rPr>
        <w:t xml:space="preserve"> ná</w:t>
      </w:r>
      <w:r w:rsidRPr="00812649">
        <w:rPr>
          <w:rFonts w:hint="default"/>
          <w:lang w:val="sk-SK"/>
        </w:rPr>
        <w:t>vrh</w:t>
      </w:r>
    </w:p>
    <w:p w:rsidR="003B585F" w:rsidRPr="00812649" w:rsidP="003B585F">
      <w:pPr>
        <w:bidi w:val="0"/>
        <w:rPr>
          <w:rFonts w:hint="default"/>
          <w:lang w:val="sk-SK"/>
        </w:rPr>
      </w:pPr>
      <w:r w:rsidRPr="00812649">
        <w:rPr>
          <w:bdr w:val="single" w:sz="4" w:space="0" w:color="000000" w:frame="1"/>
          <w:lang w:val="sk-SK"/>
        </w:rPr>
        <w:t>   </w:t>
      </w:r>
      <w:r w:rsidRPr="00812649">
        <w:rPr>
          <w:bdr w:val="single" w:sz="4" w:space="0" w:color="000000" w:frame="1"/>
          <w:lang w:val="sk-SK"/>
        </w:rPr>
        <w:t xml:space="preserve"> </w:t>
      </w:r>
      <w:r w:rsidRPr="00812649">
        <w:rPr>
          <w:lang w:val="sk-SK"/>
        </w:rPr>
        <w:t> </w:t>
      </w:r>
      <w:r w:rsidRPr="00812649">
        <w:rPr>
          <w:rFonts w:hint="default"/>
          <w:lang w:val="sk-SK"/>
        </w:rPr>
        <w:t xml:space="preserve"> iné</w:t>
      </w:r>
      <w:r w:rsidRPr="00812649">
        <w:rPr>
          <w:rFonts w:hint="default"/>
          <w:lang w:val="sk-SK"/>
        </w:rPr>
        <w:t xml:space="preserve"> </w:t>
      </w:r>
    </w:p>
    <w:p w:rsidR="003B585F" w:rsidRPr="00812649" w:rsidP="003B585F">
      <w:pPr>
        <w:bidi w:val="0"/>
        <w:rPr>
          <w:rFonts w:hint="default"/>
          <w:lang w:val="sk-SK"/>
        </w:rPr>
      </w:pPr>
      <w:r w:rsidRPr="00812649">
        <w:rPr>
          <w:rFonts w:hint="default"/>
          <w:lang w:val="sk-SK"/>
        </w:rPr>
        <w:t> </w:t>
      </w:r>
    </w:p>
    <w:p w:rsidR="003B585F" w:rsidRPr="00812649" w:rsidP="003B585F">
      <w:pPr>
        <w:bidi w:val="0"/>
        <w:rPr>
          <w:lang w:val="sk-SK"/>
        </w:rPr>
      </w:pPr>
      <w:r w:rsidRPr="00812649">
        <w:rPr>
          <w:rFonts w:hint="default"/>
          <w:b/>
          <w:bCs/>
          <w:lang w:val="sk-SK"/>
        </w:rPr>
        <w:t>2.3.3. Predpoklady vý</w:t>
      </w:r>
      <w:r w:rsidRPr="00812649">
        <w:rPr>
          <w:rFonts w:hint="default"/>
          <w:b/>
          <w:bCs/>
          <w:lang w:val="sk-SK"/>
        </w:rPr>
        <w:t>voja objemu aktiví</w:t>
      </w:r>
      <w:r w:rsidRPr="00812649">
        <w:rPr>
          <w:rFonts w:hint="default"/>
          <w:b/>
          <w:bCs/>
          <w:lang w:val="sk-SK"/>
        </w:rPr>
        <w:t>t:</w:t>
      </w:r>
    </w:p>
    <w:p w:rsidR="003B585F" w:rsidRPr="00812649" w:rsidP="003B585F">
      <w:pPr>
        <w:bidi w:val="0"/>
        <w:rPr>
          <w:lang w:val="sk-SK"/>
        </w:rPr>
      </w:pPr>
      <w:r w:rsidRPr="00812649">
        <w:rPr>
          <w:lang w:val="sk-SK"/>
        </w:rPr>
        <w:t> </w:t>
      </w:r>
    </w:p>
    <w:p w:rsidR="003B585F" w:rsidRPr="00812649" w:rsidP="003B585F">
      <w:pPr>
        <w:bidi w:val="0"/>
        <w:ind w:firstLine="708"/>
        <w:jc w:val="both"/>
        <w:rPr>
          <w:rFonts w:hint="default"/>
          <w:lang w:val="sk-SK"/>
        </w:rPr>
      </w:pPr>
      <w:r w:rsidRPr="00812649">
        <w:rPr>
          <w:rFonts w:hint="default"/>
          <w:lang w:val="sk-SK"/>
        </w:rPr>
        <w:t>Jasne popíš</w:t>
      </w:r>
      <w:r w:rsidRPr="00812649">
        <w:rPr>
          <w:rFonts w:hint="default"/>
          <w:lang w:val="sk-SK"/>
        </w:rPr>
        <w:t xml:space="preserve">te, </w:t>
      </w:r>
      <w:r w:rsidRPr="00812649">
        <w:rPr>
          <w:rFonts w:hint="default"/>
          <w:lang w:val="sk-SK"/>
        </w:rPr>
        <w:t>v </w:t>
      </w:r>
      <w:r w:rsidRPr="00812649">
        <w:rPr>
          <w:rFonts w:hint="default"/>
          <w:lang w:val="sk-SK"/>
        </w:rPr>
        <w:t>prí</w:t>
      </w:r>
      <w:r w:rsidRPr="00812649">
        <w:rPr>
          <w:rFonts w:hint="default"/>
          <w:lang w:val="sk-SK"/>
        </w:rPr>
        <w:t>pade potreby použ</w:t>
      </w:r>
      <w:r w:rsidRPr="00812649">
        <w:rPr>
          <w:rFonts w:hint="default"/>
          <w:lang w:val="sk-SK"/>
        </w:rPr>
        <w:t>ite nižš</w:t>
      </w:r>
      <w:r w:rsidRPr="00812649">
        <w:rPr>
          <w:rFonts w:hint="default"/>
          <w:lang w:val="sk-SK"/>
        </w:rPr>
        <w:t>ie uvedenú</w:t>
      </w:r>
      <w:r w:rsidRPr="00812649">
        <w:rPr>
          <w:rFonts w:hint="default"/>
          <w:lang w:val="sk-SK"/>
        </w:rPr>
        <w:t xml:space="preserve"> tabuľ</w:t>
      </w:r>
      <w:r w:rsidRPr="00812649">
        <w:rPr>
          <w:rFonts w:hint="default"/>
          <w:lang w:val="sk-SK"/>
        </w:rPr>
        <w:t>ku. Uveď</w:t>
      </w:r>
      <w:r w:rsidRPr="00812649">
        <w:rPr>
          <w:rFonts w:hint="default"/>
          <w:lang w:val="sk-SK"/>
        </w:rPr>
        <w:t>te aj odhady zá</w:t>
      </w:r>
      <w:r w:rsidRPr="00812649">
        <w:rPr>
          <w:rFonts w:hint="default"/>
          <w:lang w:val="sk-SK"/>
        </w:rPr>
        <w:t>kladov daní</w:t>
      </w:r>
      <w:r w:rsidRPr="00812649">
        <w:rPr>
          <w:rFonts w:hint="default"/>
          <w:lang w:val="sk-SK"/>
        </w:rPr>
        <w:t xml:space="preserve"> a/alebo poplatkov, ak sa ich tá</w:t>
      </w:r>
      <w:r w:rsidRPr="00812649">
        <w:rPr>
          <w:rFonts w:hint="default"/>
          <w:lang w:val="sk-SK"/>
        </w:rPr>
        <w:t>to zmena tý</w:t>
      </w:r>
      <w:r w:rsidRPr="00812649">
        <w:rPr>
          <w:rFonts w:hint="default"/>
          <w:lang w:val="sk-SK"/>
        </w:rPr>
        <w:t>ka.</w:t>
      </w:r>
    </w:p>
    <w:p w:rsidR="003B585F" w:rsidRPr="00812649" w:rsidP="003B585F">
      <w:pPr>
        <w:bidi w:val="0"/>
        <w:jc w:val="right"/>
        <w:rPr>
          <w:lang w:val="sk-SK"/>
        </w:rPr>
      </w:pPr>
      <w:r w:rsidRPr="00812649">
        <w:rPr>
          <w:rFonts w:hint="default"/>
          <w:sz w:val="20"/>
          <w:szCs w:val="20"/>
          <w:lang w:val="sk-SK"/>
        </w:rPr>
        <w:t>Tabuľ</w:t>
      </w:r>
      <w:r w:rsidRPr="00812649">
        <w:rPr>
          <w:rFonts w:hint="default"/>
          <w:sz w:val="20"/>
          <w:szCs w:val="20"/>
          <w:lang w:val="sk-SK"/>
        </w:rPr>
        <w:t>ka č</w:t>
      </w:r>
      <w:r w:rsidRPr="00812649">
        <w:rPr>
          <w:rFonts w:hint="default"/>
          <w:sz w:val="20"/>
          <w:szCs w:val="20"/>
          <w:lang w:val="sk-SK"/>
        </w:rPr>
        <w:t xml:space="preserve">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B585F" w:rsidRPr="00812649" w:rsidP="00846C6D">
            <w:pPr>
              <w:bidi w:val="0"/>
              <w:spacing w:line="70" w:lineRule="atLeast"/>
              <w:jc w:val="center"/>
              <w:rPr>
                <w:lang w:val="sk-SK"/>
              </w:rPr>
            </w:pP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Objem aktiví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B585F" w:rsidRPr="00812649" w:rsidP="00846C6D">
            <w:pPr>
              <w:bidi w:val="0"/>
              <w:spacing w:line="70" w:lineRule="atLeast"/>
              <w:jc w:val="center"/>
              <w:rPr>
                <w:lang w:val="sk-SK"/>
              </w:rPr>
            </w:pP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Odhadované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 xml:space="preserve">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3B585F" w:rsidRPr="00812649" w:rsidP="00846C6D">
            <w:pPr>
              <w:bidi w:val="0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B585F" w:rsidRPr="00812649" w:rsidP="00846C6D">
            <w:pPr>
              <w:bidi w:val="0"/>
              <w:spacing w:line="70" w:lineRule="atLeast"/>
              <w:jc w:val="center"/>
              <w:rPr>
                <w:lang w:val="sk-SK"/>
              </w:rPr>
            </w:pPr>
            <w:r w:rsidRPr="00812649">
              <w:rPr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B585F" w:rsidRPr="00812649" w:rsidP="00846C6D">
            <w:pPr>
              <w:bidi w:val="0"/>
              <w:spacing w:line="70" w:lineRule="atLeast"/>
              <w:jc w:val="center"/>
              <w:rPr>
                <w:lang w:val="sk-SK"/>
              </w:rPr>
            </w:pPr>
            <w:r w:rsidRPr="00812649">
              <w:rPr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B585F" w:rsidRPr="00812649" w:rsidP="00846C6D">
            <w:pPr>
              <w:bidi w:val="0"/>
              <w:spacing w:line="70" w:lineRule="atLeast"/>
              <w:jc w:val="center"/>
              <w:rPr>
                <w:lang w:val="sk-SK"/>
              </w:rPr>
            </w:pPr>
            <w:r w:rsidRPr="00812649">
              <w:rPr>
                <w:b/>
                <w:bCs/>
                <w:color w:val="FFFFFF"/>
                <w:lang w:val="sk-SK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B585F" w:rsidRPr="00812649" w:rsidP="00846C6D">
            <w:pPr>
              <w:bidi w:val="0"/>
              <w:spacing w:line="70" w:lineRule="atLeast"/>
              <w:jc w:val="center"/>
              <w:rPr>
                <w:lang w:val="sk-SK"/>
              </w:rPr>
            </w:pPr>
            <w:r w:rsidRPr="00812649">
              <w:rPr>
                <w:b/>
                <w:bCs/>
                <w:color w:val="FFFFFF"/>
                <w:lang w:val="sk-SK"/>
              </w:rPr>
              <w:t>2016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jc w:val="center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jc w:val="center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jc w:val="center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jc w:val="center"/>
              <w:rPr>
                <w:lang w:val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jc w:val="right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jc w:val="right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jc w:val="right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jc w:val="right"/>
              <w:rPr>
                <w:lang w:val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jc w:val="right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jc w:val="right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jc w:val="right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B585F" w:rsidRPr="00812649" w:rsidP="00846C6D">
            <w:pPr>
              <w:bidi w:val="0"/>
              <w:spacing w:line="70" w:lineRule="atLeast"/>
              <w:jc w:val="right"/>
              <w:rPr>
                <w:lang w:val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864FAB" w:rsidRPr="00812649" w:rsidP="00846C6D">
            <w:pPr>
              <w:bidi w:val="0"/>
              <w:spacing w:line="70" w:lineRule="atLeast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864FAB" w:rsidRPr="00812649" w:rsidP="00846C6D">
            <w:pPr>
              <w:bidi w:val="0"/>
              <w:spacing w:line="70" w:lineRule="atLeast"/>
              <w:jc w:val="right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864FAB" w:rsidRPr="00812649" w:rsidP="00846C6D">
            <w:pPr>
              <w:bidi w:val="0"/>
              <w:spacing w:line="70" w:lineRule="atLeast"/>
              <w:jc w:val="right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864FAB" w:rsidRPr="00812649" w:rsidP="00846C6D">
            <w:pPr>
              <w:bidi w:val="0"/>
              <w:spacing w:line="70" w:lineRule="atLeast"/>
              <w:jc w:val="right"/>
              <w:rPr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864FAB" w:rsidRPr="00812649" w:rsidP="00846C6D">
            <w:pPr>
              <w:bidi w:val="0"/>
              <w:spacing w:line="70" w:lineRule="atLeast"/>
              <w:jc w:val="right"/>
              <w:rPr>
                <w:lang w:val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B585F" w:rsidRPr="00812649" w:rsidP="00846C6D">
            <w:pPr>
              <w:bidi w:val="0"/>
              <w:rPr>
                <w:sz w:val="2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B585F" w:rsidRPr="00812649" w:rsidP="00846C6D">
            <w:pPr>
              <w:bidi w:val="0"/>
              <w:rPr>
                <w:sz w:val="2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B585F" w:rsidRPr="00812649" w:rsidP="00846C6D">
            <w:pPr>
              <w:bidi w:val="0"/>
              <w:rPr>
                <w:sz w:val="2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B585F" w:rsidRPr="00812649" w:rsidP="00846C6D">
            <w:pPr>
              <w:bidi w:val="0"/>
              <w:rPr>
                <w:sz w:val="2"/>
                <w:lang w:val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3B585F" w:rsidRPr="00812649" w:rsidP="00846C6D">
            <w:pPr>
              <w:bidi w:val="0"/>
              <w:rPr>
                <w:sz w:val="2"/>
                <w:lang w:val="sk-SK"/>
              </w:rPr>
            </w:pPr>
          </w:p>
        </w:tc>
      </w:tr>
    </w:tbl>
    <w:p w:rsidR="003B585F" w:rsidRPr="00812649" w:rsidP="003B585F">
      <w:pPr>
        <w:bidi w:val="0"/>
        <w:rPr>
          <w:lang w:val="sk-SK"/>
        </w:rPr>
      </w:pPr>
      <w:r w:rsidRPr="00812649">
        <w:rPr>
          <w:lang w:val="sk-SK"/>
        </w:rPr>
        <w:t> </w:t>
      </w:r>
      <w:r w:rsidRPr="00812649">
        <w:rPr>
          <w:rFonts w:hint="default"/>
          <w:b/>
          <w:bCs/>
          <w:lang w:val="sk-SK"/>
        </w:rPr>
        <w:t>2.3.4. Vý</w:t>
      </w:r>
      <w:r w:rsidRPr="00812649">
        <w:rPr>
          <w:rFonts w:hint="default"/>
          <w:b/>
          <w:bCs/>
          <w:lang w:val="sk-SK"/>
        </w:rPr>
        <w:t>poč</w:t>
      </w:r>
      <w:r w:rsidRPr="00812649">
        <w:rPr>
          <w:rFonts w:hint="default"/>
          <w:b/>
          <w:bCs/>
          <w:lang w:val="sk-SK"/>
        </w:rPr>
        <w:t>ty vplyvov na ver</w:t>
      </w:r>
      <w:r w:rsidRPr="00812649">
        <w:rPr>
          <w:rFonts w:hint="default"/>
          <w:b/>
          <w:bCs/>
          <w:lang w:val="sk-SK"/>
        </w:rPr>
        <w:t>ejné</w:t>
      </w:r>
      <w:r w:rsidRPr="00812649">
        <w:rPr>
          <w:rFonts w:hint="default"/>
          <w:b/>
          <w:bCs/>
          <w:lang w:val="sk-SK"/>
        </w:rPr>
        <w:t xml:space="preserve"> financie</w:t>
      </w:r>
    </w:p>
    <w:p w:rsidR="003B585F" w:rsidRPr="00812649" w:rsidP="003B585F">
      <w:pPr>
        <w:bidi w:val="0"/>
        <w:rPr>
          <w:lang w:val="sk-SK"/>
        </w:rPr>
      </w:pPr>
      <w:r w:rsidRPr="00812649">
        <w:rPr>
          <w:lang w:val="sk-SK"/>
        </w:rPr>
        <w:t> </w:t>
      </w:r>
    </w:p>
    <w:p w:rsidR="003B585F" w:rsidRPr="00812649" w:rsidP="003B585F">
      <w:pPr>
        <w:bidi w:val="0"/>
        <w:ind w:left="60" w:firstLine="360"/>
        <w:jc w:val="both"/>
        <w:rPr>
          <w:rFonts w:hint="default"/>
          <w:color w:val="000000"/>
          <w:lang w:val="sk-SK"/>
        </w:rPr>
      </w:pPr>
      <w:r w:rsidRPr="00812649">
        <w:rPr>
          <w:rFonts w:hint="default"/>
          <w:color w:val="000000"/>
          <w:lang w:val="sk-SK"/>
        </w:rPr>
        <w:t>Ná</w:t>
      </w:r>
      <w:r w:rsidRPr="00812649">
        <w:rPr>
          <w:rFonts w:hint="default"/>
          <w:color w:val="000000"/>
          <w:lang w:val="sk-SK"/>
        </w:rPr>
        <w:t>vrh zá</w:t>
      </w:r>
      <w:r w:rsidRPr="00812649">
        <w:rPr>
          <w:rFonts w:hint="default"/>
          <w:color w:val="000000"/>
          <w:lang w:val="sk-SK"/>
        </w:rPr>
        <w:t>kona nezakladá</w:t>
      </w:r>
      <w:r w:rsidRPr="00812649">
        <w:rPr>
          <w:rFonts w:hint="default"/>
          <w:color w:val="000000"/>
          <w:lang w:val="sk-SK"/>
        </w:rPr>
        <w:t xml:space="preserve"> zvýš</w:t>
      </w:r>
      <w:r w:rsidRPr="00812649">
        <w:rPr>
          <w:rFonts w:hint="default"/>
          <w:color w:val="000000"/>
          <w:lang w:val="sk-SK"/>
        </w:rPr>
        <w:t>ené</w:t>
      </w:r>
      <w:r w:rsidRPr="00812649">
        <w:rPr>
          <w:rFonts w:hint="default"/>
          <w:color w:val="000000"/>
          <w:lang w:val="sk-SK"/>
        </w:rPr>
        <w:t xml:space="preserve"> ná</w:t>
      </w:r>
      <w:r w:rsidRPr="00812649">
        <w:rPr>
          <w:rFonts w:hint="default"/>
          <w:color w:val="000000"/>
          <w:lang w:val="sk-SK"/>
        </w:rPr>
        <w:t>roky na rozpoč</w:t>
      </w:r>
      <w:r w:rsidRPr="00812649">
        <w:rPr>
          <w:rFonts w:hint="default"/>
          <w:color w:val="000000"/>
          <w:lang w:val="sk-SK"/>
        </w:rPr>
        <w:t>ty samosprá</w:t>
      </w:r>
      <w:r w:rsidRPr="00812649">
        <w:rPr>
          <w:rFonts w:hint="default"/>
          <w:color w:val="000000"/>
          <w:lang w:val="sk-SK"/>
        </w:rPr>
        <w:t>vnych krajov a rozpoč</w:t>
      </w:r>
      <w:r w:rsidRPr="00812649">
        <w:rPr>
          <w:rFonts w:hint="default"/>
          <w:color w:val="000000"/>
          <w:lang w:val="sk-SK"/>
        </w:rPr>
        <w:t>ty obcí</w:t>
      </w:r>
      <w:r w:rsidRPr="00812649">
        <w:rPr>
          <w:rFonts w:hint="default"/>
          <w:color w:val="000000"/>
          <w:lang w:val="sk-SK"/>
        </w:rPr>
        <w:t xml:space="preserve">. </w:t>
      </w:r>
    </w:p>
    <w:p w:rsidR="003B585F" w:rsidRPr="00812649" w:rsidP="003B585F">
      <w:pPr>
        <w:bidi w:val="0"/>
        <w:ind w:left="60" w:firstLine="360"/>
        <w:jc w:val="both"/>
        <w:rPr>
          <w:rFonts w:hint="default"/>
          <w:color w:val="000000"/>
          <w:lang w:val="sk-SK"/>
        </w:rPr>
      </w:pPr>
    </w:p>
    <w:p w:rsidR="003B585F" w:rsidRPr="00812649" w:rsidP="003B585F">
      <w:pPr>
        <w:bidi w:val="0"/>
        <w:ind w:left="60" w:firstLine="360"/>
        <w:jc w:val="both"/>
        <w:rPr>
          <w:color w:val="000000"/>
          <w:lang w:val="sk-SK"/>
        </w:rPr>
      </w:pPr>
      <w:r w:rsidRPr="00812649">
        <w:rPr>
          <w:rFonts w:hint="default"/>
          <w:color w:val="000000"/>
          <w:lang w:val="sk-SK"/>
        </w:rPr>
        <w:t>Ná</w:t>
      </w:r>
      <w:r w:rsidRPr="00812649">
        <w:rPr>
          <w:rFonts w:hint="default"/>
          <w:color w:val="000000"/>
          <w:lang w:val="sk-SK"/>
        </w:rPr>
        <w:t>vrh zá</w:t>
      </w:r>
      <w:r w:rsidRPr="00812649">
        <w:rPr>
          <w:rFonts w:hint="default"/>
          <w:color w:val="000000"/>
          <w:lang w:val="sk-SK"/>
        </w:rPr>
        <w:t>kona zať</w:t>
      </w:r>
      <w:r w:rsidRPr="00812649">
        <w:rPr>
          <w:rFonts w:hint="default"/>
          <w:color w:val="000000"/>
          <w:lang w:val="sk-SK"/>
        </w:rPr>
        <w:t>aží</w:t>
      </w:r>
      <w:r w:rsidRPr="00812649">
        <w:rPr>
          <w:rFonts w:hint="default"/>
          <w:color w:val="000000"/>
          <w:lang w:val="sk-SK"/>
        </w:rPr>
        <w:t xml:space="preserve"> rozpoč</w:t>
      </w:r>
      <w:r w:rsidRPr="00812649">
        <w:rPr>
          <w:rFonts w:hint="default"/>
          <w:color w:val="000000"/>
          <w:lang w:val="sk-SK"/>
        </w:rPr>
        <w:t>et Ministerstva zdravotní</w:t>
      </w:r>
      <w:r w:rsidRPr="00812649">
        <w:rPr>
          <w:rFonts w:hint="default"/>
          <w:color w:val="000000"/>
          <w:lang w:val="sk-SK"/>
        </w:rPr>
        <w:t>ctva Slovenskej republiky, keďž</w:t>
      </w:r>
      <w:r w:rsidRPr="00812649">
        <w:rPr>
          <w:rFonts w:hint="default"/>
          <w:color w:val="000000"/>
          <w:lang w:val="sk-SK"/>
        </w:rPr>
        <w:t>e v </w:t>
      </w:r>
      <w:r w:rsidRPr="00812649">
        <w:rPr>
          <w:rFonts w:hint="default"/>
          <w:color w:val="000000"/>
          <w:lang w:val="sk-SK"/>
        </w:rPr>
        <w:t>rá</w:t>
      </w:r>
      <w:r w:rsidRPr="00812649">
        <w:rPr>
          <w:rFonts w:hint="default"/>
          <w:color w:val="000000"/>
          <w:lang w:val="sk-SK"/>
        </w:rPr>
        <w:t>mci praktickej realizá</w:t>
      </w:r>
      <w:r w:rsidRPr="00812649">
        <w:rPr>
          <w:rFonts w:hint="default"/>
          <w:color w:val="000000"/>
          <w:lang w:val="sk-SK"/>
        </w:rPr>
        <w:t>cie Programu implementá</w:t>
      </w:r>
      <w:r w:rsidRPr="00812649">
        <w:rPr>
          <w:rFonts w:hint="default"/>
          <w:color w:val="000000"/>
          <w:lang w:val="sk-SK"/>
        </w:rPr>
        <w:t>cie eHealth je po</w:t>
      </w:r>
      <w:r w:rsidRPr="00812649">
        <w:rPr>
          <w:rFonts w:hint="default"/>
          <w:color w:val="000000"/>
          <w:lang w:val="sk-SK"/>
        </w:rPr>
        <w:t>trebné</w:t>
      </w:r>
      <w:r w:rsidRPr="00812649">
        <w:rPr>
          <w:rFonts w:hint="default"/>
          <w:color w:val="000000"/>
          <w:lang w:val="sk-SK"/>
        </w:rPr>
        <w:t xml:space="preserve"> vyč</w:t>
      </w:r>
      <w:r w:rsidRPr="00812649">
        <w:rPr>
          <w:rFonts w:hint="default"/>
          <w:color w:val="000000"/>
          <w:lang w:val="sk-SK"/>
        </w:rPr>
        <w:t>leniť</w:t>
      </w:r>
      <w:r w:rsidRPr="00812649">
        <w:rPr>
          <w:rFonts w:hint="default"/>
          <w:color w:val="000000"/>
          <w:lang w:val="sk-SK"/>
        </w:rPr>
        <w:t xml:space="preserve"> prostriedky na zabezpeč</w:t>
      </w:r>
      <w:r w:rsidRPr="00812649">
        <w:rPr>
          <w:rFonts w:hint="default"/>
          <w:color w:val="000000"/>
          <w:lang w:val="sk-SK"/>
        </w:rPr>
        <w:t>enie zvýš</w:t>
      </w:r>
      <w:r w:rsidRPr="00812649">
        <w:rPr>
          <w:rFonts w:hint="default"/>
          <w:color w:val="000000"/>
          <w:lang w:val="sk-SK"/>
        </w:rPr>
        <w:t>ený</w:t>
      </w:r>
      <w:r w:rsidRPr="00812649">
        <w:rPr>
          <w:rFonts w:hint="default"/>
          <w:color w:val="000000"/>
          <w:lang w:val="sk-SK"/>
        </w:rPr>
        <w:t>ch prevá</w:t>
      </w:r>
      <w:r w:rsidRPr="00812649">
        <w:rPr>
          <w:rFonts w:hint="default"/>
          <w:color w:val="000000"/>
          <w:lang w:val="sk-SK"/>
        </w:rPr>
        <w:t>dzkový</w:t>
      </w:r>
      <w:r w:rsidRPr="00812649">
        <w:rPr>
          <w:rFonts w:hint="default"/>
          <w:color w:val="000000"/>
          <w:lang w:val="sk-SK"/>
        </w:rPr>
        <w:t>ch ná</w:t>
      </w:r>
      <w:r w:rsidRPr="00812649">
        <w:rPr>
          <w:rFonts w:hint="default"/>
          <w:color w:val="000000"/>
          <w:lang w:val="sk-SK"/>
        </w:rPr>
        <w:t>kladov niektorý</w:t>
      </w:r>
      <w:r w:rsidRPr="00812649">
        <w:rPr>
          <w:rFonts w:hint="default"/>
          <w:color w:val="000000"/>
          <w:lang w:val="sk-SK"/>
        </w:rPr>
        <w:t>ch organizá</w:t>
      </w:r>
      <w:r w:rsidRPr="00812649">
        <w:rPr>
          <w:rFonts w:hint="default"/>
          <w:color w:val="000000"/>
          <w:lang w:val="sk-SK"/>
        </w:rPr>
        <w:t>cií</w:t>
      </w:r>
      <w:r w:rsidRPr="00812649">
        <w:rPr>
          <w:rFonts w:hint="default"/>
          <w:color w:val="000000"/>
          <w:lang w:val="sk-SK"/>
        </w:rPr>
        <w:t>, ktoré</w:t>
      </w:r>
      <w:r w:rsidRPr="00812649">
        <w:rPr>
          <w:rFonts w:hint="default"/>
          <w:color w:val="000000"/>
          <w:lang w:val="sk-SK"/>
        </w:rPr>
        <w:t xml:space="preserve"> sa priamo podieľ</w:t>
      </w:r>
      <w:r w:rsidRPr="00812649">
        <w:rPr>
          <w:rFonts w:hint="default"/>
          <w:color w:val="000000"/>
          <w:lang w:val="sk-SK"/>
        </w:rPr>
        <w:t>ajú</w:t>
      </w:r>
      <w:r w:rsidRPr="00812649">
        <w:rPr>
          <w:rFonts w:hint="default"/>
          <w:color w:val="000000"/>
          <w:lang w:val="sk-SK"/>
        </w:rPr>
        <w:t xml:space="preserve"> na podporný</w:t>
      </w:r>
      <w:r w:rsidRPr="00812649">
        <w:rPr>
          <w:rFonts w:hint="default"/>
          <w:color w:val="000000"/>
          <w:lang w:val="sk-SK"/>
        </w:rPr>
        <w:t>ch projektoch programu. Medzi identif</w:t>
      </w:r>
      <w:r w:rsidRPr="00812649" w:rsidR="000C50D3">
        <w:rPr>
          <w:rFonts w:hint="default"/>
          <w:color w:val="000000"/>
          <w:lang w:val="sk-SK"/>
        </w:rPr>
        <w:t>ikovaný</w:t>
      </w:r>
      <w:r w:rsidRPr="00812649" w:rsidR="000C50D3">
        <w:rPr>
          <w:rFonts w:hint="default"/>
          <w:color w:val="000000"/>
          <w:lang w:val="sk-SK"/>
        </w:rPr>
        <w:t>mi polož</w:t>
      </w:r>
      <w:r w:rsidRPr="00812649" w:rsidR="000C50D3">
        <w:rPr>
          <w:rFonts w:hint="default"/>
          <w:color w:val="000000"/>
          <w:lang w:val="sk-SK"/>
        </w:rPr>
        <w:t>kami, na ktoré</w:t>
      </w:r>
      <w:r w:rsidRPr="00812649" w:rsidR="000C50D3">
        <w:rPr>
          <w:rFonts w:hint="default"/>
          <w:color w:val="000000"/>
          <w:lang w:val="sk-SK"/>
        </w:rPr>
        <w:t xml:space="preserve"> sú</w:t>
      </w:r>
      <w:r w:rsidRPr="00812649" w:rsidR="000C50D3">
        <w:rPr>
          <w:rFonts w:hint="default"/>
          <w:color w:val="000000"/>
          <w:lang w:val="sk-SK"/>
        </w:rPr>
        <w:t xml:space="preserve"> v </w:t>
      </w:r>
      <w:r w:rsidRPr="00812649" w:rsidR="000C50D3">
        <w:rPr>
          <w:rFonts w:hint="default"/>
          <w:color w:val="000000"/>
          <w:lang w:val="sk-SK"/>
        </w:rPr>
        <w:t>š</w:t>
      </w:r>
      <w:r w:rsidRPr="00812649" w:rsidR="000C50D3">
        <w:rPr>
          <w:rFonts w:hint="default"/>
          <w:color w:val="000000"/>
          <w:lang w:val="sk-SK"/>
        </w:rPr>
        <w:t>tá</w:t>
      </w:r>
      <w:r w:rsidRPr="00812649" w:rsidR="000C50D3">
        <w:rPr>
          <w:rFonts w:hint="default"/>
          <w:color w:val="000000"/>
          <w:lang w:val="sk-SK"/>
        </w:rPr>
        <w:t>tnom rozpoč</w:t>
      </w:r>
      <w:r w:rsidRPr="00812649" w:rsidR="000C50D3">
        <w:rPr>
          <w:rFonts w:hint="default"/>
          <w:color w:val="000000"/>
          <w:lang w:val="sk-SK"/>
        </w:rPr>
        <w:t>te vyč</w:t>
      </w:r>
      <w:r w:rsidRPr="00812649" w:rsidR="000C50D3">
        <w:rPr>
          <w:rFonts w:hint="default"/>
          <w:color w:val="000000"/>
          <w:lang w:val="sk-SK"/>
        </w:rPr>
        <w:t>lenené</w:t>
      </w:r>
      <w:r w:rsidRPr="00812649" w:rsidR="000C50D3">
        <w:rPr>
          <w:rFonts w:hint="default"/>
          <w:color w:val="000000"/>
          <w:lang w:val="sk-SK"/>
        </w:rPr>
        <w:t xml:space="preserve"> finanč</w:t>
      </w:r>
      <w:r w:rsidRPr="00812649" w:rsidR="000C50D3">
        <w:rPr>
          <w:rFonts w:hint="default"/>
          <w:color w:val="000000"/>
          <w:lang w:val="sk-SK"/>
        </w:rPr>
        <w:t>né</w:t>
      </w:r>
      <w:r w:rsidRPr="00812649">
        <w:rPr>
          <w:color w:val="000000"/>
          <w:lang w:val="sk-SK"/>
        </w:rPr>
        <w:t xml:space="preserve"> prostriedk</w:t>
      </w:r>
      <w:r w:rsidRPr="00812649">
        <w:rPr>
          <w:color w:val="000000"/>
          <w:lang w:val="sk-SK"/>
        </w:rPr>
        <w:t>y</w:t>
      </w:r>
      <w:r w:rsidRPr="00812649" w:rsidR="000C50D3">
        <w:rPr>
          <w:color w:val="000000"/>
          <w:lang w:val="sk-SK"/>
        </w:rPr>
        <w:t xml:space="preserve"> v </w:t>
      </w:r>
      <w:r w:rsidRPr="00812649" w:rsidR="000C50D3">
        <w:rPr>
          <w:rFonts w:hint="default"/>
          <w:color w:val="000000"/>
          <w:lang w:val="sk-SK"/>
        </w:rPr>
        <w:t>rá</w:t>
      </w:r>
      <w:r w:rsidRPr="00812649" w:rsidR="000C50D3">
        <w:rPr>
          <w:rFonts w:hint="default"/>
          <w:color w:val="000000"/>
          <w:lang w:val="sk-SK"/>
        </w:rPr>
        <w:t>mci schvá</w:t>
      </w:r>
      <w:r w:rsidRPr="00812649" w:rsidR="000C50D3">
        <w:rPr>
          <w:rFonts w:hint="default"/>
          <w:color w:val="000000"/>
          <w:lang w:val="sk-SK"/>
        </w:rPr>
        <w:t>lený</w:t>
      </w:r>
      <w:r w:rsidRPr="00812649" w:rsidR="000C50D3">
        <w:rPr>
          <w:rFonts w:hint="default"/>
          <w:color w:val="000000"/>
          <w:lang w:val="sk-SK"/>
        </w:rPr>
        <w:t>ch zá</w:t>
      </w:r>
      <w:r w:rsidRPr="00812649" w:rsidR="000C50D3">
        <w:rPr>
          <w:rFonts w:hint="default"/>
          <w:color w:val="000000"/>
          <w:lang w:val="sk-SK"/>
        </w:rPr>
        <w:t>vä</w:t>
      </w:r>
      <w:r w:rsidRPr="00812649" w:rsidR="000C50D3">
        <w:rPr>
          <w:rFonts w:hint="default"/>
          <w:color w:val="000000"/>
          <w:lang w:val="sk-SK"/>
        </w:rPr>
        <w:t>zný</w:t>
      </w:r>
      <w:r w:rsidRPr="00812649" w:rsidR="000C50D3">
        <w:rPr>
          <w:rFonts w:hint="default"/>
          <w:color w:val="000000"/>
          <w:lang w:val="sk-SK"/>
        </w:rPr>
        <w:t>ch ukazovateľ</w:t>
      </w:r>
      <w:r w:rsidRPr="00812649" w:rsidR="000C50D3">
        <w:rPr>
          <w:rFonts w:hint="default"/>
          <w:color w:val="000000"/>
          <w:lang w:val="sk-SK"/>
        </w:rPr>
        <w:t>ov rozpoč</w:t>
      </w:r>
      <w:r w:rsidRPr="00812649" w:rsidR="000C50D3">
        <w:rPr>
          <w:rFonts w:hint="default"/>
          <w:color w:val="000000"/>
          <w:lang w:val="sk-SK"/>
        </w:rPr>
        <w:t>tu kapitoly MZ SR na rok 2013</w:t>
      </w:r>
      <w:r w:rsidRPr="00812649">
        <w:rPr>
          <w:rFonts w:hint="default"/>
          <w:color w:val="000000"/>
          <w:lang w:val="sk-SK"/>
        </w:rPr>
        <w:t xml:space="preserve"> je licenč</w:t>
      </w:r>
      <w:r w:rsidRPr="00812649">
        <w:rPr>
          <w:rFonts w:hint="default"/>
          <w:color w:val="000000"/>
          <w:lang w:val="sk-SK"/>
        </w:rPr>
        <w:t>né</w:t>
      </w:r>
      <w:r w:rsidRPr="00812649">
        <w:rPr>
          <w:rFonts w:hint="default"/>
          <w:color w:val="000000"/>
          <w:lang w:val="sk-SK"/>
        </w:rPr>
        <w:t xml:space="preserve"> pokrytie prevá</w:t>
      </w:r>
      <w:r w:rsidRPr="00812649">
        <w:rPr>
          <w:rFonts w:hint="default"/>
          <w:color w:val="000000"/>
          <w:lang w:val="sk-SK"/>
        </w:rPr>
        <w:t>dzkovateľ</w:t>
      </w:r>
      <w:r w:rsidRPr="00812649">
        <w:rPr>
          <w:rFonts w:hint="default"/>
          <w:color w:val="000000"/>
          <w:lang w:val="sk-SK"/>
        </w:rPr>
        <w:t>a eHealth, podpora legislatí</w:t>
      </w:r>
      <w:r w:rsidRPr="00812649">
        <w:rPr>
          <w:rFonts w:hint="default"/>
          <w:color w:val="000000"/>
          <w:lang w:val="sk-SK"/>
        </w:rPr>
        <w:t>vneho tí</w:t>
      </w:r>
      <w:r w:rsidRPr="00812649">
        <w:rPr>
          <w:rFonts w:hint="default"/>
          <w:color w:val="000000"/>
          <w:lang w:val="sk-SK"/>
        </w:rPr>
        <w:t>mu a </w:t>
      </w:r>
      <w:r w:rsidRPr="00812649">
        <w:rPr>
          <w:rFonts w:hint="default"/>
          <w:color w:val="000000"/>
          <w:lang w:val="sk-SK"/>
        </w:rPr>
        <w:t>ná</w:t>
      </w:r>
      <w:r w:rsidRPr="00812649">
        <w:rPr>
          <w:rFonts w:hint="default"/>
          <w:color w:val="000000"/>
          <w:lang w:val="sk-SK"/>
        </w:rPr>
        <w:t>klady na prevá</w:t>
      </w:r>
      <w:r w:rsidRPr="00812649">
        <w:rPr>
          <w:rFonts w:hint="default"/>
          <w:color w:val="000000"/>
          <w:lang w:val="sk-SK"/>
        </w:rPr>
        <w:t>dzkovanie NZIS pred jeho nasadení</w:t>
      </w:r>
      <w:r w:rsidRPr="00812649">
        <w:rPr>
          <w:rFonts w:hint="default"/>
          <w:color w:val="000000"/>
          <w:lang w:val="sk-SK"/>
        </w:rPr>
        <w:t>m, ktorý</w:t>
      </w:r>
      <w:r w:rsidRPr="00812649">
        <w:rPr>
          <w:rFonts w:hint="default"/>
          <w:color w:val="000000"/>
          <w:lang w:val="sk-SK"/>
        </w:rPr>
        <w:t>ch znáš</w:t>
      </w:r>
      <w:r w:rsidRPr="00812649">
        <w:rPr>
          <w:rFonts w:hint="default"/>
          <w:color w:val="000000"/>
          <w:lang w:val="sk-SK"/>
        </w:rPr>
        <w:t>ateľ</w:t>
      </w:r>
      <w:r w:rsidRPr="00812649">
        <w:rPr>
          <w:rFonts w:hint="default"/>
          <w:color w:val="000000"/>
          <w:lang w:val="sk-SK"/>
        </w:rPr>
        <w:t>om je Ná</w:t>
      </w:r>
      <w:r w:rsidRPr="00812649">
        <w:rPr>
          <w:rFonts w:hint="default"/>
          <w:color w:val="000000"/>
          <w:lang w:val="sk-SK"/>
        </w:rPr>
        <w:t>rodné</w:t>
      </w:r>
      <w:r w:rsidRPr="00812649">
        <w:rPr>
          <w:rFonts w:hint="default"/>
          <w:color w:val="000000"/>
          <w:lang w:val="sk-SK"/>
        </w:rPr>
        <w:t xml:space="preserve"> centrum zdravotní</w:t>
      </w:r>
      <w:r w:rsidRPr="00812649">
        <w:rPr>
          <w:rFonts w:hint="default"/>
          <w:color w:val="000000"/>
          <w:lang w:val="sk-SK"/>
        </w:rPr>
        <w:t>ckych informá</w:t>
      </w:r>
      <w:r w:rsidRPr="00812649">
        <w:rPr>
          <w:rFonts w:hint="default"/>
          <w:color w:val="000000"/>
          <w:lang w:val="sk-SK"/>
        </w:rPr>
        <w:t>cií</w:t>
      </w:r>
      <w:r w:rsidRPr="00812649">
        <w:rPr>
          <w:rFonts w:hint="default"/>
          <w:color w:val="000000"/>
          <w:lang w:val="sk-SK"/>
        </w:rPr>
        <w:t>. Odhadovaná</w:t>
      </w:r>
      <w:r w:rsidRPr="00812649">
        <w:rPr>
          <w:rFonts w:hint="default"/>
          <w:color w:val="000000"/>
          <w:lang w:val="sk-SK"/>
        </w:rPr>
        <w:t xml:space="preserve"> výš</w:t>
      </w:r>
      <w:r w:rsidRPr="00812649">
        <w:rPr>
          <w:rFonts w:hint="default"/>
          <w:color w:val="000000"/>
          <w:lang w:val="sk-SK"/>
        </w:rPr>
        <w:t>ka tý</w:t>
      </w:r>
      <w:r w:rsidRPr="00812649">
        <w:rPr>
          <w:rFonts w:hint="default"/>
          <w:color w:val="000000"/>
          <w:lang w:val="sk-SK"/>
        </w:rPr>
        <w:t>chto polož</w:t>
      </w:r>
      <w:r w:rsidRPr="00812649">
        <w:rPr>
          <w:rFonts w:hint="default"/>
          <w:color w:val="000000"/>
          <w:lang w:val="sk-SK"/>
        </w:rPr>
        <w:t>iek v </w:t>
      </w:r>
      <w:r w:rsidRPr="00812649">
        <w:rPr>
          <w:rFonts w:hint="default"/>
          <w:color w:val="000000"/>
          <w:lang w:val="sk-SK"/>
        </w:rPr>
        <w:t>súč</w:t>
      </w:r>
      <w:r w:rsidRPr="00812649">
        <w:rPr>
          <w:rFonts w:hint="default"/>
          <w:color w:val="000000"/>
          <w:lang w:val="sk-SK"/>
        </w:rPr>
        <w:t>te tvorí</w:t>
      </w:r>
      <w:r w:rsidRPr="00812649">
        <w:rPr>
          <w:rFonts w:hint="default"/>
          <w:color w:val="000000"/>
          <w:lang w:val="sk-SK"/>
        </w:rPr>
        <w:t xml:space="preserve"> za rok 2013 sumu </w:t>
      </w:r>
      <w:r w:rsidRPr="00DD5D8C" w:rsidR="00DD5D8C">
        <w:rPr>
          <w:bCs/>
          <w:iCs/>
          <w:lang w:val="sk-SK"/>
        </w:rPr>
        <w:t>1 220 044</w:t>
      </w:r>
      <w:r w:rsidR="00DD5D8C">
        <w:rPr>
          <w:bCs/>
          <w:i/>
          <w:iCs/>
          <w:lang w:val="sk-SK"/>
        </w:rPr>
        <w:t xml:space="preserve"> </w:t>
      </w:r>
      <w:r w:rsidRPr="00812649">
        <w:rPr>
          <w:color w:val="000000"/>
          <w:lang w:val="sk-SK"/>
        </w:rPr>
        <w:t>Eur, 0 Eur za rok 2014,0 Eur za rok 2015 a 0 Eur za rok 2016</w:t>
      </w:r>
      <w:r w:rsidRPr="00812649" w:rsidR="00864FAB">
        <w:rPr>
          <w:color w:val="000000"/>
          <w:lang w:val="sk-SK"/>
        </w:rPr>
        <w:t xml:space="preserve">. </w:t>
      </w:r>
      <w:r w:rsidRPr="00812649" w:rsidR="00DF6710">
        <w:rPr>
          <w:rFonts w:hint="default"/>
          <w:b/>
          <w:i/>
          <w:color w:val="000000"/>
          <w:lang w:val="sk-SK"/>
        </w:rPr>
        <w:t>Predmetné</w:t>
      </w:r>
      <w:r w:rsidRPr="00812649" w:rsidR="00DF6710">
        <w:rPr>
          <w:rFonts w:hint="default"/>
          <w:b/>
          <w:i/>
          <w:color w:val="000000"/>
          <w:lang w:val="sk-SK"/>
        </w:rPr>
        <w:t xml:space="preserve"> finanč</w:t>
      </w:r>
      <w:r w:rsidRPr="00812649" w:rsidR="00DF6710">
        <w:rPr>
          <w:rFonts w:hint="default"/>
          <w:b/>
          <w:i/>
          <w:color w:val="000000"/>
          <w:lang w:val="sk-SK"/>
        </w:rPr>
        <w:t>né</w:t>
      </w:r>
      <w:r w:rsidRPr="00812649" w:rsidR="00DF6710">
        <w:rPr>
          <w:rFonts w:hint="default"/>
          <w:b/>
          <w:i/>
          <w:color w:val="000000"/>
          <w:lang w:val="sk-SK"/>
        </w:rPr>
        <w:t xml:space="preserve"> prostriedky nepredstavujú</w:t>
      </w:r>
      <w:r w:rsidRPr="00812649" w:rsidR="00DF6710">
        <w:rPr>
          <w:rFonts w:hint="default"/>
          <w:b/>
          <w:i/>
          <w:color w:val="000000"/>
          <w:lang w:val="sk-SK"/>
        </w:rPr>
        <w:t xml:space="preserve"> zvýš</w:t>
      </w:r>
      <w:r w:rsidRPr="00812649" w:rsidR="00DF6710">
        <w:rPr>
          <w:rFonts w:hint="default"/>
          <w:b/>
          <w:i/>
          <w:color w:val="000000"/>
          <w:lang w:val="sk-SK"/>
        </w:rPr>
        <w:t>ené</w:t>
      </w:r>
      <w:r w:rsidRPr="00812649" w:rsidR="00DF6710">
        <w:rPr>
          <w:rFonts w:hint="default"/>
          <w:b/>
          <w:i/>
          <w:color w:val="000000"/>
          <w:lang w:val="sk-SK"/>
        </w:rPr>
        <w:t xml:space="preserve"> ná</w:t>
      </w:r>
      <w:r w:rsidRPr="00812649" w:rsidR="00DF6710">
        <w:rPr>
          <w:rFonts w:hint="default"/>
          <w:b/>
          <w:i/>
          <w:color w:val="000000"/>
          <w:lang w:val="sk-SK"/>
        </w:rPr>
        <w:t>roky na š</w:t>
      </w:r>
      <w:r w:rsidRPr="00812649" w:rsidR="00DF6710">
        <w:rPr>
          <w:rFonts w:hint="default"/>
          <w:b/>
          <w:i/>
          <w:color w:val="000000"/>
          <w:lang w:val="sk-SK"/>
        </w:rPr>
        <w:t>tá</w:t>
      </w:r>
      <w:r w:rsidRPr="00812649" w:rsidR="00DF6710">
        <w:rPr>
          <w:rFonts w:hint="default"/>
          <w:b/>
          <w:i/>
          <w:color w:val="000000"/>
          <w:lang w:val="sk-SK"/>
        </w:rPr>
        <w:t>tny rozpoč</w:t>
      </w:r>
      <w:r w:rsidRPr="00812649" w:rsidR="00DF6710">
        <w:rPr>
          <w:rFonts w:hint="default"/>
          <w:b/>
          <w:i/>
          <w:color w:val="000000"/>
          <w:lang w:val="sk-SK"/>
        </w:rPr>
        <w:t xml:space="preserve">et roku 2013, suma </w:t>
      </w:r>
      <w:r w:rsidRPr="004D30D7" w:rsidR="004D30D7">
        <w:rPr>
          <w:b/>
          <w:bCs/>
          <w:i/>
          <w:iCs/>
          <w:lang w:val="sk-SK"/>
        </w:rPr>
        <w:t>1 220</w:t>
      </w:r>
      <w:r w:rsidR="004D30D7">
        <w:rPr>
          <w:b/>
          <w:bCs/>
          <w:i/>
          <w:iCs/>
          <w:lang w:val="sk-SK"/>
        </w:rPr>
        <w:t> </w:t>
      </w:r>
      <w:r w:rsidRPr="004D30D7" w:rsidR="004D30D7">
        <w:rPr>
          <w:b/>
          <w:bCs/>
          <w:i/>
          <w:iCs/>
          <w:lang w:val="sk-SK"/>
        </w:rPr>
        <w:t>0</w:t>
      </w:r>
      <w:r w:rsidRPr="004D30D7" w:rsidR="004D30D7">
        <w:rPr>
          <w:b/>
          <w:bCs/>
          <w:i/>
          <w:iCs/>
          <w:lang w:val="sk-SK"/>
        </w:rPr>
        <w:t>44</w:t>
      </w:r>
      <w:r w:rsidR="004D30D7">
        <w:rPr>
          <w:b/>
          <w:bCs/>
          <w:i/>
          <w:iCs/>
          <w:lang w:val="sk-SK"/>
        </w:rPr>
        <w:t xml:space="preserve"> </w:t>
      </w:r>
      <w:r w:rsidRPr="004D30D7" w:rsidR="00DF6710">
        <w:rPr>
          <w:b/>
          <w:i/>
          <w:color w:val="000000"/>
          <w:lang w:val="sk-SK"/>
        </w:rPr>
        <w:t>Eur</w:t>
      </w:r>
      <w:r w:rsidRPr="00812649" w:rsidR="00DF6710">
        <w:rPr>
          <w:rFonts w:hint="default"/>
          <w:b/>
          <w:i/>
          <w:color w:val="000000"/>
          <w:lang w:val="sk-SK"/>
        </w:rPr>
        <w:t xml:space="preserve"> je rozpoč</w:t>
      </w:r>
      <w:r w:rsidRPr="00812649" w:rsidR="00DF6710">
        <w:rPr>
          <w:rFonts w:hint="default"/>
          <w:b/>
          <w:i/>
          <w:color w:val="000000"/>
          <w:lang w:val="sk-SK"/>
        </w:rPr>
        <w:t>tovaná</w:t>
      </w:r>
      <w:r w:rsidRPr="00812649" w:rsidR="00DF6710">
        <w:rPr>
          <w:rFonts w:hint="default"/>
          <w:b/>
          <w:i/>
          <w:color w:val="000000"/>
          <w:lang w:val="sk-SK"/>
        </w:rPr>
        <w:t xml:space="preserve"> v </w:t>
      </w:r>
      <w:r w:rsidRPr="00812649" w:rsidR="00DF6710">
        <w:rPr>
          <w:rFonts w:hint="default"/>
          <w:b/>
          <w:i/>
          <w:color w:val="000000"/>
          <w:lang w:val="sk-SK"/>
        </w:rPr>
        <w:t>rozpoč</w:t>
      </w:r>
      <w:r w:rsidRPr="00812649" w:rsidR="00DF6710">
        <w:rPr>
          <w:rFonts w:hint="default"/>
          <w:b/>
          <w:i/>
          <w:color w:val="000000"/>
          <w:lang w:val="sk-SK"/>
        </w:rPr>
        <w:t>te kapitoly MZ SR ako transfer pre Ná</w:t>
      </w:r>
      <w:r w:rsidRPr="00812649" w:rsidR="00DF6710">
        <w:rPr>
          <w:rFonts w:hint="default"/>
          <w:b/>
          <w:i/>
          <w:color w:val="000000"/>
          <w:lang w:val="sk-SK"/>
        </w:rPr>
        <w:t>rodné</w:t>
      </w:r>
      <w:r w:rsidRPr="00812649" w:rsidR="00DF6710">
        <w:rPr>
          <w:rFonts w:hint="default"/>
          <w:b/>
          <w:i/>
          <w:color w:val="000000"/>
          <w:lang w:val="sk-SK"/>
        </w:rPr>
        <w:t xml:space="preserve"> centrum zdravotní</w:t>
      </w:r>
      <w:r w:rsidRPr="00812649" w:rsidR="00DF6710">
        <w:rPr>
          <w:rFonts w:hint="default"/>
          <w:b/>
          <w:i/>
          <w:color w:val="000000"/>
          <w:lang w:val="sk-SK"/>
        </w:rPr>
        <w:t>ckych</w:t>
      </w:r>
      <w:r w:rsidRPr="00812649" w:rsidR="00DF6710">
        <w:rPr>
          <w:rFonts w:hint="default"/>
          <w:color w:val="000000"/>
          <w:lang w:val="sk-SK"/>
        </w:rPr>
        <w:t xml:space="preserve"> informá</w:t>
      </w:r>
      <w:r w:rsidRPr="00812649" w:rsidR="00DF6710">
        <w:rPr>
          <w:rFonts w:hint="default"/>
          <w:color w:val="000000"/>
          <w:lang w:val="sk-SK"/>
        </w:rPr>
        <w:t>cií.</w:t>
      </w:r>
    </w:p>
    <w:p w:rsidR="00474D5D" w:rsidRPr="00812649" w:rsidP="003B585F">
      <w:pPr>
        <w:bidi w:val="0"/>
        <w:ind w:left="60" w:firstLine="360"/>
        <w:jc w:val="both"/>
        <w:rPr>
          <w:color w:val="000000"/>
          <w:lang w:val="sk-SK"/>
        </w:rPr>
      </w:pPr>
    </w:p>
    <w:p w:rsidR="00085767" w:rsidRPr="00812649" w:rsidP="00085767">
      <w:pPr>
        <w:bidi w:val="0"/>
        <w:ind w:left="60" w:firstLine="360"/>
        <w:jc w:val="both"/>
        <w:rPr>
          <w:lang w:val="sk-SK"/>
        </w:rPr>
      </w:pPr>
      <w:r w:rsidRPr="00812649" w:rsidR="00D77875">
        <w:rPr>
          <w:rFonts w:hint="default"/>
          <w:color w:val="000000"/>
          <w:lang w:val="sk-SK"/>
        </w:rPr>
        <w:t>Vý</w:t>
      </w:r>
      <w:r w:rsidRPr="00812649" w:rsidR="00D77875">
        <w:rPr>
          <w:rFonts w:hint="default"/>
          <w:color w:val="000000"/>
          <w:lang w:val="sk-SK"/>
        </w:rPr>
        <w:t>davky sú</w:t>
      </w:r>
      <w:r w:rsidRPr="00812649" w:rsidR="00D77875">
        <w:rPr>
          <w:rFonts w:hint="default"/>
          <w:color w:val="000000"/>
          <w:lang w:val="sk-SK"/>
        </w:rPr>
        <w:t>visiace s </w:t>
      </w:r>
      <w:r w:rsidRPr="00812649" w:rsidR="00D77875">
        <w:rPr>
          <w:rFonts w:hint="default"/>
          <w:color w:val="000000"/>
          <w:lang w:val="sk-SK"/>
        </w:rPr>
        <w:t>prevá</w:t>
      </w:r>
      <w:r w:rsidRPr="00812649" w:rsidR="00D77875">
        <w:rPr>
          <w:rFonts w:hint="default"/>
          <w:color w:val="000000"/>
          <w:lang w:val="sk-SK"/>
        </w:rPr>
        <w:t>dzkou NZIS po jeho nasadení</w:t>
      </w:r>
      <w:r w:rsidRPr="00812649" w:rsidR="00D77875">
        <w:rPr>
          <w:rFonts w:hint="default"/>
          <w:color w:val="000000"/>
          <w:lang w:val="sk-SK"/>
        </w:rPr>
        <w:t xml:space="preserve"> v </w:t>
      </w:r>
      <w:r w:rsidRPr="00812649" w:rsidR="00D77875">
        <w:rPr>
          <w:rFonts w:hint="default"/>
          <w:color w:val="000000"/>
          <w:lang w:val="sk-SK"/>
        </w:rPr>
        <w:t>roku 2013 vo výš</w:t>
      </w:r>
      <w:r w:rsidRPr="00812649" w:rsidR="00D77875">
        <w:rPr>
          <w:rFonts w:hint="default"/>
          <w:color w:val="000000"/>
          <w:lang w:val="sk-SK"/>
        </w:rPr>
        <w:t>ke 3</w:t>
      </w:r>
      <w:r w:rsidRPr="00812649" w:rsidR="00D77875">
        <w:rPr>
          <w:lang w:val="sk-SK"/>
        </w:rPr>
        <w:t> </w:t>
      </w:r>
      <w:r w:rsidRPr="00812649" w:rsidR="00D77875">
        <w:rPr>
          <w:lang w:val="sk-SK"/>
        </w:rPr>
        <w:t>908</w:t>
      </w:r>
      <w:r w:rsidRPr="00812649" w:rsidR="00FE5E09">
        <w:rPr>
          <w:lang w:val="sk-SK"/>
        </w:rPr>
        <w:t> </w:t>
      </w:r>
      <w:r w:rsidRPr="00812649" w:rsidR="00D77875">
        <w:rPr>
          <w:lang w:val="sk-SK"/>
        </w:rPr>
        <w:t>000</w:t>
      </w:r>
      <w:r w:rsidRPr="00812649" w:rsidR="00FE5E09">
        <w:rPr>
          <w:lang w:val="sk-SK"/>
        </w:rPr>
        <w:t> </w:t>
      </w:r>
      <w:r w:rsidRPr="00812649" w:rsidR="00D77875">
        <w:rPr>
          <w:rFonts w:hint="default"/>
          <w:lang w:val="sk-SK"/>
        </w:rPr>
        <w:t>€</w:t>
      </w:r>
      <w:r w:rsidRPr="00812649" w:rsidR="000C50D3">
        <w:rPr>
          <w:lang w:val="sk-SK"/>
        </w:rPr>
        <w:t>, v </w:t>
      </w:r>
      <w:r w:rsidRPr="00812649" w:rsidR="000C50D3">
        <w:rPr>
          <w:rFonts w:hint="default"/>
          <w:lang w:val="sk-SK"/>
        </w:rPr>
        <w:t>roku 2014 vo výš</w:t>
      </w:r>
      <w:r w:rsidRPr="00812649" w:rsidR="000C50D3">
        <w:rPr>
          <w:rFonts w:hint="default"/>
          <w:lang w:val="sk-SK"/>
        </w:rPr>
        <w:t>ke 9 378 </w:t>
      </w:r>
      <w:r w:rsidRPr="00812649" w:rsidR="000C50D3">
        <w:rPr>
          <w:rFonts w:hint="default"/>
          <w:lang w:val="sk-SK"/>
        </w:rPr>
        <w:t>000 €</w:t>
      </w:r>
      <w:r w:rsidRPr="00812649" w:rsidR="000C50D3">
        <w:rPr>
          <w:rFonts w:hint="default"/>
          <w:lang w:val="sk-SK"/>
        </w:rPr>
        <w:t>, v </w:t>
      </w:r>
      <w:r w:rsidRPr="00812649" w:rsidR="000C50D3">
        <w:rPr>
          <w:rFonts w:hint="default"/>
          <w:lang w:val="sk-SK"/>
        </w:rPr>
        <w:t>roku 2015 vo výš</w:t>
      </w:r>
      <w:r w:rsidRPr="00812649" w:rsidR="000C50D3">
        <w:rPr>
          <w:rFonts w:hint="default"/>
          <w:lang w:val="sk-SK"/>
        </w:rPr>
        <w:t>ke 9 500 </w:t>
      </w:r>
      <w:r w:rsidRPr="00812649" w:rsidR="000C50D3">
        <w:rPr>
          <w:rFonts w:hint="default"/>
          <w:lang w:val="sk-SK"/>
        </w:rPr>
        <w:t>000 €</w:t>
      </w:r>
      <w:r w:rsidRPr="00812649" w:rsidR="000C50D3">
        <w:rPr>
          <w:rFonts w:hint="default"/>
          <w:lang w:val="sk-SK"/>
        </w:rPr>
        <w:t xml:space="preserve"> a v </w:t>
      </w:r>
      <w:r w:rsidRPr="00812649" w:rsidR="000C50D3">
        <w:rPr>
          <w:rFonts w:hint="default"/>
          <w:lang w:val="sk-SK"/>
        </w:rPr>
        <w:t>roku 2016 vo výš</w:t>
      </w:r>
      <w:r w:rsidRPr="00812649" w:rsidR="000C50D3">
        <w:rPr>
          <w:rFonts w:hint="default"/>
          <w:lang w:val="sk-SK"/>
        </w:rPr>
        <w:t>ke 9 500 </w:t>
      </w:r>
      <w:r w:rsidRPr="00812649" w:rsidR="000C50D3">
        <w:rPr>
          <w:rFonts w:hint="default"/>
          <w:lang w:val="sk-SK"/>
        </w:rPr>
        <w:t>000 €</w:t>
      </w:r>
      <w:r w:rsidRPr="00812649" w:rsidR="000C50D3">
        <w:rPr>
          <w:rFonts w:hint="default"/>
          <w:lang w:val="sk-SK"/>
        </w:rPr>
        <w:t xml:space="preserve"> </w:t>
      </w:r>
      <w:r w:rsidRPr="00812649" w:rsidR="000C50D3">
        <w:rPr>
          <w:rFonts w:hint="default"/>
          <w:b/>
          <w:i/>
          <w:lang w:val="sk-SK"/>
        </w:rPr>
        <w:t>nepredstavujú</w:t>
      </w:r>
      <w:r w:rsidRPr="00812649" w:rsidR="000C50D3">
        <w:rPr>
          <w:rFonts w:hint="default"/>
          <w:b/>
          <w:i/>
          <w:lang w:val="sk-SK"/>
        </w:rPr>
        <w:t xml:space="preserve"> dodatoč</w:t>
      </w:r>
      <w:r w:rsidRPr="00812649" w:rsidR="000C50D3">
        <w:rPr>
          <w:rFonts w:hint="default"/>
          <w:b/>
          <w:i/>
          <w:lang w:val="sk-SK"/>
        </w:rPr>
        <w:t>nú</w:t>
      </w:r>
      <w:r w:rsidRPr="00812649" w:rsidR="000C50D3">
        <w:rPr>
          <w:rFonts w:hint="default"/>
          <w:b/>
          <w:i/>
          <w:lang w:val="sk-SK"/>
        </w:rPr>
        <w:t xml:space="preserve"> pož</w:t>
      </w:r>
      <w:r w:rsidRPr="00812649" w:rsidR="000C50D3">
        <w:rPr>
          <w:rFonts w:hint="default"/>
          <w:b/>
          <w:i/>
          <w:lang w:val="sk-SK"/>
        </w:rPr>
        <w:t>iadavku na š</w:t>
      </w:r>
      <w:r w:rsidRPr="00812649" w:rsidR="000C50D3">
        <w:rPr>
          <w:rFonts w:hint="default"/>
          <w:b/>
          <w:i/>
          <w:lang w:val="sk-SK"/>
        </w:rPr>
        <w:t>tá</w:t>
      </w:r>
      <w:r w:rsidRPr="00812649" w:rsidR="000C50D3">
        <w:rPr>
          <w:rFonts w:hint="default"/>
          <w:b/>
          <w:i/>
          <w:lang w:val="sk-SK"/>
        </w:rPr>
        <w:t>tny rozpoč</w:t>
      </w:r>
      <w:r w:rsidRPr="00812649" w:rsidR="000C50D3">
        <w:rPr>
          <w:rFonts w:hint="default"/>
          <w:b/>
          <w:i/>
          <w:lang w:val="sk-SK"/>
        </w:rPr>
        <w:t>et</w:t>
      </w:r>
      <w:r w:rsidRPr="00812649" w:rsidR="000C50D3">
        <w:rPr>
          <w:lang w:val="sk-SK"/>
        </w:rPr>
        <w:t>.</w:t>
      </w:r>
      <w:r w:rsidRPr="00812649" w:rsidR="00CC429E">
        <w:rPr>
          <w:rFonts w:hint="default"/>
          <w:lang w:val="sk-SK"/>
        </w:rPr>
        <w:t xml:space="preserve"> Tieto vý</w:t>
      </w:r>
      <w:r w:rsidRPr="00812649" w:rsidR="00CC429E">
        <w:rPr>
          <w:rFonts w:hint="default"/>
          <w:lang w:val="sk-SK"/>
        </w:rPr>
        <w:t xml:space="preserve">davky </w:t>
      </w:r>
      <w:r w:rsidRPr="00812649" w:rsidR="004F23AA">
        <w:rPr>
          <w:rFonts w:hint="default"/>
          <w:lang w:val="sk-SK"/>
        </w:rPr>
        <w:t>pokrý</w:t>
      </w:r>
      <w:r w:rsidRPr="00812649" w:rsidR="004F23AA">
        <w:rPr>
          <w:rFonts w:hint="default"/>
          <w:lang w:val="sk-SK"/>
        </w:rPr>
        <w:t>vajú</w:t>
      </w:r>
      <w:r w:rsidRPr="00812649" w:rsidR="004F23AA">
        <w:rPr>
          <w:rFonts w:hint="default"/>
          <w:lang w:val="sk-SK"/>
        </w:rPr>
        <w:t xml:space="preserve"> prevá</w:t>
      </w:r>
      <w:r w:rsidRPr="00812649" w:rsidR="004F23AA">
        <w:rPr>
          <w:rFonts w:hint="default"/>
          <w:lang w:val="sk-SK"/>
        </w:rPr>
        <w:t>dzku NZIS v </w:t>
      </w:r>
      <w:r w:rsidRPr="00812649" w:rsidR="004F23AA">
        <w:rPr>
          <w:rFonts w:hint="default"/>
          <w:lang w:val="sk-SK"/>
        </w:rPr>
        <w:t>rozsahu nasadenia prvej fá</w:t>
      </w:r>
      <w:r w:rsidRPr="00812649" w:rsidR="004F23AA">
        <w:rPr>
          <w:rFonts w:hint="default"/>
          <w:lang w:val="sk-SK"/>
        </w:rPr>
        <w:t>zy elektronický</w:t>
      </w:r>
      <w:r w:rsidRPr="00812649" w:rsidR="004F23AA">
        <w:rPr>
          <w:rFonts w:hint="default"/>
          <w:lang w:val="sk-SK"/>
        </w:rPr>
        <w:t>ch služ</w:t>
      </w:r>
      <w:r w:rsidRPr="00812649" w:rsidR="004F23AA">
        <w:rPr>
          <w:rFonts w:hint="default"/>
          <w:lang w:val="sk-SK"/>
        </w:rPr>
        <w:t>ieb obč</w:t>
      </w:r>
      <w:r w:rsidRPr="00812649" w:rsidR="004F23AA">
        <w:rPr>
          <w:rFonts w:hint="default"/>
          <w:lang w:val="sk-SK"/>
        </w:rPr>
        <w:t xml:space="preserve">anom </w:t>
      </w:r>
      <w:r w:rsidRPr="00812649" w:rsidR="0077427B">
        <w:rPr>
          <w:rFonts w:hint="default"/>
          <w:lang w:val="sk-SK"/>
        </w:rPr>
        <w:t xml:space="preserve"> realizovaný</w:t>
      </w:r>
      <w:r w:rsidRPr="00812649" w:rsidR="0077427B">
        <w:rPr>
          <w:rFonts w:hint="default"/>
          <w:lang w:val="sk-SK"/>
        </w:rPr>
        <w:t>ch</w:t>
      </w:r>
      <w:r w:rsidRPr="00812649" w:rsidR="004F23AA">
        <w:rPr>
          <w:lang w:val="sk-SK"/>
        </w:rPr>
        <w:t xml:space="preserve"> projektom eSO1</w:t>
      </w:r>
      <w:r w:rsidRPr="00812649" w:rsidR="0077427B">
        <w:rPr>
          <w:lang w:val="sk-SK"/>
        </w:rPr>
        <w:t xml:space="preserve"> (OPIS)</w:t>
      </w:r>
      <w:r w:rsidRPr="00812649" w:rsidR="004F23AA">
        <w:rPr>
          <w:lang w:val="sk-SK"/>
        </w:rPr>
        <w:t xml:space="preserve"> </w:t>
      </w:r>
      <w:r w:rsidRPr="00812649" w:rsidR="0077427B">
        <w:rPr>
          <w:lang w:val="sk-SK"/>
        </w:rPr>
        <w:t>P</w:t>
      </w:r>
      <w:r w:rsidRPr="00812649" w:rsidR="004F23AA">
        <w:rPr>
          <w:lang w:val="sk-SK"/>
        </w:rPr>
        <w:t>rogramu</w:t>
      </w:r>
      <w:r w:rsidRPr="00812649" w:rsidR="0077427B">
        <w:rPr>
          <w:rFonts w:hint="default"/>
          <w:lang w:val="sk-SK"/>
        </w:rPr>
        <w:t xml:space="preserve"> implementá</w:t>
      </w:r>
      <w:r w:rsidRPr="00812649" w:rsidR="0077427B">
        <w:rPr>
          <w:rFonts w:hint="default"/>
          <w:lang w:val="sk-SK"/>
        </w:rPr>
        <w:t>c</w:t>
      </w:r>
      <w:r w:rsidRPr="00812649" w:rsidR="0077427B">
        <w:rPr>
          <w:rFonts w:hint="default"/>
          <w:lang w:val="sk-SK"/>
        </w:rPr>
        <w:t>ie</w:t>
      </w:r>
      <w:r w:rsidRPr="00812649" w:rsidR="004F23AA">
        <w:rPr>
          <w:lang w:val="sk-SK"/>
        </w:rPr>
        <w:t xml:space="preserve"> </w:t>
      </w:r>
      <w:r w:rsidRPr="00812649" w:rsidR="00CC429E">
        <w:rPr>
          <w:lang w:val="sk-SK"/>
        </w:rPr>
        <w:t>eHealth</w:t>
      </w:r>
      <w:r w:rsidRPr="00812649" w:rsidR="0077427B">
        <w:rPr>
          <w:lang w:val="sk-SK"/>
        </w:rPr>
        <w:t>.</w:t>
      </w:r>
      <w:r w:rsidRPr="00812649" w:rsidR="000C50D3">
        <w:rPr>
          <w:lang w:val="sk-SK"/>
        </w:rPr>
        <w:t xml:space="preserve"> </w:t>
      </w:r>
      <w:r w:rsidRPr="00812649">
        <w:rPr>
          <w:rFonts w:hint="default"/>
          <w:color w:val="000000"/>
          <w:lang w:val="sk-SK"/>
        </w:rPr>
        <w:t>Zvýš</w:t>
      </w:r>
      <w:r w:rsidRPr="00812649">
        <w:rPr>
          <w:rFonts w:hint="default"/>
          <w:color w:val="000000"/>
          <w:lang w:val="sk-SK"/>
        </w:rPr>
        <w:t>ené</w:t>
      </w:r>
      <w:r w:rsidRPr="00812649">
        <w:rPr>
          <w:rFonts w:hint="default"/>
          <w:color w:val="000000"/>
          <w:lang w:val="sk-SK"/>
        </w:rPr>
        <w:t xml:space="preserve"> vý</w:t>
      </w:r>
      <w:r w:rsidRPr="00812649">
        <w:rPr>
          <w:rFonts w:hint="default"/>
          <w:color w:val="000000"/>
          <w:lang w:val="sk-SK"/>
        </w:rPr>
        <w:t>davky Ministerstva zdravotní</w:t>
      </w:r>
      <w:r w:rsidRPr="00812649">
        <w:rPr>
          <w:rFonts w:hint="default"/>
          <w:color w:val="000000"/>
          <w:lang w:val="sk-SK"/>
        </w:rPr>
        <w:t>ctva SR sú</w:t>
      </w:r>
      <w:r w:rsidRPr="00812649">
        <w:rPr>
          <w:rFonts w:hint="default"/>
          <w:color w:val="000000"/>
          <w:lang w:val="sk-SK"/>
        </w:rPr>
        <w:t>visiace s </w:t>
      </w:r>
      <w:r w:rsidRPr="00812649">
        <w:rPr>
          <w:rFonts w:hint="default"/>
          <w:color w:val="000000"/>
          <w:lang w:val="sk-SK"/>
        </w:rPr>
        <w:t>financovaní</w:t>
      </w:r>
      <w:r w:rsidRPr="00812649">
        <w:rPr>
          <w:rFonts w:hint="default"/>
          <w:color w:val="000000"/>
          <w:lang w:val="sk-SK"/>
        </w:rPr>
        <w:t>m prevá</w:t>
      </w:r>
      <w:r w:rsidRPr="00812649">
        <w:rPr>
          <w:rFonts w:hint="default"/>
          <w:color w:val="000000"/>
          <w:lang w:val="sk-SK"/>
        </w:rPr>
        <w:t>dzky NZIS budú</w:t>
      </w:r>
      <w:r w:rsidRPr="00812649">
        <w:rPr>
          <w:rFonts w:hint="default"/>
          <w:color w:val="000000"/>
          <w:lang w:val="sk-SK"/>
        </w:rPr>
        <w:t xml:space="preserve"> zabezpeč</w:t>
      </w:r>
      <w:r w:rsidRPr="00812649">
        <w:rPr>
          <w:rFonts w:hint="default"/>
          <w:color w:val="000000"/>
          <w:lang w:val="sk-SK"/>
        </w:rPr>
        <w:t>ené</w:t>
      </w:r>
      <w:r w:rsidRPr="00812649">
        <w:rPr>
          <w:rFonts w:hint="default"/>
          <w:color w:val="000000"/>
          <w:lang w:val="sk-SK"/>
        </w:rPr>
        <w:t xml:space="preserve"> formou prí</w:t>
      </w:r>
      <w:r w:rsidRPr="00812649">
        <w:rPr>
          <w:rFonts w:hint="default"/>
          <w:color w:val="000000"/>
          <w:lang w:val="sk-SK"/>
        </w:rPr>
        <w:t>spevku zdravotný</w:t>
      </w:r>
      <w:r w:rsidRPr="00812649">
        <w:rPr>
          <w:rFonts w:hint="default"/>
          <w:color w:val="000000"/>
          <w:lang w:val="sk-SK"/>
        </w:rPr>
        <w:t>ch poisť</w:t>
      </w:r>
      <w:r w:rsidRPr="00812649">
        <w:rPr>
          <w:rFonts w:hint="default"/>
          <w:color w:val="000000"/>
          <w:lang w:val="sk-SK"/>
        </w:rPr>
        <w:t>ovní</w:t>
      </w:r>
      <w:r w:rsidRPr="00812649">
        <w:rPr>
          <w:rFonts w:hint="default"/>
          <w:color w:val="000000"/>
          <w:lang w:val="sk-SK"/>
        </w:rPr>
        <w:t xml:space="preserve"> </w:t>
      </w:r>
      <w:r w:rsidRPr="00812649">
        <w:rPr>
          <w:rFonts w:hint="default"/>
          <w:lang w:val="sk-SK"/>
        </w:rPr>
        <w:t>na sprá</w:t>
      </w:r>
      <w:r w:rsidRPr="00812649">
        <w:rPr>
          <w:rFonts w:hint="default"/>
          <w:lang w:val="sk-SK"/>
        </w:rPr>
        <w:t>vu ná</w:t>
      </w:r>
      <w:r w:rsidRPr="00812649">
        <w:rPr>
          <w:rFonts w:hint="default"/>
          <w:lang w:val="sk-SK"/>
        </w:rPr>
        <w:t>rodné</w:t>
      </w:r>
      <w:r w:rsidRPr="00812649">
        <w:rPr>
          <w:rFonts w:hint="default"/>
          <w:lang w:val="sk-SK"/>
        </w:rPr>
        <w:t>ho zdravotní</w:t>
      </w:r>
      <w:r w:rsidRPr="00812649">
        <w:rPr>
          <w:rFonts w:hint="default"/>
          <w:lang w:val="sk-SK"/>
        </w:rPr>
        <w:t>ckeho informač</w:t>
      </w:r>
      <w:r w:rsidRPr="00812649">
        <w:rPr>
          <w:rFonts w:hint="default"/>
          <w:lang w:val="sk-SK"/>
        </w:rPr>
        <w:t>né</w:t>
      </w:r>
      <w:r w:rsidRPr="00812649">
        <w:rPr>
          <w:rFonts w:hint="default"/>
          <w:lang w:val="sk-SK"/>
        </w:rPr>
        <w:t>ho systé</w:t>
      </w:r>
      <w:r w:rsidRPr="00812649">
        <w:rPr>
          <w:rFonts w:hint="default"/>
          <w:lang w:val="sk-SK"/>
        </w:rPr>
        <w:t>mu pouká</w:t>
      </w:r>
      <w:r w:rsidRPr="00812649">
        <w:rPr>
          <w:rFonts w:hint="default"/>
          <w:lang w:val="sk-SK"/>
        </w:rPr>
        <w:t>zaný</w:t>
      </w:r>
      <w:r w:rsidRPr="00812649">
        <w:rPr>
          <w:rFonts w:hint="default"/>
          <w:lang w:val="sk-SK"/>
        </w:rPr>
        <w:t>ch na úč</w:t>
      </w:r>
      <w:r w:rsidRPr="00812649">
        <w:rPr>
          <w:rFonts w:hint="default"/>
          <w:lang w:val="sk-SK"/>
        </w:rPr>
        <w:t>et ministerstva zdravotní</w:t>
      </w:r>
      <w:r w:rsidRPr="00812649">
        <w:rPr>
          <w:rFonts w:hint="default"/>
          <w:lang w:val="sk-SK"/>
        </w:rPr>
        <w:t>ctva</w:t>
      </w:r>
      <w:r w:rsidRPr="00812649">
        <w:rPr>
          <w:rFonts w:hint="default"/>
          <w:lang w:val="sk-SK"/>
        </w:rPr>
        <w:t xml:space="preserve"> vo výš</w:t>
      </w:r>
      <w:r w:rsidRPr="00812649">
        <w:rPr>
          <w:rFonts w:hint="default"/>
          <w:lang w:val="sk-SK"/>
        </w:rPr>
        <w:t>ke 0,27 % zo zá</w:t>
      </w:r>
      <w:r w:rsidRPr="00812649">
        <w:rPr>
          <w:rFonts w:hint="default"/>
          <w:lang w:val="sk-SK"/>
        </w:rPr>
        <w:t>kladu na jej urč</w:t>
      </w:r>
      <w:r w:rsidRPr="00812649">
        <w:rPr>
          <w:rFonts w:hint="default"/>
          <w:lang w:val="sk-SK"/>
        </w:rPr>
        <w:t>enie.</w:t>
      </w:r>
      <w:r w:rsidR="00B02A20">
        <w:rPr>
          <w:lang w:val="sk-SK"/>
        </w:rPr>
        <w:t xml:space="preserve"> </w:t>
      </w:r>
      <w:r w:rsidRPr="00B02A20" w:rsidR="00B02A20">
        <w:rPr>
          <w:rFonts w:hint="default"/>
          <w:lang w:val="sk-SK"/>
        </w:rPr>
        <w:t>Prí</w:t>
      </w:r>
      <w:r w:rsidRPr="00B02A20" w:rsidR="00B02A20">
        <w:rPr>
          <w:rFonts w:hint="default"/>
          <w:lang w:val="sk-SK"/>
        </w:rPr>
        <w:t>spevok na sprá</w:t>
      </w:r>
      <w:r w:rsidRPr="00B02A20" w:rsidR="00B02A20">
        <w:rPr>
          <w:rFonts w:hint="default"/>
          <w:lang w:val="sk-SK"/>
        </w:rPr>
        <w:t>vu zdravotní</w:t>
      </w:r>
      <w:r w:rsidRPr="00B02A20" w:rsidR="00B02A20">
        <w:rPr>
          <w:rFonts w:hint="default"/>
          <w:lang w:val="sk-SK"/>
        </w:rPr>
        <w:t>ckeho informač</w:t>
      </w:r>
      <w:r w:rsidRPr="00B02A20" w:rsidR="00B02A20">
        <w:rPr>
          <w:rFonts w:hint="default"/>
          <w:lang w:val="sk-SK"/>
        </w:rPr>
        <w:t>né</w:t>
      </w:r>
      <w:r w:rsidRPr="00B02A20" w:rsidR="00B02A20">
        <w:rPr>
          <w:rFonts w:hint="default"/>
          <w:lang w:val="sk-SK"/>
        </w:rPr>
        <w:t xml:space="preserve">ho centra sa </w:t>
      </w:r>
      <w:r w:rsidR="00B02A20">
        <w:rPr>
          <w:lang w:val="sk-SK"/>
        </w:rPr>
        <w:t xml:space="preserve">bude </w:t>
      </w:r>
      <w:r w:rsidRPr="00B02A20" w:rsidR="00B02A20">
        <w:rPr>
          <w:rFonts w:hint="default"/>
          <w:lang w:val="sk-SK"/>
        </w:rPr>
        <w:t>odvá</w:t>
      </w:r>
      <w:r w:rsidRPr="00B02A20" w:rsidR="00B02A20">
        <w:rPr>
          <w:rFonts w:hint="default"/>
          <w:lang w:val="sk-SK"/>
        </w:rPr>
        <w:t>dza</w:t>
      </w:r>
      <w:r w:rsidR="00B02A20">
        <w:rPr>
          <w:rFonts w:hint="default"/>
          <w:lang w:val="sk-SK"/>
        </w:rPr>
        <w:t>ť</w:t>
      </w:r>
      <w:r w:rsidRPr="00B02A20" w:rsidR="00B02A20">
        <w:rPr>
          <w:rFonts w:hint="default"/>
          <w:lang w:val="sk-SK"/>
        </w:rPr>
        <w:t xml:space="preserve"> na prí</w:t>
      </w:r>
      <w:r w:rsidRPr="00B02A20" w:rsidR="00B02A20">
        <w:rPr>
          <w:rFonts w:hint="default"/>
          <w:lang w:val="sk-SK"/>
        </w:rPr>
        <w:t>jmový</w:t>
      </w:r>
      <w:r w:rsidRPr="00B02A20" w:rsidR="00B02A20">
        <w:rPr>
          <w:rFonts w:hint="default"/>
          <w:lang w:val="sk-SK"/>
        </w:rPr>
        <w:t xml:space="preserve"> rozpoč</w:t>
      </w:r>
      <w:r w:rsidRPr="00B02A20" w:rsidR="00B02A20">
        <w:rPr>
          <w:rFonts w:hint="default"/>
          <w:lang w:val="sk-SK"/>
        </w:rPr>
        <w:t>tový</w:t>
      </w:r>
      <w:r w:rsidRPr="00B02A20" w:rsidR="00B02A20">
        <w:rPr>
          <w:rFonts w:hint="default"/>
          <w:lang w:val="sk-SK"/>
        </w:rPr>
        <w:t xml:space="preserve"> úč</w:t>
      </w:r>
      <w:r w:rsidRPr="00B02A20" w:rsidR="00B02A20">
        <w:rPr>
          <w:rFonts w:hint="default"/>
          <w:lang w:val="sk-SK"/>
        </w:rPr>
        <w:t>et Ministerstva zdravotní</w:t>
      </w:r>
      <w:r w:rsidRPr="00B02A20" w:rsidR="00B02A20">
        <w:rPr>
          <w:rFonts w:hint="default"/>
          <w:lang w:val="sk-SK"/>
        </w:rPr>
        <w:t>ctva slovenskej republiky, ktoré</w:t>
      </w:r>
      <w:r w:rsidRPr="00B02A20" w:rsidR="00B02A20">
        <w:rPr>
          <w:rFonts w:hint="default"/>
          <w:lang w:val="sk-SK"/>
        </w:rPr>
        <w:t xml:space="preserve"> si bude v rá</w:t>
      </w:r>
      <w:r w:rsidRPr="00B02A20" w:rsidR="00B02A20">
        <w:rPr>
          <w:rFonts w:hint="default"/>
          <w:lang w:val="sk-SK"/>
        </w:rPr>
        <w:t>mci prí</w:t>
      </w:r>
      <w:r w:rsidRPr="00B02A20" w:rsidR="00B02A20">
        <w:rPr>
          <w:rFonts w:hint="default"/>
          <w:lang w:val="sk-SK"/>
        </w:rPr>
        <w:t>pravy rozpoč</w:t>
      </w:r>
      <w:r w:rsidRPr="00B02A20" w:rsidR="00B02A20">
        <w:rPr>
          <w:rFonts w:hint="default"/>
          <w:lang w:val="sk-SK"/>
        </w:rPr>
        <w:t>tu prí</w:t>
      </w:r>
      <w:r w:rsidRPr="00B02A20" w:rsidR="00B02A20">
        <w:rPr>
          <w:rFonts w:hint="default"/>
          <w:lang w:val="sk-SK"/>
        </w:rPr>
        <w:t>sluš</w:t>
      </w:r>
      <w:r w:rsidRPr="00B02A20" w:rsidR="00B02A20">
        <w:rPr>
          <w:rFonts w:hint="default"/>
          <w:lang w:val="sk-SK"/>
        </w:rPr>
        <w:t>né</w:t>
      </w:r>
      <w:r w:rsidRPr="00B02A20" w:rsidR="00B02A20">
        <w:rPr>
          <w:rFonts w:hint="default"/>
          <w:lang w:val="sk-SK"/>
        </w:rPr>
        <w:t xml:space="preserve"> prostriedky r</w:t>
      </w:r>
      <w:r w:rsidRPr="00B02A20" w:rsidR="00B02A20">
        <w:rPr>
          <w:rFonts w:hint="default"/>
          <w:lang w:val="sk-SK"/>
        </w:rPr>
        <w:t>ozpoč</w:t>
      </w:r>
      <w:r w:rsidRPr="00B02A20" w:rsidR="00B02A20">
        <w:rPr>
          <w:rFonts w:hint="default"/>
          <w:lang w:val="sk-SK"/>
        </w:rPr>
        <w:t>tovať</w:t>
      </w:r>
      <w:r w:rsidRPr="00B02A20" w:rsidR="00B02A20">
        <w:rPr>
          <w:rFonts w:hint="default"/>
          <w:lang w:val="sk-SK"/>
        </w:rPr>
        <w:t xml:space="preserve"> v prí</w:t>
      </w:r>
      <w:r w:rsidRPr="00B02A20" w:rsidR="00B02A20">
        <w:rPr>
          <w:rFonts w:hint="default"/>
          <w:lang w:val="sk-SK"/>
        </w:rPr>
        <w:t>jmovej č</w:t>
      </w:r>
      <w:r w:rsidRPr="00B02A20" w:rsidR="00B02A20">
        <w:rPr>
          <w:rFonts w:hint="default"/>
          <w:lang w:val="sk-SK"/>
        </w:rPr>
        <w:t>asti svojho rozpoč</w:t>
      </w:r>
      <w:r w:rsidRPr="00B02A20" w:rsidR="00B02A20">
        <w:rPr>
          <w:rFonts w:hint="default"/>
          <w:lang w:val="sk-SK"/>
        </w:rPr>
        <w:t>tu a vý</w:t>
      </w:r>
      <w:r w:rsidRPr="00B02A20" w:rsidR="00B02A20">
        <w:rPr>
          <w:rFonts w:hint="default"/>
          <w:lang w:val="sk-SK"/>
        </w:rPr>
        <w:t>davky na zabezpeč</w:t>
      </w:r>
      <w:r w:rsidRPr="00B02A20" w:rsidR="00B02A20">
        <w:rPr>
          <w:rFonts w:hint="default"/>
          <w:lang w:val="sk-SK"/>
        </w:rPr>
        <w:t>enie sprá</w:t>
      </w:r>
      <w:r w:rsidRPr="00B02A20" w:rsidR="00B02A20">
        <w:rPr>
          <w:rFonts w:hint="default"/>
          <w:lang w:val="sk-SK"/>
        </w:rPr>
        <w:t>vy zdravotní</w:t>
      </w:r>
      <w:r w:rsidRPr="00B02A20" w:rsidR="00B02A20">
        <w:rPr>
          <w:rFonts w:hint="default"/>
          <w:lang w:val="sk-SK"/>
        </w:rPr>
        <w:t>ckeho informač</w:t>
      </w:r>
      <w:r w:rsidRPr="00B02A20" w:rsidR="00B02A20">
        <w:rPr>
          <w:rFonts w:hint="default"/>
          <w:lang w:val="sk-SK"/>
        </w:rPr>
        <w:t>né</w:t>
      </w:r>
      <w:r w:rsidRPr="00B02A20" w:rsidR="00B02A20">
        <w:rPr>
          <w:rFonts w:hint="default"/>
          <w:lang w:val="sk-SK"/>
        </w:rPr>
        <w:t>ho centra si zabezpečí</w:t>
      </w:r>
      <w:r w:rsidRPr="00B02A20" w:rsidR="00B02A20">
        <w:rPr>
          <w:rFonts w:hint="default"/>
          <w:lang w:val="sk-SK"/>
        </w:rPr>
        <w:t xml:space="preserve"> vo vý</w:t>
      </w:r>
      <w:r w:rsidRPr="00B02A20" w:rsidR="00B02A20">
        <w:rPr>
          <w:rFonts w:hint="default"/>
          <w:lang w:val="sk-SK"/>
        </w:rPr>
        <w:t>davkoch svojho rozpoč</w:t>
      </w:r>
      <w:r w:rsidRPr="00B02A20" w:rsidR="00B02A20">
        <w:rPr>
          <w:rFonts w:hint="default"/>
          <w:lang w:val="sk-SK"/>
        </w:rPr>
        <w:t>tu.  </w:t>
      </w:r>
    </w:p>
    <w:p w:rsidR="000C50D3" w:rsidRPr="00812649" w:rsidP="003B585F">
      <w:pPr>
        <w:bidi w:val="0"/>
        <w:ind w:left="60" w:firstLine="360"/>
        <w:jc w:val="both"/>
        <w:rPr>
          <w:color w:val="000000"/>
          <w:lang w:val="sk-SK"/>
        </w:rPr>
      </w:pPr>
    </w:p>
    <w:p w:rsidR="003B585F" w:rsidRPr="00812649" w:rsidP="003B585F">
      <w:pPr>
        <w:bidi w:val="0"/>
        <w:ind w:left="60" w:firstLine="360"/>
        <w:jc w:val="both"/>
        <w:rPr>
          <w:color w:val="000000"/>
          <w:lang w:val="sk-SK"/>
        </w:rPr>
      </w:pPr>
      <w:r w:rsidRPr="00812649">
        <w:rPr>
          <w:rFonts w:hint="default"/>
          <w:lang w:val="sk-SK"/>
        </w:rPr>
        <w:t>Hlavnou súč</w:t>
      </w:r>
      <w:r w:rsidRPr="00812649">
        <w:rPr>
          <w:rFonts w:hint="default"/>
          <w:lang w:val="sk-SK"/>
        </w:rPr>
        <w:t>asť</w:t>
      </w:r>
      <w:r w:rsidRPr="00812649">
        <w:rPr>
          <w:rFonts w:hint="default"/>
          <w:lang w:val="sk-SK"/>
        </w:rPr>
        <w:t>ou Programu implementá</w:t>
      </w:r>
      <w:r w:rsidRPr="00812649">
        <w:rPr>
          <w:rFonts w:hint="default"/>
          <w:lang w:val="sk-SK"/>
        </w:rPr>
        <w:t>cie eHealth sú</w:t>
      </w:r>
      <w:r w:rsidRPr="00812649">
        <w:rPr>
          <w:rFonts w:hint="default"/>
          <w:lang w:val="sk-SK"/>
        </w:rPr>
        <w:t xml:space="preserve"> projekty eSO, ktorý</w:t>
      </w:r>
      <w:r w:rsidRPr="00812649">
        <w:rPr>
          <w:rFonts w:hint="default"/>
          <w:lang w:val="sk-SK"/>
        </w:rPr>
        <w:t>ch cieľ</w:t>
      </w:r>
      <w:r w:rsidRPr="00812649">
        <w:rPr>
          <w:rFonts w:hint="default"/>
          <w:lang w:val="sk-SK"/>
        </w:rPr>
        <w:t>om je implementá</w:t>
      </w:r>
      <w:r w:rsidRPr="00812649">
        <w:rPr>
          <w:rFonts w:hint="default"/>
          <w:lang w:val="sk-SK"/>
        </w:rPr>
        <w:t xml:space="preserve">cia </w:t>
      </w:r>
      <w:r w:rsidRPr="00812649">
        <w:rPr>
          <w:rFonts w:hint="default"/>
          <w:lang w:val="sk-SK"/>
        </w:rPr>
        <w:t>Ná</w:t>
      </w:r>
      <w:r w:rsidRPr="00812649">
        <w:rPr>
          <w:rFonts w:hint="default"/>
          <w:lang w:val="sk-SK"/>
        </w:rPr>
        <w:t>rodné</w:t>
      </w:r>
      <w:r w:rsidRPr="00812649">
        <w:rPr>
          <w:rFonts w:hint="default"/>
          <w:lang w:val="sk-SK"/>
        </w:rPr>
        <w:t>ho zdravotní</w:t>
      </w:r>
      <w:r w:rsidRPr="00812649">
        <w:rPr>
          <w:rFonts w:hint="default"/>
          <w:lang w:val="sk-SK"/>
        </w:rPr>
        <w:t>ckeho informač</w:t>
      </w:r>
      <w:r w:rsidRPr="00812649">
        <w:rPr>
          <w:rFonts w:hint="default"/>
          <w:lang w:val="sk-SK"/>
        </w:rPr>
        <w:t>né</w:t>
      </w:r>
      <w:r w:rsidRPr="00812649">
        <w:rPr>
          <w:rFonts w:hint="default"/>
          <w:lang w:val="sk-SK"/>
        </w:rPr>
        <w:t>ho systé</w:t>
      </w:r>
      <w:r w:rsidRPr="00812649">
        <w:rPr>
          <w:rFonts w:hint="default"/>
          <w:lang w:val="sk-SK"/>
        </w:rPr>
        <w:t>mu, ktorý</w:t>
      </w:r>
      <w:r w:rsidRPr="00812649">
        <w:rPr>
          <w:rFonts w:hint="default"/>
          <w:lang w:val="sk-SK"/>
        </w:rPr>
        <w:t xml:space="preserve"> umožň</w:t>
      </w:r>
      <w:r w:rsidRPr="00812649">
        <w:rPr>
          <w:rFonts w:hint="default"/>
          <w:lang w:val="sk-SK"/>
        </w:rPr>
        <w:t>uje realizá</w:t>
      </w:r>
      <w:r w:rsidRPr="00812649">
        <w:rPr>
          <w:rFonts w:hint="default"/>
          <w:lang w:val="sk-SK"/>
        </w:rPr>
        <w:t>ciu prí</w:t>
      </w:r>
      <w:r w:rsidRPr="00812649">
        <w:rPr>
          <w:rFonts w:hint="default"/>
          <w:lang w:val="sk-SK"/>
        </w:rPr>
        <w:t>nosov definovaný</w:t>
      </w:r>
      <w:r w:rsidRPr="00812649">
        <w:rPr>
          <w:rFonts w:hint="default"/>
          <w:lang w:val="sk-SK"/>
        </w:rPr>
        <w:t>ch programom. Implementá</w:t>
      </w:r>
      <w:r w:rsidRPr="00812649">
        <w:rPr>
          <w:rFonts w:hint="default"/>
          <w:lang w:val="sk-SK"/>
        </w:rPr>
        <w:t>cia systé</w:t>
      </w:r>
      <w:r w:rsidRPr="00812649">
        <w:rPr>
          <w:rFonts w:hint="default"/>
          <w:lang w:val="sk-SK"/>
        </w:rPr>
        <w:t>mu je financovaná</w:t>
      </w:r>
      <w:r w:rsidRPr="00812649">
        <w:rPr>
          <w:rFonts w:hint="default"/>
          <w:lang w:val="sk-SK"/>
        </w:rPr>
        <w:t xml:space="preserve"> zo š</w:t>
      </w:r>
      <w:r w:rsidRPr="00812649">
        <w:rPr>
          <w:rFonts w:hint="default"/>
          <w:lang w:val="sk-SK"/>
        </w:rPr>
        <w:t>trukturá</w:t>
      </w:r>
      <w:r w:rsidRPr="00812649">
        <w:rPr>
          <w:rFonts w:hint="default"/>
          <w:lang w:val="sk-SK"/>
        </w:rPr>
        <w:t>lnych fondov EÚ</w:t>
      </w:r>
      <w:r w:rsidRPr="00812649">
        <w:rPr>
          <w:rFonts w:hint="default"/>
          <w:lang w:val="sk-SK"/>
        </w:rPr>
        <w:t xml:space="preserve"> v </w:t>
      </w:r>
      <w:r w:rsidRPr="00812649">
        <w:rPr>
          <w:rFonts w:hint="default"/>
          <w:lang w:val="sk-SK"/>
        </w:rPr>
        <w:t>rá</w:t>
      </w:r>
      <w:r w:rsidRPr="00812649">
        <w:rPr>
          <w:rFonts w:hint="default"/>
          <w:lang w:val="sk-SK"/>
        </w:rPr>
        <w:t>mci Operač</w:t>
      </w:r>
      <w:r w:rsidRPr="00812649">
        <w:rPr>
          <w:rFonts w:hint="default"/>
          <w:lang w:val="sk-SK"/>
        </w:rPr>
        <w:t>né</w:t>
      </w:r>
      <w:r w:rsidRPr="00812649">
        <w:rPr>
          <w:rFonts w:hint="default"/>
          <w:lang w:val="sk-SK"/>
        </w:rPr>
        <w:t>ho programu informatizá</w:t>
      </w:r>
      <w:r w:rsidRPr="00812649">
        <w:rPr>
          <w:rFonts w:hint="default"/>
          <w:lang w:val="sk-SK"/>
        </w:rPr>
        <w:t>cie spoloč</w:t>
      </w:r>
      <w:r w:rsidRPr="00812649">
        <w:rPr>
          <w:rFonts w:hint="default"/>
          <w:lang w:val="sk-SK"/>
        </w:rPr>
        <w:t>nosti. V </w:t>
      </w:r>
      <w:r w:rsidRPr="00812649">
        <w:rPr>
          <w:rFonts w:hint="default"/>
          <w:lang w:val="sk-SK"/>
        </w:rPr>
        <w:t>rá</w:t>
      </w:r>
      <w:r w:rsidRPr="00812649">
        <w:rPr>
          <w:rFonts w:hint="default"/>
          <w:lang w:val="sk-SK"/>
        </w:rPr>
        <w:t xml:space="preserve">mci tohto programu boli </w:t>
      </w:r>
      <w:r w:rsidRPr="00812649">
        <w:rPr>
          <w:rFonts w:hint="default"/>
          <w:lang w:val="sk-SK"/>
        </w:rPr>
        <w:t>n</w:t>
      </w:r>
      <w:r w:rsidRPr="00812649">
        <w:rPr>
          <w:rFonts w:hint="default"/>
          <w:lang w:val="sk-SK"/>
        </w:rPr>
        <w:t>a projekt eSO1 vyč</w:t>
      </w:r>
      <w:r w:rsidRPr="00812649">
        <w:rPr>
          <w:rFonts w:hint="default"/>
          <w:lang w:val="sk-SK"/>
        </w:rPr>
        <w:t>lenené</w:t>
      </w:r>
      <w:r w:rsidRPr="00812649">
        <w:rPr>
          <w:rFonts w:hint="default"/>
          <w:lang w:val="sk-SK"/>
        </w:rPr>
        <w:t xml:space="preserve"> finanč</w:t>
      </w:r>
      <w:r w:rsidRPr="00812649">
        <w:rPr>
          <w:rFonts w:hint="default"/>
          <w:lang w:val="sk-SK"/>
        </w:rPr>
        <w:t>né</w:t>
      </w:r>
      <w:r w:rsidRPr="00812649">
        <w:rPr>
          <w:rFonts w:hint="default"/>
          <w:lang w:val="sk-SK"/>
        </w:rPr>
        <w:t xml:space="preserve"> prostriedky v </w:t>
      </w:r>
      <w:r w:rsidRPr="00812649">
        <w:rPr>
          <w:rFonts w:hint="default"/>
          <w:lang w:val="sk-SK"/>
        </w:rPr>
        <w:t>objeme 40 mil. Eur. Keďž</w:t>
      </w:r>
      <w:r w:rsidRPr="00812649">
        <w:rPr>
          <w:rFonts w:hint="default"/>
          <w:lang w:val="sk-SK"/>
        </w:rPr>
        <w:t>e ide o </w:t>
      </w:r>
      <w:r w:rsidRPr="00812649">
        <w:rPr>
          <w:rFonts w:hint="default"/>
          <w:lang w:val="sk-SK"/>
        </w:rPr>
        <w:t>využ</w:t>
      </w:r>
      <w:r w:rsidRPr="00812649">
        <w:rPr>
          <w:rFonts w:hint="default"/>
          <w:lang w:val="sk-SK"/>
        </w:rPr>
        <w:t>itie externý</w:t>
      </w:r>
      <w:r w:rsidRPr="00812649">
        <w:rPr>
          <w:rFonts w:hint="default"/>
          <w:lang w:val="sk-SK"/>
        </w:rPr>
        <w:t>ch zdrojov financovania, tieto ná</w:t>
      </w:r>
      <w:r w:rsidRPr="00812649">
        <w:rPr>
          <w:rFonts w:hint="default"/>
          <w:lang w:val="sk-SK"/>
        </w:rPr>
        <w:t>klady taktiež</w:t>
      </w:r>
      <w:r w:rsidRPr="00812649">
        <w:rPr>
          <w:rFonts w:hint="default"/>
          <w:lang w:val="sk-SK"/>
        </w:rPr>
        <w:t xml:space="preserve"> nepredstavujú</w:t>
      </w:r>
      <w:r w:rsidRPr="00812649">
        <w:rPr>
          <w:rFonts w:hint="default"/>
          <w:lang w:val="sk-SK"/>
        </w:rPr>
        <w:t xml:space="preserve"> dopad na š</w:t>
      </w:r>
      <w:r w:rsidRPr="00812649">
        <w:rPr>
          <w:rFonts w:hint="default"/>
          <w:lang w:val="sk-SK"/>
        </w:rPr>
        <w:t>tá</w:t>
      </w:r>
      <w:r w:rsidRPr="00812649">
        <w:rPr>
          <w:rFonts w:hint="default"/>
          <w:lang w:val="sk-SK"/>
        </w:rPr>
        <w:t>tny rozpoč</w:t>
      </w:r>
      <w:r w:rsidRPr="00812649">
        <w:rPr>
          <w:rFonts w:hint="default"/>
          <w:lang w:val="sk-SK"/>
        </w:rPr>
        <w:t xml:space="preserve">et. </w:t>
      </w:r>
    </w:p>
    <w:p w:rsidR="003B585F" w:rsidRPr="00812649" w:rsidP="003B585F">
      <w:pPr>
        <w:bidi w:val="0"/>
        <w:ind w:left="60" w:firstLine="360"/>
        <w:jc w:val="both"/>
        <w:rPr>
          <w:color w:val="000000"/>
          <w:lang w:val="sk-SK"/>
        </w:rPr>
      </w:pPr>
    </w:p>
    <w:p w:rsidR="003B585F" w:rsidRPr="00812649" w:rsidP="003B585F">
      <w:pPr>
        <w:bidi w:val="0"/>
        <w:ind w:left="60" w:firstLine="360"/>
        <w:jc w:val="both"/>
        <w:rPr>
          <w:rFonts w:hint="default"/>
          <w:lang w:val="sk-SK"/>
        </w:rPr>
      </w:pPr>
      <w:r w:rsidRPr="00812649">
        <w:rPr>
          <w:rFonts w:hint="default"/>
          <w:color w:val="000000"/>
          <w:lang w:val="sk-SK"/>
        </w:rPr>
        <w:t>Schvá</w:t>
      </w:r>
      <w:r w:rsidRPr="00812649">
        <w:rPr>
          <w:rFonts w:hint="default"/>
          <w:color w:val="000000"/>
          <w:lang w:val="sk-SK"/>
        </w:rPr>
        <w:t>lenie zá</w:t>
      </w:r>
      <w:r w:rsidRPr="00812649">
        <w:rPr>
          <w:rFonts w:hint="default"/>
          <w:color w:val="000000"/>
          <w:lang w:val="sk-SK"/>
        </w:rPr>
        <w:t>kona a </w:t>
      </w:r>
      <w:r w:rsidRPr="00812649">
        <w:rPr>
          <w:rFonts w:hint="default"/>
          <w:color w:val="000000"/>
          <w:lang w:val="sk-SK"/>
        </w:rPr>
        <w:t>ná</w:t>
      </w:r>
      <w:r w:rsidRPr="00812649">
        <w:rPr>
          <w:rFonts w:hint="default"/>
          <w:color w:val="000000"/>
          <w:lang w:val="sk-SK"/>
        </w:rPr>
        <w:t>sledná</w:t>
      </w:r>
      <w:r w:rsidRPr="00812649">
        <w:rPr>
          <w:rFonts w:hint="default"/>
          <w:color w:val="000000"/>
          <w:lang w:val="sk-SK"/>
        </w:rPr>
        <w:t xml:space="preserve"> realizá</w:t>
      </w:r>
      <w:r w:rsidRPr="00812649">
        <w:rPr>
          <w:rFonts w:hint="default"/>
          <w:color w:val="000000"/>
          <w:lang w:val="sk-SK"/>
        </w:rPr>
        <w:t>cia Programu implementá</w:t>
      </w:r>
      <w:r w:rsidRPr="00812649">
        <w:rPr>
          <w:rFonts w:hint="default"/>
          <w:color w:val="000000"/>
          <w:lang w:val="sk-SK"/>
        </w:rPr>
        <w:t xml:space="preserve">cie eHealth </w:t>
      </w:r>
      <w:r w:rsidRPr="00812649">
        <w:rPr>
          <w:rFonts w:hint="default"/>
          <w:color w:val="000000"/>
          <w:lang w:val="sk-SK"/>
        </w:rPr>
        <w:t>má</w:t>
      </w:r>
      <w:r w:rsidRPr="00812649">
        <w:rPr>
          <w:rFonts w:hint="default"/>
          <w:color w:val="000000"/>
          <w:lang w:val="sk-SK"/>
        </w:rPr>
        <w:t xml:space="preserve"> okrem iné</w:t>
      </w:r>
      <w:r w:rsidRPr="00812649">
        <w:rPr>
          <w:rFonts w:hint="default"/>
          <w:color w:val="000000"/>
          <w:lang w:val="sk-SK"/>
        </w:rPr>
        <w:t>ho aj vý</w:t>
      </w:r>
      <w:r w:rsidRPr="00812649">
        <w:rPr>
          <w:rFonts w:hint="default"/>
          <w:color w:val="000000"/>
          <w:lang w:val="sk-SK"/>
        </w:rPr>
        <w:t>razný</w:t>
      </w:r>
      <w:r w:rsidRPr="00812649">
        <w:rPr>
          <w:rFonts w:hint="default"/>
          <w:color w:val="000000"/>
          <w:lang w:val="sk-SK"/>
        </w:rPr>
        <w:t xml:space="preserve"> pozití</w:t>
      </w:r>
      <w:r w:rsidRPr="00812649">
        <w:rPr>
          <w:rFonts w:hint="default"/>
          <w:color w:val="000000"/>
          <w:lang w:val="sk-SK"/>
        </w:rPr>
        <w:t>vny vplyv na verejné</w:t>
      </w:r>
      <w:r w:rsidRPr="00812649">
        <w:rPr>
          <w:rFonts w:hint="default"/>
          <w:color w:val="000000"/>
          <w:lang w:val="sk-SK"/>
        </w:rPr>
        <w:t xml:space="preserve"> zdroje, s </w:t>
      </w:r>
      <w:r w:rsidRPr="00812649">
        <w:rPr>
          <w:rFonts w:hint="default"/>
          <w:color w:val="000000"/>
          <w:lang w:val="sk-SK"/>
        </w:rPr>
        <w:t>ktorý</w:t>
      </w:r>
      <w:r w:rsidRPr="00812649">
        <w:rPr>
          <w:rFonts w:hint="default"/>
          <w:color w:val="000000"/>
          <w:lang w:val="sk-SK"/>
        </w:rPr>
        <w:t>mi hospodá</w:t>
      </w:r>
      <w:r w:rsidRPr="00812649">
        <w:rPr>
          <w:rFonts w:hint="default"/>
          <w:color w:val="000000"/>
          <w:lang w:val="sk-SK"/>
        </w:rPr>
        <w:t>ria zdravotné</w:t>
      </w:r>
      <w:r w:rsidRPr="00812649">
        <w:rPr>
          <w:rFonts w:hint="default"/>
          <w:color w:val="000000"/>
          <w:lang w:val="sk-SK"/>
        </w:rPr>
        <w:t xml:space="preserve"> poisť</w:t>
      </w:r>
      <w:r w:rsidRPr="00812649">
        <w:rPr>
          <w:rFonts w:hint="default"/>
          <w:color w:val="000000"/>
          <w:lang w:val="sk-SK"/>
        </w:rPr>
        <w:t xml:space="preserve">ovne. </w:t>
      </w:r>
      <w:r w:rsidRPr="00812649">
        <w:rPr>
          <w:rFonts w:hint="default"/>
          <w:lang w:val="sk-SK"/>
        </w:rPr>
        <w:t>Pri predpokladaný</w:t>
      </w:r>
      <w:r w:rsidRPr="00812649">
        <w:rPr>
          <w:rFonts w:hint="default"/>
          <w:lang w:val="sk-SK"/>
        </w:rPr>
        <w:t>ch ná</w:t>
      </w:r>
      <w:r w:rsidRPr="00812649">
        <w:rPr>
          <w:rFonts w:hint="default"/>
          <w:lang w:val="sk-SK"/>
        </w:rPr>
        <w:t>behový</w:t>
      </w:r>
      <w:r w:rsidRPr="00812649">
        <w:rPr>
          <w:rFonts w:hint="default"/>
          <w:lang w:val="sk-SK"/>
        </w:rPr>
        <w:t>ch krivká</w:t>
      </w:r>
      <w:r w:rsidRPr="00812649">
        <w:rPr>
          <w:rFonts w:hint="default"/>
          <w:lang w:val="sk-SK"/>
        </w:rPr>
        <w:t>ch zapojenia leká</w:t>
      </w:r>
      <w:r w:rsidRPr="00812649">
        <w:rPr>
          <w:rFonts w:hint="default"/>
          <w:lang w:val="sk-SK"/>
        </w:rPr>
        <w:t>rní</w:t>
      </w:r>
      <w:r w:rsidRPr="00812649">
        <w:rPr>
          <w:rFonts w:hint="default"/>
          <w:lang w:val="sk-SK"/>
        </w:rPr>
        <w:t>, leká</w:t>
      </w:r>
      <w:r w:rsidRPr="00812649">
        <w:rPr>
          <w:rFonts w:hint="default"/>
          <w:lang w:val="sk-SK"/>
        </w:rPr>
        <w:t>rov a </w:t>
      </w:r>
      <w:r w:rsidRPr="00812649">
        <w:rPr>
          <w:rFonts w:hint="default"/>
          <w:lang w:val="sk-SK"/>
        </w:rPr>
        <w:t>pacientov do systé</w:t>
      </w:r>
      <w:r w:rsidRPr="00812649">
        <w:rPr>
          <w:rFonts w:hint="default"/>
          <w:lang w:val="sk-SK"/>
        </w:rPr>
        <w:t>mu sa oč</w:t>
      </w:r>
      <w:r w:rsidRPr="00812649">
        <w:rPr>
          <w:rFonts w:hint="default"/>
          <w:lang w:val="sk-SK"/>
        </w:rPr>
        <w:t>aká</w:t>
      </w:r>
      <w:r w:rsidRPr="00812649">
        <w:rPr>
          <w:rFonts w:hint="default"/>
          <w:lang w:val="sk-SK"/>
        </w:rPr>
        <w:t>vajú</w:t>
      </w:r>
      <w:r w:rsidRPr="00812649">
        <w:rPr>
          <w:rFonts w:hint="default"/>
          <w:lang w:val="sk-SK"/>
        </w:rPr>
        <w:t xml:space="preserve"> prvé</w:t>
      </w:r>
      <w:r w:rsidRPr="00812649">
        <w:rPr>
          <w:rFonts w:hint="default"/>
          <w:lang w:val="sk-SK"/>
        </w:rPr>
        <w:t xml:space="preserve"> ú</w:t>
      </w:r>
      <w:r w:rsidRPr="00812649">
        <w:rPr>
          <w:rFonts w:hint="default"/>
          <w:lang w:val="sk-SK"/>
        </w:rPr>
        <w:t>spory už</w:t>
      </w:r>
      <w:r w:rsidRPr="00812649">
        <w:rPr>
          <w:rFonts w:hint="default"/>
          <w:lang w:val="sk-SK"/>
        </w:rPr>
        <w:t xml:space="preserve"> v roku 2014 v </w:t>
      </w:r>
      <w:r w:rsidRPr="00812649">
        <w:rPr>
          <w:rFonts w:hint="default"/>
          <w:lang w:val="sk-SK"/>
        </w:rPr>
        <w:t>sú</w:t>
      </w:r>
      <w:r w:rsidRPr="00812649">
        <w:rPr>
          <w:rFonts w:hint="default"/>
          <w:lang w:val="sk-SK"/>
        </w:rPr>
        <w:t>hrnnej výš</w:t>
      </w:r>
      <w:r w:rsidRPr="00812649">
        <w:rPr>
          <w:rFonts w:hint="default"/>
          <w:lang w:val="sk-SK"/>
        </w:rPr>
        <w:t>ke 11,4 m</w:t>
      </w:r>
      <w:r w:rsidRPr="00812649">
        <w:rPr>
          <w:rFonts w:hint="default"/>
          <w:lang w:val="sk-SK"/>
        </w:rPr>
        <w:t>il. Eur. Pre roky 2015, 2016 sú</w:t>
      </w:r>
      <w:r w:rsidRPr="00812649">
        <w:rPr>
          <w:rFonts w:hint="default"/>
          <w:lang w:val="sk-SK"/>
        </w:rPr>
        <w:t xml:space="preserve"> predpokladané</w:t>
      </w:r>
      <w:r w:rsidRPr="00812649">
        <w:rPr>
          <w:rFonts w:hint="default"/>
          <w:lang w:val="sk-SK"/>
        </w:rPr>
        <w:t xml:space="preserve"> výš</w:t>
      </w:r>
      <w:r w:rsidRPr="00812649">
        <w:rPr>
          <w:rFonts w:hint="default"/>
          <w:lang w:val="sk-SK"/>
        </w:rPr>
        <w:t>ky  ú</w:t>
      </w:r>
      <w:r w:rsidRPr="00812649">
        <w:rPr>
          <w:rFonts w:hint="default"/>
          <w:lang w:val="sk-SK"/>
        </w:rPr>
        <w:t>spor na výš</w:t>
      </w:r>
      <w:r w:rsidRPr="00812649">
        <w:rPr>
          <w:rFonts w:hint="default"/>
          <w:lang w:val="sk-SK"/>
        </w:rPr>
        <w:t>kach 35,2 mil. Eur a 59,2 mil. Eur,</w:t>
      </w:r>
    </w:p>
    <w:p w:rsidR="003B585F" w:rsidRPr="00812649" w:rsidP="003B585F">
      <w:pPr>
        <w:bidi w:val="0"/>
        <w:ind w:firstLine="420"/>
        <w:jc w:val="both"/>
        <w:rPr>
          <w:lang w:val="sk-SK"/>
        </w:rPr>
      </w:pPr>
    </w:p>
    <w:p w:rsidR="003B585F" w:rsidRPr="00812649" w:rsidP="003B585F">
      <w:pPr>
        <w:bidi w:val="0"/>
        <w:ind w:firstLine="420"/>
        <w:jc w:val="both"/>
        <w:rPr>
          <w:rFonts w:cs="Calibri" w:hint="default"/>
          <w:lang w:val="sk-SK"/>
        </w:rPr>
      </w:pPr>
      <w:r w:rsidRPr="00812649">
        <w:rPr>
          <w:rFonts w:cs="Calibri" w:hint="default"/>
          <w:lang w:val="sk-SK"/>
        </w:rPr>
        <w:t>Vzhľ</w:t>
      </w:r>
      <w:r w:rsidRPr="00812649">
        <w:rPr>
          <w:rFonts w:cs="Calibri" w:hint="default"/>
          <w:lang w:val="sk-SK"/>
        </w:rPr>
        <w:t>adom na skutoč</w:t>
      </w:r>
      <w:r w:rsidRPr="00812649">
        <w:rPr>
          <w:rFonts w:cs="Calibri" w:hint="default"/>
          <w:lang w:val="sk-SK"/>
        </w:rPr>
        <w:t>nosť</w:t>
      </w:r>
      <w:r w:rsidRPr="00812649">
        <w:rPr>
          <w:rFonts w:cs="Calibri" w:hint="default"/>
          <w:lang w:val="sk-SK"/>
        </w:rPr>
        <w:t>, ž</w:t>
      </w:r>
      <w:r w:rsidRPr="00812649">
        <w:rPr>
          <w:rFonts w:cs="Calibri" w:hint="default"/>
          <w:lang w:val="sk-SK"/>
        </w:rPr>
        <w:t>e navrhované</w:t>
      </w:r>
      <w:r w:rsidRPr="00812649">
        <w:rPr>
          <w:rFonts w:cs="Calibri" w:hint="default"/>
          <w:lang w:val="sk-SK"/>
        </w:rPr>
        <w:t xml:space="preserve"> opatrenia a </w:t>
      </w:r>
      <w:r w:rsidRPr="00812649">
        <w:rPr>
          <w:rFonts w:cs="Calibri" w:hint="default"/>
          <w:lang w:val="sk-SK"/>
        </w:rPr>
        <w:t>realizá</w:t>
      </w:r>
      <w:r w:rsidRPr="00812649">
        <w:rPr>
          <w:rFonts w:cs="Calibri" w:hint="default"/>
          <w:lang w:val="sk-SK"/>
        </w:rPr>
        <w:t>cia Programu implementá</w:t>
      </w:r>
      <w:r w:rsidRPr="00812649">
        <w:rPr>
          <w:rFonts w:cs="Calibri" w:hint="default"/>
          <w:lang w:val="sk-SK"/>
        </w:rPr>
        <w:t>cie eHealth majú</w:t>
      </w:r>
      <w:r w:rsidRPr="00812649">
        <w:rPr>
          <w:rFonts w:cs="Calibri" w:hint="default"/>
          <w:lang w:val="sk-SK"/>
        </w:rPr>
        <w:t xml:space="preserve"> viesť</w:t>
      </w:r>
      <w:r w:rsidRPr="00812649">
        <w:rPr>
          <w:rFonts w:cs="Calibri" w:hint="default"/>
          <w:lang w:val="sk-SK"/>
        </w:rPr>
        <w:t xml:space="preserve"> k </w:t>
      </w:r>
      <w:r w:rsidRPr="00812649">
        <w:rPr>
          <w:rFonts w:cs="Calibri" w:hint="default"/>
          <w:lang w:val="sk-SK"/>
        </w:rPr>
        <w:t>zníž</w:t>
      </w:r>
      <w:r w:rsidRPr="00812649">
        <w:rPr>
          <w:rFonts w:cs="Calibri" w:hint="default"/>
          <w:lang w:val="sk-SK"/>
        </w:rPr>
        <w:t>eniu vý</w:t>
      </w:r>
      <w:r w:rsidRPr="00812649">
        <w:rPr>
          <w:rFonts w:cs="Calibri" w:hint="default"/>
          <w:lang w:val="sk-SK"/>
        </w:rPr>
        <w:t>davkov prostriedkov verejné</w:t>
      </w:r>
      <w:r w:rsidRPr="00812649">
        <w:rPr>
          <w:rFonts w:cs="Calibri" w:hint="default"/>
          <w:lang w:val="sk-SK"/>
        </w:rPr>
        <w:t>ho zdravotn</w:t>
      </w:r>
      <w:r w:rsidRPr="00812649">
        <w:rPr>
          <w:rFonts w:cs="Calibri" w:hint="default"/>
          <w:lang w:val="sk-SK"/>
        </w:rPr>
        <w:t>é</w:t>
      </w:r>
      <w:r w:rsidRPr="00812649">
        <w:rPr>
          <w:rFonts w:cs="Calibri" w:hint="default"/>
          <w:lang w:val="sk-SK"/>
        </w:rPr>
        <w:t>ho poistenia, t.j. prostriedkov, s </w:t>
      </w:r>
      <w:r w:rsidRPr="00812649">
        <w:rPr>
          <w:rFonts w:cs="Calibri" w:hint="default"/>
          <w:lang w:val="sk-SK"/>
        </w:rPr>
        <w:t>ktorý</w:t>
      </w:r>
      <w:r w:rsidRPr="00812649">
        <w:rPr>
          <w:rFonts w:cs="Calibri" w:hint="default"/>
          <w:lang w:val="sk-SK"/>
        </w:rPr>
        <w:t>mi hospodá</w:t>
      </w:r>
      <w:r w:rsidRPr="00812649">
        <w:rPr>
          <w:rFonts w:cs="Calibri" w:hint="default"/>
          <w:lang w:val="sk-SK"/>
        </w:rPr>
        <w:t>ria zdravotné</w:t>
      </w:r>
      <w:r w:rsidRPr="00812649">
        <w:rPr>
          <w:rFonts w:cs="Calibri" w:hint="default"/>
          <w:lang w:val="sk-SK"/>
        </w:rPr>
        <w:t xml:space="preserve"> poisť</w:t>
      </w:r>
      <w:r w:rsidRPr="00812649">
        <w:rPr>
          <w:rFonts w:cs="Calibri" w:hint="default"/>
          <w:lang w:val="sk-SK"/>
        </w:rPr>
        <w:t>ovne, nie je mož</w:t>
      </w:r>
      <w:r w:rsidRPr="00812649">
        <w:rPr>
          <w:rFonts w:cs="Calibri" w:hint="default"/>
          <w:lang w:val="sk-SK"/>
        </w:rPr>
        <w:t>né</w:t>
      </w:r>
      <w:r w:rsidRPr="00812649">
        <w:rPr>
          <w:rFonts w:cs="Calibri" w:hint="default"/>
          <w:lang w:val="sk-SK"/>
        </w:rPr>
        <w:t xml:space="preserve"> jednoznač</w:t>
      </w:r>
      <w:r w:rsidRPr="00812649">
        <w:rPr>
          <w:rFonts w:cs="Calibri" w:hint="default"/>
          <w:lang w:val="sk-SK"/>
        </w:rPr>
        <w:t>ne urč</w:t>
      </w:r>
      <w:r w:rsidRPr="00812649">
        <w:rPr>
          <w:rFonts w:cs="Calibri" w:hint="default"/>
          <w:lang w:val="sk-SK"/>
        </w:rPr>
        <w:t>iť</w:t>
      </w:r>
      <w:r w:rsidRPr="00812649">
        <w:rPr>
          <w:rFonts w:cs="Calibri" w:hint="default"/>
          <w:lang w:val="sk-SK"/>
        </w:rPr>
        <w:t>, č</w:t>
      </w:r>
      <w:r w:rsidRPr="00812649">
        <w:rPr>
          <w:rFonts w:cs="Calibri" w:hint="default"/>
          <w:lang w:val="sk-SK"/>
        </w:rPr>
        <w:t>i predpokladané</w:t>
      </w:r>
      <w:r w:rsidRPr="00812649">
        <w:rPr>
          <w:rFonts w:cs="Calibri" w:hint="default"/>
          <w:lang w:val="sk-SK"/>
        </w:rPr>
        <w:t xml:space="preserve"> zníž</w:t>
      </w:r>
      <w:r w:rsidRPr="00812649">
        <w:rPr>
          <w:rFonts w:cs="Calibri" w:hint="default"/>
          <w:lang w:val="sk-SK"/>
        </w:rPr>
        <w:t>enie vý</w:t>
      </w:r>
      <w:r w:rsidRPr="00812649">
        <w:rPr>
          <w:rFonts w:cs="Calibri" w:hint="default"/>
          <w:lang w:val="sk-SK"/>
        </w:rPr>
        <w:t>davkov predstavuje prí</w:t>
      </w:r>
      <w:r w:rsidRPr="00812649">
        <w:rPr>
          <w:rFonts w:cs="Calibri" w:hint="default"/>
          <w:lang w:val="sk-SK"/>
        </w:rPr>
        <w:t>spevok k fiš</w:t>
      </w:r>
      <w:r w:rsidRPr="00812649">
        <w:rPr>
          <w:rFonts w:cs="Calibri" w:hint="default"/>
          <w:lang w:val="sk-SK"/>
        </w:rPr>
        <w:t>ká</w:t>
      </w:r>
      <w:r w:rsidRPr="00812649">
        <w:rPr>
          <w:rFonts w:cs="Calibri" w:hint="default"/>
          <w:lang w:val="sk-SK"/>
        </w:rPr>
        <w:t>lnemu konsolidač</w:t>
      </w:r>
      <w:r w:rsidRPr="00812649">
        <w:rPr>
          <w:rFonts w:cs="Calibri" w:hint="default"/>
          <w:lang w:val="sk-SK"/>
        </w:rPr>
        <w:t>né</w:t>
      </w:r>
      <w:r w:rsidRPr="00812649">
        <w:rPr>
          <w:rFonts w:cs="Calibri" w:hint="default"/>
          <w:lang w:val="sk-SK"/>
        </w:rPr>
        <w:t>mu ú</w:t>
      </w:r>
      <w:r w:rsidRPr="00812649">
        <w:rPr>
          <w:rFonts w:cs="Calibri" w:hint="default"/>
          <w:lang w:val="sk-SK"/>
        </w:rPr>
        <w:t>siliu, alebo č</w:t>
      </w:r>
      <w:r w:rsidRPr="00812649">
        <w:rPr>
          <w:rFonts w:cs="Calibri" w:hint="default"/>
          <w:lang w:val="sk-SK"/>
        </w:rPr>
        <w:t>i bude využ</w:t>
      </w:r>
      <w:r w:rsidRPr="00812649">
        <w:rPr>
          <w:rFonts w:cs="Calibri" w:hint="default"/>
          <w:lang w:val="sk-SK"/>
        </w:rPr>
        <w:t>ité</w:t>
      </w:r>
      <w:r w:rsidRPr="00812649">
        <w:rPr>
          <w:rFonts w:cs="Calibri" w:hint="default"/>
          <w:lang w:val="sk-SK"/>
        </w:rPr>
        <w:t xml:space="preserve"> na financovanie iný</w:t>
      </w:r>
      <w:r w:rsidRPr="00812649">
        <w:rPr>
          <w:rFonts w:cs="Calibri" w:hint="default"/>
          <w:lang w:val="sk-SK"/>
        </w:rPr>
        <w:t>ch vý</w:t>
      </w:r>
      <w:r w:rsidRPr="00812649">
        <w:rPr>
          <w:rFonts w:cs="Calibri" w:hint="default"/>
          <w:lang w:val="sk-SK"/>
        </w:rPr>
        <w:t xml:space="preserve">davkov. </w:t>
      </w:r>
      <w:r w:rsidRPr="00812649">
        <w:rPr>
          <w:rFonts w:cs="Calibri" w:hint="default"/>
          <w:lang w:val="sk-SK"/>
        </w:rPr>
        <w:t>J</w:t>
      </w:r>
      <w:r w:rsidRPr="00812649">
        <w:rPr>
          <w:rFonts w:cs="Calibri" w:hint="default"/>
          <w:lang w:val="sk-SK"/>
        </w:rPr>
        <w:t>e vš</w:t>
      </w:r>
      <w:r w:rsidRPr="00812649">
        <w:rPr>
          <w:rFonts w:cs="Calibri" w:hint="default"/>
          <w:lang w:val="sk-SK"/>
        </w:rPr>
        <w:t>ak vysoko pravdepodobné</w:t>
      </w:r>
      <w:r w:rsidRPr="00812649">
        <w:rPr>
          <w:rFonts w:cs="Calibri" w:hint="default"/>
          <w:lang w:val="sk-SK"/>
        </w:rPr>
        <w:t>, ž</w:t>
      </w:r>
      <w:r w:rsidRPr="00812649">
        <w:rPr>
          <w:rFonts w:cs="Calibri" w:hint="default"/>
          <w:lang w:val="sk-SK"/>
        </w:rPr>
        <w:t>e zdravotné</w:t>
      </w:r>
      <w:r w:rsidRPr="00812649">
        <w:rPr>
          <w:rFonts w:cs="Calibri" w:hint="default"/>
          <w:lang w:val="sk-SK"/>
        </w:rPr>
        <w:t xml:space="preserve"> poisť</w:t>
      </w:r>
      <w:r w:rsidRPr="00812649">
        <w:rPr>
          <w:rFonts w:cs="Calibri" w:hint="default"/>
          <w:lang w:val="sk-SK"/>
        </w:rPr>
        <w:t>ovne ú</w:t>
      </w:r>
      <w:r w:rsidRPr="00812649">
        <w:rPr>
          <w:rFonts w:cs="Calibri" w:hint="default"/>
          <w:lang w:val="sk-SK"/>
        </w:rPr>
        <w:t>sporu na strane vý</w:t>
      </w:r>
      <w:r w:rsidRPr="00812649">
        <w:rPr>
          <w:rFonts w:cs="Calibri" w:hint="default"/>
          <w:lang w:val="sk-SK"/>
        </w:rPr>
        <w:t>davkov za lieky, zdravotní</w:t>
      </w:r>
      <w:r w:rsidRPr="00812649">
        <w:rPr>
          <w:rFonts w:cs="Calibri" w:hint="default"/>
          <w:lang w:val="sk-SK"/>
        </w:rPr>
        <w:t>cke pomô</w:t>
      </w:r>
      <w:r w:rsidRPr="00812649">
        <w:rPr>
          <w:rFonts w:cs="Calibri" w:hint="default"/>
          <w:lang w:val="sk-SK"/>
        </w:rPr>
        <w:t>cky a </w:t>
      </w:r>
      <w:r w:rsidRPr="00812649">
        <w:rPr>
          <w:rFonts w:cs="Calibri" w:hint="default"/>
          <w:lang w:val="sk-SK"/>
        </w:rPr>
        <w:t>dietetické</w:t>
      </w:r>
      <w:r w:rsidRPr="00812649">
        <w:rPr>
          <w:rFonts w:cs="Calibri" w:hint="default"/>
          <w:lang w:val="sk-SK"/>
        </w:rPr>
        <w:t xml:space="preserve"> potraviny č</w:t>
      </w:r>
      <w:r w:rsidRPr="00812649">
        <w:rPr>
          <w:rFonts w:cs="Calibri" w:hint="default"/>
          <w:lang w:val="sk-SK"/>
        </w:rPr>
        <w:t>iastoč</w:t>
      </w:r>
      <w:r w:rsidRPr="00812649">
        <w:rPr>
          <w:rFonts w:cs="Calibri" w:hint="default"/>
          <w:lang w:val="sk-SK"/>
        </w:rPr>
        <w:t>ne alebo v </w:t>
      </w:r>
      <w:r w:rsidRPr="00812649">
        <w:rPr>
          <w:rFonts w:cs="Calibri" w:hint="default"/>
          <w:lang w:val="sk-SK"/>
        </w:rPr>
        <w:t>plnom rozsahu využ</w:t>
      </w:r>
      <w:r w:rsidRPr="00812649">
        <w:rPr>
          <w:rFonts w:cs="Calibri" w:hint="default"/>
          <w:lang w:val="sk-SK"/>
        </w:rPr>
        <w:t>ijú</w:t>
      </w:r>
      <w:r w:rsidRPr="00812649">
        <w:rPr>
          <w:rFonts w:cs="Calibri" w:hint="default"/>
          <w:lang w:val="sk-SK"/>
        </w:rPr>
        <w:t xml:space="preserve"> na ú</w:t>
      </w:r>
      <w:r w:rsidRPr="00812649">
        <w:rPr>
          <w:rFonts w:cs="Calibri" w:hint="default"/>
          <w:lang w:val="sk-SK"/>
        </w:rPr>
        <w:t>hradu inej zdravotnej starostlivosti, prí</w:t>
      </w:r>
      <w:r w:rsidRPr="00812649">
        <w:rPr>
          <w:rFonts w:cs="Calibri" w:hint="default"/>
          <w:lang w:val="sk-SK"/>
        </w:rPr>
        <w:t>padne na ú</w:t>
      </w:r>
      <w:r w:rsidRPr="00812649">
        <w:rPr>
          <w:rFonts w:cs="Calibri" w:hint="default"/>
          <w:lang w:val="sk-SK"/>
        </w:rPr>
        <w:t>hradu ná</w:t>
      </w:r>
      <w:r w:rsidRPr="00812649">
        <w:rPr>
          <w:rFonts w:cs="Calibri" w:hint="default"/>
          <w:lang w:val="sk-SK"/>
        </w:rPr>
        <w:t>kladný</w:t>
      </w:r>
      <w:r w:rsidRPr="00812649">
        <w:rPr>
          <w:rFonts w:cs="Calibri" w:hint="default"/>
          <w:lang w:val="sk-SK"/>
        </w:rPr>
        <w:t>ch inovatí</w:t>
      </w:r>
      <w:r w:rsidRPr="00812649">
        <w:rPr>
          <w:rFonts w:cs="Calibri" w:hint="default"/>
          <w:lang w:val="sk-SK"/>
        </w:rPr>
        <w:t>vnyc</w:t>
      </w:r>
      <w:r w:rsidRPr="00812649">
        <w:rPr>
          <w:rFonts w:cs="Calibri" w:hint="default"/>
          <w:lang w:val="sk-SK"/>
        </w:rPr>
        <w:t>h</w:t>
      </w:r>
      <w:r w:rsidRPr="00812649">
        <w:rPr>
          <w:rFonts w:cs="Calibri" w:hint="default"/>
          <w:lang w:val="sk-SK"/>
        </w:rPr>
        <w:t xml:space="preserve"> liekov a </w:t>
      </w:r>
      <w:r w:rsidRPr="00812649">
        <w:rPr>
          <w:rFonts w:cs="Calibri" w:hint="default"/>
          <w:lang w:val="sk-SK"/>
        </w:rPr>
        <w:t>lieč</w:t>
      </w:r>
      <w:r w:rsidRPr="00812649">
        <w:rPr>
          <w:rFonts w:cs="Calibri" w:hint="default"/>
          <w:lang w:val="sk-SK"/>
        </w:rPr>
        <w:t>ebný</w:t>
      </w:r>
      <w:r w:rsidRPr="00812649">
        <w:rPr>
          <w:rFonts w:cs="Calibri" w:hint="default"/>
          <w:lang w:val="sk-SK"/>
        </w:rPr>
        <w:t>ch postupov.</w:t>
      </w:r>
    </w:p>
    <w:p w:rsidR="003B585F" w:rsidRPr="00812649" w:rsidP="003B585F">
      <w:pPr>
        <w:bidi w:val="0"/>
        <w:ind w:firstLine="420"/>
        <w:jc w:val="both"/>
        <w:rPr>
          <w:lang w:val="sk-SK"/>
        </w:rPr>
      </w:pPr>
    </w:p>
    <w:p w:rsidR="00275752" w:rsidRPr="00812649" w:rsidP="003B585F">
      <w:pPr>
        <w:bidi w:val="0"/>
        <w:ind w:firstLine="420"/>
        <w:jc w:val="both"/>
        <w:rPr>
          <w:lang w:val="sk-SK"/>
        </w:rPr>
      </w:pPr>
    </w:p>
    <w:p w:rsidR="00D77875" w:rsidRPr="00812649" w:rsidP="003B585F">
      <w:pPr>
        <w:bidi w:val="0"/>
        <w:rPr>
          <w:b/>
          <w:sz w:val="28"/>
          <w:szCs w:val="28"/>
          <w:lang w:val="sk-SK"/>
        </w:rPr>
        <w:sectPr w:rsidSect="00846C6D">
          <w:footerReference w:type="default" r:id="rId4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D77875" w:rsidRPr="00812649" w:rsidP="003B585F">
      <w:pPr>
        <w:bidi w:val="0"/>
        <w:rPr>
          <w:b/>
          <w:sz w:val="28"/>
          <w:szCs w:val="28"/>
          <w:lang w:val="sk-SK"/>
        </w:rPr>
      </w:pPr>
    </w:p>
    <w:p w:rsidR="00105D5F" w:rsidRPr="00812649" w:rsidP="00105D5F">
      <w:pPr>
        <w:bidi w:val="0"/>
        <w:jc w:val="right"/>
        <w:rPr>
          <w:rFonts w:hint="default"/>
          <w:b/>
          <w:lang w:val="sk-SK"/>
        </w:rPr>
      </w:pPr>
      <w:r w:rsidRPr="00812649">
        <w:rPr>
          <w:rFonts w:hint="default"/>
          <w:b/>
          <w:lang w:val="sk-SK"/>
        </w:rPr>
        <w:t>Tabuľ</w:t>
      </w:r>
      <w:r w:rsidRPr="00812649">
        <w:rPr>
          <w:rFonts w:hint="default"/>
          <w:b/>
          <w:lang w:val="sk-SK"/>
        </w:rPr>
        <w:t>ka č</w:t>
      </w:r>
      <w:r w:rsidRPr="00812649">
        <w:rPr>
          <w:rFonts w:hint="default"/>
          <w:b/>
          <w:lang w:val="sk-SK"/>
        </w:rPr>
        <w:t>. 4:</w:t>
      </w:r>
    </w:p>
    <w:p w:rsidR="00105D5F" w:rsidRPr="00812649" w:rsidP="003B585F">
      <w:pPr>
        <w:bidi w:val="0"/>
        <w:rPr>
          <w:b/>
          <w:sz w:val="28"/>
          <w:szCs w:val="28"/>
          <w:lang w:val="sk-SK"/>
        </w:rPr>
      </w:pPr>
    </w:p>
    <w:p w:rsidR="00D77875" w:rsidRPr="00812649" w:rsidP="003B585F">
      <w:pPr>
        <w:bidi w:val="0"/>
        <w:rPr>
          <w:b/>
          <w:sz w:val="28"/>
          <w:szCs w:val="28"/>
          <w:lang w:val="sk-SK"/>
        </w:rPr>
      </w:pPr>
    </w:p>
    <w:p w:rsidR="00D77875" w:rsidRPr="00812649" w:rsidP="003B585F">
      <w:pPr>
        <w:bidi w:val="0"/>
        <w:rPr>
          <w:b/>
          <w:sz w:val="28"/>
          <w:szCs w:val="28"/>
          <w:lang w:val="sk-SK"/>
        </w:rPr>
      </w:pPr>
    </w:p>
    <w:p w:rsidR="00D77875" w:rsidRPr="00812649" w:rsidP="00D77875">
      <w:pPr>
        <w:pStyle w:val="BodyText"/>
        <w:tabs>
          <w:tab w:val="num" w:pos="1080"/>
        </w:tabs>
        <w:bidi w:val="0"/>
        <w:jc w:val="both"/>
        <w:rPr>
          <w:b/>
          <w:bCs/>
          <w:lang w:val="sk-SK"/>
        </w:rPr>
      </w:pPr>
    </w:p>
    <w:tbl>
      <w:tblPr>
        <w:tblStyle w:val="TableNormal"/>
        <w:tblpPr w:leftFromText="141" w:rightFromText="141" w:vertAnchor="page" w:horzAnchor="margin" w:tblpY="2499"/>
        <w:tblW w:w="13950" w:type="dxa"/>
        <w:tblCellMar>
          <w:left w:w="70" w:type="dxa"/>
          <w:right w:w="70" w:type="dxa"/>
        </w:tblCellMar>
      </w:tblPr>
      <w:tblGrid>
        <w:gridCol w:w="4950"/>
        <w:gridCol w:w="1420"/>
        <w:gridCol w:w="158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77875" w:rsidRPr="00812649" w:rsidP="00105D5F">
            <w:pPr>
              <w:bidi w:val="0"/>
              <w:jc w:val="center"/>
              <w:rPr>
                <w:rFonts w:hint="default"/>
                <w:b/>
                <w:bCs/>
                <w:color w:val="FFFFFF"/>
                <w:lang w:val="sk-SK"/>
              </w:rPr>
            </w:pP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Prí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jmy (v eurá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77875" w:rsidRPr="00812649" w:rsidP="00105D5F">
            <w:pPr>
              <w:bidi w:val="0"/>
              <w:jc w:val="center"/>
              <w:rPr>
                <w:rFonts w:hint="default"/>
                <w:b/>
                <w:bCs/>
                <w:color w:val="FFFFFF"/>
                <w:lang w:val="sk-SK"/>
              </w:rPr>
            </w:pP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Vplyv na rozpoč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et verejnej sprá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D77875" w:rsidRPr="00812649" w:rsidP="00105D5F">
            <w:pPr>
              <w:bidi w:val="0"/>
              <w:jc w:val="center"/>
              <w:rPr>
                <w:rFonts w:hint="default"/>
                <w:b/>
                <w:bCs/>
                <w:color w:val="FFFFFF"/>
                <w:lang w:val="sk-SK"/>
              </w:rPr>
            </w:pP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pozná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423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7875" w:rsidRPr="00812649" w:rsidP="00105D5F">
            <w:pPr>
              <w:bidi w:val="0"/>
              <w:rPr>
                <w:b/>
                <w:bCs/>
                <w:color w:val="FFFFFF"/>
                <w:lang w:val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77875" w:rsidRPr="00812649" w:rsidP="00105D5F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812649" w:rsidR="006165D2">
              <w:rPr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77875" w:rsidRPr="00812649" w:rsidP="00105D5F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812649" w:rsidR="006165D2">
              <w:rPr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77875" w:rsidRPr="00812649" w:rsidP="00105D5F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812649" w:rsidR="006165D2">
              <w:rPr>
                <w:b/>
                <w:bCs/>
                <w:color w:val="FFFFFF"/>
                <w:lang w:val="sk-SK"/>
              </w:rPr>
              <w:t>2015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77875" w:rsidRPr="00812649" w:rsidP="00105D5F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812649" w:rsidR="006165D2">
              <w:rPr>
                <w:b/>
                <w:bCs/>
                <w:color w:val="FFFFFF"/>
                <w:lang w:val="sk-SK"/>
              </w:rPr>
              <w:t>2016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7875" w:rsidRPr="00812649" w:rsidP="00105D5F">
            <w:pPr>
              <w:bidi w:val="0"/>
              <w:rPr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875" w:rsidRPr="00812649" w:rsidP="00105D5F">
            <w:pPr>
              <w:bidi w:val="0"/>
              <w:rPr>
                <w:b/>
                <w:bCs/>
                <w:vertAlign w:val="superscript"/>
                <w:lang w:val="sk-SK"/>
              </w:rPr>
            </w:pPr>
            <w:r w:rsidRPr="00812649">
              <w:rPr>
                <w:rFonts w:hint="default"/>
                <w:b/>
                <w:bCs/>
                <w:lang w:val="sk-SK"/>
              </w:rPr>
              <w:t>Daň</w:t>
            </w:r>
            <w:r w:rsidRPr="00812649">
              <w:rPr>
                <w:rFonts w:hint="default"/>
                <w:b/>
                <w:bCs/>
                <w:lang w:val="sk-SK"/>
              </w:rPr>
              <w:t>ové</w:t>
            </w:r>
            <w:r w:rsidRPr="00812649">
              <w:rPr>
                <w:rFonts w:hint="default"/>
                <w:b/>
                <w:bCs/>
                <w:lang w:val="sk-SK"/>
              </w:rPr>
              <w:t xml:space="preserve"> prí</w:t>
            </w:r>
            <w:r w:rsidRPr="00812649">
              <w:rPr>
                <w:rFonts w:hint="default"/>
                <w:b/>
                <w:bCs/>
                <w:lang w:val="sk-SK"/>
              </w:rPr>
              <w:t>jmy (100)</w:t>
            </w:r>
            <w:r w:rsidRPr="00812649">
              <w:rPr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7875" w:rsidRPr="00812649" w:rsidP="00105D5F">
            <w:pPr>
              <w:bidi w:val="0"/>
              <w:rPr>
                <w:lang w:val="sk-SK"/>
              </w:rPr>
            </w:pPr>
            <w:r w:rsidRPr="00812649">
              <w:rPr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875" w:rsidRPr="00812649" w:rsidP="00105D5F">
            <w:pPr>
              <w:bidi w:val="0"/>
              <w:rPr>
                <w:b/>
                <w:bCs/>
                <w:lang w:val="sk-SK"/>
              </w:rPr>
            </w:pPr>
            <w:r w:rsidRPr="00812649">
              <w:rPr>
                <w:rFonts w:hint="default"/>
                <w:b/>
                <w:bCs/>
                <w:lang w:val="sk-SK"/>
              </w:rPr>
              <w:t>Nedaň</w:t>
            </w:r>
            <w:r w:rsidRPr="00812649">
              <w:rPr>
                <w:rFonts w:hint="default"/>
                <w:b/>
                <w:bCs/>
                <w:lang w:val="sk-SK"/>
              </w:rPr>
              <w:t>ové</w:t>
            </w:r>
            <w:r w:rsidRPr="00812649">
              <w:rPr>
                <w:rFonts w:hint="default"/>
                <w:b/>
                <w:bCs/>
                <w:lang w:val="sk-SK"/>
              </w:rPr>
              <w:t xml:space="preserve"> prí</w:t>
            </w:r>
            <w:r w:rsidRPr="00812649">
              <w:rPr>
                <w:rFonts w:hint="default"/>
                <w:b/>
                <w:bCs/>
                <w:lang w:val="sk-SK"/>
              </w:rPr>
              <w:t>jmy (200)</w:t>
            </w:r>
            <w:r w:rsidRPr="00812649">
              <w:rPr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7875" w:rsidRPr="00812649" w:rsidP="00105D5F">
            <w:pPr>
              <w:bidi w:val="0"/>
              <w:rPr>
                <w:lang w:val="sk-SK"/>
              </w:rPr>
            </w:pPr>
            <w:r w:rsidRPr="00812649">
              <w:rPr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875" w:rsidRPr="00812649" w:rsidP="00105D5F">
            <w:pPr>
              <w:bidi w:val="0"/>
              <w:rPr>
                <w:b/>
                <w:bCs/>
                <w:lang w:val="sk-SK"/>
              </w:rPr>
            </w:pPr>
            <w:r w:rsidRPr="00812649">
              <w:rPr>
                <w:b/>
                <w:bCs/>
                <w:lang w:val="sk-SK"/>
              </w:rPr>
              <w:t>Granty a transfery (312003)</w:t>
            </w:r>
            <w:r w:rsidRPr="00812649">
              <w:rPr>
                <w:b/>
                <w:bCs/>
                <w:vertAlign w:val="superscript"/>
                <w:lang w:val="sk-SK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 w:rsidR="00085767">
              <w:rPr>
                <w:bCs/>
                <w:i/>
                <w:iCs/>
                <w:sz w:val="22"/>
                <w:szCs w:val="22"/>
                <w:lang w:val="sk-SK"/>
              </w:rPr>
              <w:t>13 286 000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7875" w:rsidRPr="00812649" w:rsidP="00105D5F">
            <w:pPr>
              <w:bidi w:val="0"/>
              <w:jc w:val="center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7875" w:rsidRPr="00812649" w:rsidP="00105D5F">
            <w:pPr>
              <w:bidi w:val="0"/>
              <w:jc w:val="center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9 </w:t>
            </w: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500 000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7875" w:rsidRPr="00812649" w:rsidP="00105D5F">
            <w:pPr>
              <w:bidi w:val="0"/>
              <w:rPr>
                <w:vertAlign w:val="superscript"/>
                <w:lang w:val="sk-SK"/>
              </w:rPr>
            </w:pPr>
            <w:r w:rsidRPr="00812649">
              <w:rPr>
                <w:lang w:val="sk-SK"/>
              </w:rPr>
              <w:t xml:space="preserve">  </w:t>
            </w: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7875" w:rsidRPr="00812649" w:rsidP="00105D5F">
            <w:pPr>
              <w:bidi w:val="0"/>
              <w:rPr>
                <w:lang w:val="sk-SK"/>
              </w:rPr>
            </w:pPr>
            <w:r w:rsidRPr="00812649">
              <w:rPr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875" w:rsidRPr="00812649" w:rsidP="00105D5F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12649">
              <w:rPr>
                <w:rFonts w:hint="default"/>
                <w:b/>
                <w:bCs/>
                <w:lang w:val="sk-SK"/>
              </w:rPr>
              <w:t>Prí</w:t>
            </w:r>
            <w:r w:rsidRPr="00812649">
              <w:rPr>
                <w:rFonts w:hint="default"/>
                <w:b/>
                <w:bCs/>
                <w:lang w:val="sk-SK"/>
              </w:rPr>
              <w:t>jmy z </w:t>
            </w:r>
            <w:r w:rsidRPr="00812649">
              <w:rPr>
                <w:rFonts w:hint="default"/>
                <w:b/>
                <w:bCs/>
                <w:lang w:val="sk-SK"/>
              </w:rPr>
              <w:t>transakcií</w:t>
            </w:r>
            <w:r w:rsidRPr="00812649">
              <w:rPr>
                <w:rFonts w:hint="default"/>
                <w:b/>
                <w:bCs/>
                <w:lang w:val="sk-SK"/>
              </w:rPr>
              <w:t xml:space="preserve"> s </w:t>
            </w:r>
            <w:r w:rsidRPr="00812649">
              <w:rPr>
                <w:rFonts w:hint="default"/>
                <w:b/>
                <w:bCs/>
                <w:lang w:val="sk-SK"/>
              </w:rPr>
              <w:t>finanč</w:t>
            </w:r>
            <w:r w:rsidRPr="00812649">
              <w:rPr>
                <w:rFonts w:hint="default"/>
                <w:b/>
                <w:bCs/>
                <w:lang w:val="sk-SK"/>
              </w:rPr>
              <w:t>ný</w:t>
            </w:r>
            <w:r w:rsidRPr="00812649">
              <w:rPr>
                <w:rFonts w:hint="default"/>
                <w:b/>
                <w:bCs/>
                <w:lang w:val="sk-SK"/>
              </w:rPr>
              <w:t>mi aktí</w:t>
            </w:r>
            <w:r w:rsidRPr="00812649">
              <w:rPr>
                <w:rFonts w:hint="default"/>
                <w:b/>
                <w:bCs/>
                <w:lang w:val="sk-SK"/>
              </w:rPr>
              <w:t>vami a </w:t>
            </w:r>
            <w:r w:rsidRPr="00812649">
              <w:rPr>
                <w:rFonts w:hint="default"/>
                <w:b/>
                <w:bCs/>
                <w:lang w:val="sk-SK"/>
              </w:rPr>
              <w:t>finanč</w:t>
            </w:r>
            <w:r w:rsidRPr="00812649">
              <w:rPr>
                <w:rFonts w:hint="default"/>
                <w:b/>
                <w:bCs/>
                <w:lang w:val="sk-SK"/>
              </w:rPr>
              <w:t>ný</w:t>
            </w:r>
            <w:r w:rsidRPr="00812649">
              <w:rPr>
                <w:rFonts w:hint="default"/>
                <w:b/>
                <w:bCs/>
                <w:lang w:val="sk-SK"/>
              </w:rPr>
              <w:t>mi pasí</w:t>
            </w:r>
            <w:r w:rsidRPr="00812649">
              <w:rPr>
                <w:rFonts w:hint="default"/>
                <w:b/>
                <w:bCs/>
                <w:lang w:val="sk-SK"/>
              </w:rPr>
              <w:t>vami (400)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7875" w:rsidRPr="00812649" w:rsidP="00105D5F">
            <w:pPr>
              <w:bidi w:val="0"/>
              <w:rPr>
                <w:lang w:val="sk-SK"/>
              </w:rPr>
            </w:pPr>
            <w:r w:rsidRPr="00812649">
              <w:rPr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7875" w:rsidRPr="00812649" w:rsidP="00105D5F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12649">
              <w:rPr>
                <w:rFonts w:hint="default"/>
                <w:b/>
                <w:bCs/>
                <w:lang w:val="sk-SK"/>
              </w:rPr>
              <w:t>Prijaté</w:t>
            </w:r>
            <w:r w:rsidRPr="00812649">
              <w:rPr>
                <w:rFonts w:hint="default"/>
                <w:b/>
                <w:bCs/>
                <w:lang w:val="sk-SK"/>
              </w:rPr>
              <w:t xml:space="preserve"> ú</w:t>
            </w:r>
            <w:r w:rsidRPr="00812649">
              <w:rPr>
                <w:rFonts w:hint="default"/>
                <w:b/>
                <w:bCs/>
                <w:lang w:val="sk-SK"/>
              </w:rPr>
              <w:t>very, pôž</w:t>
            </w:r>
            <w:r w:rsidRPr="00812649">
              <w:rPr>
                <w:rFonts w:hint="default"/>
                <w:b/>
                <w:bCs/>
                <w:lang w:val="sk-SK"/>
              </w:rPr>
              <w:t>ič</w:t>
            </w:r>
            <w:r w:rsidRPr="00812649">
              <w:rPr>
                <w:rFonts w:hint="default"/>
                <w:b/>
                <w:bCs/>
                <w:lang w:val="sk-SK"/>
              </w:rPr>
              <w:t>ky a </w:t>
            </w:r>
            <w:r w:rsidRPr="00812649">
              <w:rPr>
                <w:rFonts w:hint="default"/>
                <w:b/>
                <w:bCs/>
                <w:lang w:val="sk-SK"/>
              </w:rPr>
              <w:t>ná</w:t>
            </w:r>
            <w:r w:rsidRPr="00812649">
              <w:rPr>
                <w:rFonts w:hint="default"/>
                <w:b/>
                <w:bCs/>
                <w:lang w:val="sk-SK"/>
              </w:rPr>
              <w:t>vratné</w:t>
            </w:r>
            <w:r w:rsidRPr="00812649">
              <w:rPr>
                <w:rFonts w:hint="default"/>
                <w:b/>
                <w:bCs/>
                <w:lang w:val="sk-SK"/>
              </w:rPr>
              <w:t xml:space="preserve"> finanč</w:t>
            </w:r>
            <w:r w:rsidRPr="00812649">
              <w:rPr>
                <w:rFonts w:hint="default"/>
                <w:b/>
                <w:bCs/>
                <w:lang w:val="sk-SK"/>
              </w:rPr>
              <w:t>né</w:t>
            </w:r>
            <w:r w:rsidRPr="00812649">
              <w:rPr>
                <w:rFonts w:hint="default"/>
                <w:b/>
                <w:bCs/>
                <w:lang w:val="sk-SK"/>
              </w:rPr>
              <w:t xml:space="preserve"> vý</w:t>
            </w:r>
            <w:r w:rsidRPr="00812649">
              <w:rPr>
                <w:rFonts w:hint="default"/>
                <w:b/>
                <w:bCs/>
                <w:lang w:val="sk-SK"/>
              </w:rPr>
              <w:t>pomoci (500)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D77875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77875" w:rsidRPr="00812649" w:rsidP="00105D5F">
            <w:pPr>
              <w:bidi w:val="0"/>
              <w:rPr>
                <w:lang w:val="sk-SK"/>
              </w:rPr>
            </w:pPr>
            <w:r w:rsidRPr="00812649">
              <w:rPr>
                <w:lang w:val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05D5F" w:rsidRPr="00812649" w:rsidP="00105D5F">
            <w:pPr>
              <w:bidi w:val="0"/>
              <w:rPr>
                <w:rFonts w:hint="default"/>
                <w:b/>
                <w:bCs/>
                <w:color w:val="FFFFFF"/>
                <w:lang w:val="sk-SK"/>
              </w:rPr>
            </w:pP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Dopad na prí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jmy verejnej sprá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vy celkom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05D5F" w:rsidRPr="00812649" w:rsidP="00105D5F">
            <w:pPr>
              <w:bidi w:val="0"/>
              <w:spacing w:line="125" w:lineRule="atLeast"/>
              <w:jc w:val="right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 w:rsidR="00085767">
              <w:rPr>
                <w:bCs/>
                <w:i/>
                <w:iCs/>
                <w:sz w:val="22"/>
                <w:szCs w:val="22"/>
                <w:lang w:val="sk-SK"/>
              </w:rPr>
              <w:t>13 286 000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05D5F" w:rsidRPr="00812649" w:rsidP="00105D5F">
            <w:pPr>
              <w:bidi w:val="0"/>
              <w:jc w:val="center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05D5F" w:rsidRPr="00812649" w:rsidP="00105D5F">
            <w:pPr>
              <w:bidi w:val="0"/>
              <w:jc w:val="center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05D5F" w:rsidRPr="00812649" w:rsidP="00105D5F">
            <w:pPr>
              <w:bidi w:val="0"/>
              <w:rPr>
                <w:vertAlign w:val="superscript"/>
                <w:lang w:val="sk-SK"/>
              </w:rPr>
            </w:pPr>
            <w:r w:rsidRPr="00812649">
              <w:rPr>
                <w:lang w:val="sk-SK"/>
              </w:rPr>
              <w:t xml:space="preserve">  </w:t>
            </w:r>
            <w:r w:rsidRPr="00812649">
              <w:rPr>
                <w:bCs/>
                <w:i/>
                <w:iCs/>
                <w:sz w:val="22"/>
                <w:szCs w:val="22"/>
                <w:lang w:val="sk-SK"/>
              </w:rPr>
              <w:t>9 500 000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105D5F" w:rsidRPr="00812649" w:rsidP="00105D5F">
            <w:pPr>
              <w:bidi w:val="0"/>
              <w:rPr>
                <w:color w:val="FFFFFF"/>
                <w:lang w:val="sk-SK"/>
              </w:rPr>
            </w:pPr>
            <w:r w:rsidRPr="00812649">
              <w:rPr>
                <w:color w:val="FFFFFF"/>
                <w:lang w:val="sk-SK"/>
              </w:rPr>
              <w:t> </w:t>
            </w:r>
          </w:p>
        </w:tc>
      </w:tr>
    </w:tbl>
    <w:p w:rsidR="00D77875" w:rsidRPr="00812649" w:rsidP="00D77875">
      <w:pPr>
        <w:pStyle w:val="BodyText"/>
        <w:tabs>
          <w:tab w:val="num" w:pos="1080"/>
        </w:tabs>
        <w:bidi w:val="0"/>
        <w:jc w:val="both"/>
        <w:rPr>
          <w:rFonts w:hint="default"/>
          <w:b/>
          <w:bCs/>
          <w:sz w:val="20"/>
          <w:lang w:val="sk-SK"/>
        </w:rPr>
      </w:pPr>
      <w:r w:rsidRPr="00812649">
        <w:rPr>
          <w:b/>
          <w:bCs/>
          <w:sz w:val="20"/>
          <w:lang w:val="sk-SK"/>
        </w:rPr>
        <w:t xml:space="preserve">1 </w:t>
      </w:r>
      <w:r w:rsidRPr="00812649">
        <w:rPr>
          <w:rFonts w:hint="default"/>
          <w:b/>
          <w:bCs/>
          <w:sz w:val="20"/>
          <w:lang w:val="sk-SK"/>
        </w:rPr>
        <w:t>–</w:t>
      </w:r>
      <w:r w:rsidRPr="00812649">
        <w:rPr>
          <w:rFonts w:hint="default"/>
          <w:b/>
          <w:bCs/>
          <w:sz w:val="20"/>
          <w:lang w:val="sk-SK"/>
        </w:rPr>
        <w:t xml:space="preserve">  prí</w:t>
      </w:r>
      <w:r w:rsidRPr="00812649">
        <w:rPr>
          <w:rFonts w:hint="default"/>
          <w:b/>
          <w:bCs/>
          <w:sz w:val="20"/>
          <w:lang w:val="sk-SK"/>
        </w:rPr>
        <w:t>jmy rozpí</w:t>
      </w:r>
      <w:r w:rsidRPr="00812649">
        <w:rPr>
          <w:rFonts w:hint="default"/>
          <w:b/>
          <w:bCs/>
          <w:sz w:val="20"/>
          <w:lang w:val="sk-SK"/>
        </w:rPr>
        <w:t>sať</w:t>
      </w:r>
      <w:r w:rsidRPr="00812649">
        <w:rPr>
          <w:rFonts w:hint="default"/>
          <w:b/>
          <w:bCs/>
          <w:sz w:val="20"/>
          <w:lang w:val="sk-SK"/>
        </w:rPr>
        <w:t xml:space="preserve"> až</w:t>
      </w:r>
      <w:r w:rsidRPr="00812649">
        <w:rPr>
          <w:rFonts w:hint="default"/>
          <w:b/>
          <w:bCs/>
          <w:sz w:val="20"/>
          <w:lang w:val="sk-SK"/>
        </w:rPr>
        <w:t xml:space="preserve"> do polož</w:t>
      </w:r>
      <w:r w:rsidRPr="00812649">
        <w:rPr>
          <w:rFonts w:hint="default"/>
          <w:b/>
          <w:bCs/>
          <w:sz w:val="20"/>
          <w:lang w:val="sk-SK"/>
        </w:rPr>
        <w:t>iek platnej ekonomickej klasifiká</w:t>
      </w:r>
      <w:r w:rsidRPr="00812649">
        <w:rPr>
          <w:rFonts w:hint="default"/>
          <w:b/>
          <w:bCs/>
          <w:sz w:val="20"/>
          <w:lang w:val="sk-SK"/>
        </w:rPr>
        <w:t>cie</w:t>
      </w:r>
    </w:p>
    <w:p w:rsidR="00D77875" w:rsidRPr="00812649" w:rsidP="003B585F">
      <w:pPr>
        <w:bidi w:val="0"/>
        <w:rPr>
          <w:b/>
          <w:sz w:val="28"/>
          <w:szCs w:val="28"/>
          <w:lang w:val="sk-SK"/>
        </w:rPr>
      </w:pPr>
    </w:p>
    <w:p w:rsidR="00D77875" w:rsidRPr="00812649" w:rsidP="003B585F">
      <w:pPr>
        <w:bidi w:val="0"/>
        <w:rPr>
          <w:b/>
          <w:sz w:val="28"/>
          <w:szCs w:val="28"/>
          <w:lang w:val="sk-SK"/>
        </w:rPr>
      </w:pPr>
    </w:p>
    <w:p w:rsidR="00275752" w:rsidRPr="00812649" w:rsidP="00275752">
      <w:pPr>
        <w:bidi w:val="0"/>
        <w:rPr>
          <w:rFonts w:hint="default"/>
          <w:lang w:val="sk-SK"/>
        </w:rPr>
      </w:pPr>
      <w:r w:rsidRPr="00812649">
        <w:rPr>
          <w:rFonts w:hint="default"/>
          <w:lang w:val="sk-SK"/>
        </w:rPr>
        <w:t>Plá</w:t>
      </w:r>
      <w:r w:rsidRPr="00812649">
        <w:rPr>
          <w:rFonts w:hint="default"/>
          <w:lang w:val="sk-SK"/>
        </w:rPr>
        <w:t>novaný</w:t>
      </w:r>
      <w:r w:rsidRPr="00812649">
        <w:rPr>
          <w:rFonts w:hint="default"/>
          <w:lang w:val="sk-SK"/>
        </w:rPr>
        <w:t xml:space="preserve"> objem vý</w:t>
      </w:r>
      <w:r w:rsidRPr="00812649">
        <w:rPr>
          <w:rFonts w:hint="default"/>
          <w:lang w:val="sk-SK"/>
        </w:rPr>
        <w:t>davkov bol vypočí</w:t>
      </w:r>
      <w:r w:rsidRPr="00812649">
        <w:rPr>
          <w:rFonts w:hint="default"/>
          <w:lang w:val="sk-SK"/>
        </w:rPr>
        <w:t>taný</w:t>
      </w:r>
      <w:r w:rsidRPr="00812649">
        <w:rPr>
          <w:rFonts w:hint="default"/>
          <w:lang w:val="sk-SK"/>
        </w:rPr>
        <w:t xml:space="preserve"> na zabezpeč</w:t>
      </w:r>
      <w:r w:rsidRPr="00812649">
        <w:rPr>
          <w:rFonts w:hint="default"/>
          <w:lang w:val="sk-SK"/>
        </w:rPr>
        <w:t>enie ú</w:t>
      </w:r>
      <w:r w:rsidRPr="00812649">
        <w:rPr>
          <w:rFonts w:hint="default"/>
          <w:lang w:val="sk-SK"/>
        </w:rPr>
        <w:t>loh, ktoré</w:t>
      </w:r>
      <w:r w:rsidRPr="00812649">
        <w:rPr>
          <w:rFonts w:hint="default"/>
          <w:lang w:val="sk-SK"/>
        </w:rPr>
        <w:t xml:space="preserve"> zá</w:t>
      </w:r>
      <w:r w:rsidRPr="00812649">
        <w:rPr>
          <w:rFonts w:hint="default"/>
          <w:lang w:val="sk-SK"/>
        </w:rPr>
        <w:t>kon ukladá</w:t>
      </w:r>
      <w:r w:rsidRPr="00812649">
        <w:rPr>
          <w:rFonts w:hint="default"/>
          <w:lang w:val="sk-SK"/>
        </w:rPr>
        <w:t xml:space="preserve"> Ná</w:t>
      </w:r>
      <w:r w:rsidRPr="00812649">
        <w:rPr>
          <w:rFonts w:hint="default"/>
          <w:lang w:val="sk-SK"/>
        </w:rPr>
        <w:t>rodné</w:t>
      </w:r>
      <w:r w:rsidRPr="00812649">
        <w:rPr>
          <w:rFonts w:hint="default"/>
          <w:lang w:val="sk-SK"/>
        </w:rPr>
        <w:t>mu centru zdravotnický</w:t>
      </w:r>
      <w:r w:rsidRPr="00812649">
        <w:rPr>
          <w:rFonts w:hint="default"/>
          <w:lang w:val="sk-SK"/>
        </w:rPr>
        <w:t>ch informá</w:t>
      </w:r>
      <w:r w:rsidRPr="00812649">
        <w:rPr>
          <w:rFonts w:hint="default"/>
          <w:lang w:val="sk-SK"/>
        </w:rPr>
        <w:t>cií</w:t>
      </w:r>
      <w:r w:rsidRPr="00812649">
        <w:rPr>
          <w:rFonts w:hint="default"/>
          <w:lang w:val="sk-SK"/>
        </w:rPr>
        <w:t>. Pre ich realizá</w:t>
      </w:r>
      <w:r w:rsidRPr="00812649">
        <w:rPr>
          <w:rFonts w:hint="default"/>
          <w:lang w:val="sk-SK"/>
        </w:rPr>
        <w:t>ciu bude potrebné</w:t>
      </w:r>
      <w:r w:rsidRPr="00812649">
        <w:rPr>
          <w:rFonts w:hint="default"/>
          <w:lang w:val="sk-SK"/>
        </w:rPr>
        <w:t xml:space="preserve"> v rozpä</w:t>
      </w:r>
      <w:r w:rsidRPr="00812649">
        <w:rPr>
          <w:rFonts w:hint="default"/>
          <w:lang w:val="sk-SK"/>
        </w:rPr>
        <w:t>tí</w:t>
      </w:r>
      <w:r w:rsidRPr="00812649">
        <w:rPr>
          <w:rFonts w:hint="default"/>
          <w:lang w:val="sk-SK"/>
        </w:rPr>
        <w:t xml:space="preserve"> rokov 2013 - 20</w:t>
      </w:r>
      <w:r w:rsidRPr="00812649">
        <w:rPr>
          <w:rFonts w:hint="default"/>
          <w:lang w:val="sk-SK"/>
        </w:rPr>
        <w:t>16 prijať</w:t>
      </w:r>
      <w:r w:rsidRPr="00812649">
        <w:rPr>
          <w:rFonts w:hint="default"/>
          <w:lang w:val="sk-SK"/>
        </w:rPr>
        <w:t xml:space="preserve"> 116 nový</w:t>
      </w:r>
      <w:r w:rsidRPr="00812649">
        <w:rPr>
          <w:rFonts w:hint="default"/>
          <w:lang w:val="sk-SK"/>
        </w:rPr>
        <w:t>ch zamestnancov, čí</w:t>
      </w:r>
      <w:r w:rsidRPr="00812649">
        <w:rPr>
          <w:rFonts w:hint="default"/>
          <w:lang w:val="sk-SK"/>
        </w:rPr>
        <w:t>m sa rozší</w:t>
      </w:r>
      <w:r w:rsidRPr="00812649">
        <w:rPr>
          <w:rFonts w:hint="default"/>
          <w:lang w:val="sk-SK"/>
        </w:rPr>
        <w:t>ri finá</w:t>
      </w:r>
      <w:r w:rsidRPr="00812649">
        <w:rPr>
          <w:rFonts w:hint="default"/>
          <w:lang w:val="sk-SK"/>
        </w:rPr>
        <w:t xml:space="preserve">lny stav na 250 zamestnancov. </w:t>
      </w:r>
    </w:p>
    <w:p w:rsidR="00D77875" w:rsidRPr="00812649" w:rsidP="003B585F">
      <w:pPr>
        <w:bidi w:val="0"/>
        <w:rPr>
          <w:b/>
          <w:sz w:val="28"/>
          <w:szCs w:val="28"/>
          <w:lang w:val="sk-SK"/>
        </w:rPr>
      </w:pPr>
      <w:r w:rsidRPr="00812649" w:rsidR="00275752">
        <w:rPr>
          <w:rFonts w:hint="default"/>
          <w:lang w:val="sk-SK"/>
        </w:rPr>
        <w:t>Š</w:t>
      </w:r>
      <w:r w:rsidRPr="00812649" w:rsidR="00275752">
        <w:rPr>
          <w:rFonts w:hint="default"/>
          <w:lang w:val="sk-SK"/>
        </w:rPr>
        <w:t>truktú</w:t>
      </w:r>
      <w:r w:rsidRPr="00812649" w:rsidR="00275752">
        <w:rPr>
          <w:rFonts w:hint="default"/>
          <w:lang w:val="sk-SK"/>
        </w:rPr>
        <w:t>ra tý</w:t>
      </w:r>
      <w:r w:rsidRPr="00812649" w:rsidR="00275752">
        <w:rPr>
          <w:rFonts w:hint="default"/>
          <w:lang w:val="sk-SK"/>
        </w:rPr>
        <w:t>chto vý</w:t>
      </w:r>
      <w:r w:rsidRPr="00812649" w:rsidR="00275752">
        <w:rPr>
          <w:rFonts w:hint="default"/>
          <w:lang w:val="sk-SK"/>
        </w:rPr>
        <w:t>davkov je nasledovná</w:t>
      </w:r>
      <w:r w:rsidRPr="00812649" w:rsidR="00275752">
        <w:rPr>
          <w:rFonts w:hint="default"/>
          <w:lang w:val="sk-SK"/>
        </w:rPr>
        <w:t>:</w:t>
      </w:r>
    </w:p>
    <w:p w:rsidR="00D77875" w:rsidRPr="00812649" w:rsidP="003B585F">
      <w:pPr>
        <w:bidi w:val="0"/>
        <w:rPr>
          <w:b/>
          <w:sz w:val="28"/>
          <w:szCs w:val="28"/>
          <w:lang w:val="sk-SK"/>
        </w:rPr>
      </w:pPr>
    </w:p>
    <w:p w:rsidR="00D77875" w:rsidRPr="00812649" w:rsidP="003B585F">
      <w:pPr>
        <w:bidi w:val="0"/>
        <w:rPr>
          <w:b/>
          <w:sz w:val="28"/>
          <w:szCs w:val="28"/>
          <w:lang w:val="sk-SK"/>
        </w:rPr>
      </w:pPr>
    </w:p>
    <w:p w:rsidR="00D77875" w:rsidRPr="00812649" w:rsidP="003B585F">
      <w:pPr>
        <w:bidi w:val="0"/>
        <w:rPr>
          <w:b/>
          <w:sz w:val="28"/>
          <w:szCs w:val="28"/>
          <w:lang w:val="sk-SK"/>
        </w:rPr>
      </w:pPr>
    </w:p>
    <w:p w:rsidR="00D77875" w:rsidRPr="00812649" w:rsidP="003B585F">
      <w:pPr>
        <w:bidi w:val="0"/>
        <w:rPr>
          <w:b/>
          <w:sz w:val="28"/>
          <w:szCs w:val="28"/>
          <w:lang w:val="sk-SK"/>
        </w:rPr>
      </w:pPr>
    </w:p>
    <w:p w:rsidR="00D77875" w:rsidRPr="00812649" w:rsidP="003B585F">
      <w:pPr>
        <w:bidi w:val="0"/>
        <w:rPr>
          <w:b/>
          <w:sz w:val="28"/>
          <w:szCs w:val="28"/>
          <w:lang w:val="sk-SK"/>
        </w:rPr>
      </w:pPr>
    </w:p>
    <w:p w:rsidR="00D77875" w:rsidRPr="00812649" w:rsidP="003B585F">
      <w:pPr>
        <w:bidi w:val="0"/>
        <w:rPr>
          <w:b/>
          <w:sz w:val="28"/>
          <w:szCs w:val="28"/>
          <w:lang w:val="sk-SK"/>
        </w:rPr>
      </w:pPr>
    </w:p>
    <w:p w:rsidR="00D77875" w:rsidP="00484A36">
      <w:pPr>
        <w:bidi w:val="0"/>
        <w:jc w:val="right"/>
        <w:rPr>
          <w:b/>
          <w:lang w:val="sk-SK"/>
        </w:rPr>
      </w:pPr>
      <w:r w:rsidRPr="00812649" w:rsidR="00105D5F">
        <w:rPr>
          <w:rFonts w:hint="default"/>
          <w:b/>
          <w:lang w:val="sk-SK"/>
        </w:rPr>
        <w:t>Tabuľ</w:t>
      </w:r>
      <w:r w:rsidRPr="00812649" w:rsidR="00105D5F">
        <w:rPr>
          <w:rFonts w:hint="default"/>
          <w:b/>
          <w:lang w:val="sk-SK"/>
        </w:rPr>
        <w:t>ka č</w:t>
      </w:r>
      <w:r w:rsidRPr="00812649" w:rsidR="00105D5F">
        <w:rPr>
          <w:rFonts w:hint="default"/>
          <w:b/>
          <w:lang w:val="sk-SK"/>
        </w:rPr>
        <w:t>. 5:</w:t>
      </w: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484A36" w:rsidRPr="004145F6" w:rsidP="00AE0058">
            <w:pPr>
              <w:bidi w:val="0"/>
              <w:jc w:val="center"/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Vý</w:t>
            </w:r>
            <w:r w:rsidRPr="004145F6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davky (v eurá</w:t>
            </w:r>
            <w:r w:rsidRPr="004145F6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Vplyv na rozpoč</w:t>
            </w:r>
            <w:r w:rsidRPr="004145F6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et verejnej sprá</w:t>
            </w:r>
            <w:r w:rsidRPr="004145F6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484A36" w:rsidRPr="004145F6" w:rsidP="00AE0058">
            <w:pPr>
              <w:bidi w:val="0"/>
              <w:jc w:val="center"/>
              <w:rPr>
                <w:rFonts w:hint="default"/>
                <w:b/>
                <w:bCs/>
                <w:color w:val="FFFFFF"/>
                <w:lang w:val="sk-SK"/>
              </w:rPr>
            </w:pPr>
            <w:r w:rsidRPr="004145F6">
              <w:rPr>
                <w:rFonts w:hint="default"/>
                <w:b/>
                <w:bCs/>
                <w:color w:val="FFFFFF"/>
                <w:lang w:val="sk-SK"/>
              </w:rPr>
              <w:t>pozná</w:t>
            </w:r>
            <w:r w:rsidRPr="004145F6">
              <w:rPr>
                <w:rFonts w:hint="default"/>
                <w:b/>
                <w:bCs/>
                <w:color w:val="FFFFFF"/>
                <w:lang w:val="sk-SK"/>
              </w:rPr>
              <w:t>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484A36" w:rsidRPr="004145F6" w:rsidP="00AE0058">
            <w:pPr>
              <w:bidi w:val="0"/>
              <w:rPr>
                <w:b/>
                <w:bCs/>
                <w:color w:val="FFFFFF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color w:val="FFFFFF"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FFFFFF"/>
                <w:sz w:val="20"/>
                <w:szCs w:val="20"/>
                <w:lang w:val="sk-SK"/>
              </w:rPr>
              <w:t>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color w:val="FFFFFF"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FFFFFF"/>
                <w:sz w:val="20"/>
                <w:szCs w:val="20"/>
                <w:lang w:val="sk-SK"/>
              </w:rPr>
              <w:t>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color w:val="FFFFFF"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FFFFFF"/>
                <w:sz w:val="20"/>
                <w:szCs w:val="20"/>
                <w:lang w:val="sk-SK"/>
              </w:rPr>
              <w:t>2015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4145F6">
              <w:rPr>
                <w:b/>
                <w:bCs/>
                <w:color w:val="FFFFFF"/>
                <w:lang w:val="sk-SK"/>
              </w:rPr>
              <w:t>2016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84A36" w:rsidRPr="004145F6" w:rsidP="00AE0058">
            <w:pPr>
              <w:bidi w:val="0"/>
              <w:rPr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rFonts w:hint="default"/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Bež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né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 xml:space="preserve"> vý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k-SK"/>
              </w:rPr>
              <w:t>4 77</w:t>
            </w:r>
            <w:r>
              <w:rPr>
                <w:b/>
                <w:bCs/>
                <w:color w:val="000000"/>
                <w:sz w:val="20"/>
                <w:szCs w:val="20"/>
                <w:lang w:val="sk-SK"/>
              </w:rPr>
              <w:t>6 947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8 396 544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8 499 753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lang w:val="sk-SK"/>
              </w:rPr>
            </w:pPr>
            <w:r w:rsidRPr="004145F6">
              <w:rPr>
                <w:b/>
                <w:bCs/>
                <w:color w:val="000000"/>
                <w:lang w:val="sk-SK"/>
              </w:rPr>
              <w:t>8 976 032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rFonts w:hint="default"/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 Mzdy, platy, služ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obné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prí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jmy a 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ostatné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osobné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1 949 536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3 412 480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3 588 520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3 979 720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  <w:r w:rsidRPr="004145F6">
              <w:rPr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vertAlign w:val="superscript"/>
                <w:lang w:val="sk-SK"/>
              </w:rPr>
            </w:pP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 Poistné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a 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prí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spevok do poisť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ovní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681 363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1 192 662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1 254 188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1 390 912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  <w:r w:rsidRPr="004145F6">
              <w:rPr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0113AF" w:rsidP="00AE0058">
            <w:pPr>
              <w:bidi w:val="0"/>
              <w:rPr>
                <w:sz w:val="20"/>
                <w:szCs w:val="20"/>
                <w:lang w:val="sk-SK"/>
              </w:rPr>
            </w:pPr>
            <w:r w:rsidRPr="004145F6">
              <w:rPr>
                <w:sz w:val="20"/>
                <w:szCs w:val="20"/>
                <w:lang w:val="sk-SK"/>
              </w:rPr>
              <w:t xml:space="preserve">  Tovary a 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služ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by (630)</w:t>
            </w:r>
            <w:r w:rsidRPr="004145F6">
              <w:rPr>
                <w:sz w:val="20"/>
                <w:szCs w:val="20"/>
                <w:vertAlign w:val="superscript"/>
                <w:lang w:val="sk-SK"/>
              </w:rPr>
              <w:t>2</w:t>
            </w:r>
            <w:r>
              <w:rPr>
                <w:sz w:val="20"/>
                <w:szCs w:val="20"/>
                <w:vertAlign w:val="superscript"/>
                <w:lang w:val="sk-SK"/>
              </w:rPr>
              <w:t xml:space="preserve">    </w:t>
            </w:r>
            <w:r w:rsidRPr="000113AF">
              <w:rPr>
                <w:sz w:val="20"/>
                <w:szCs w:val="20"/>
                <w:lang w:val="sk-SK"/>
              </w:rPr>
              <w:t>spolu</w:t>
            </w:r>
            <w:r>
              <w:rPr>
                <w:sz w:val="20"/>
                <w:szCs w:val="20"/>
                <w:lang w:val="sk-SK"/>
              </w:rPr>
              <w:t>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2 066 048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3 701 402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3 557 045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3 495 400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  <w:r w:rsidRPr="00F65B9C">
              <w:rPr>
                <w:sz w:val="20"/>
                <w:szCs w:val="20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632001energie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145 000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200 000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200 000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632002 vodné</w:t>
            </w:r>
            <w:r>
              <w:rPr>
                <w:rFonts w:hint="default"/>
                <w:sz w:val="20"/>
                <w:szCs w:val="20"/>
                <w:lang w:val="sk-SK"/>
              </w:rPr>
              <w:t>, stoč</w:t>
            </w:r>
            <w:r>
              <w:rPr>
                <w:rFonts w:hint="default"/>
                <w:sz w:val="20"/>
                <w:szCs w:val="20"/>
                <w:lang w:val="sk-SK"/>
              </w:rPr>
              <w:t>né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10 000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632003 poš</w:t>
            </w:r>
            <w:r>
              <w:rPr>
                <w:rFonts w:hint="default"/>
                <w:sz w:val="20"/>
                <w:szCs w:val="20"/>
                <w:lang w:val="sk-SK"/>
              </w:rPr>
              <w:t>tovné</w:t>
            </w:r>
            <w:r>
              <w:rPr>
                <w:rFonts w:hint="default"/>
                <w:sz w:val="20"/>
                <w:szCs w:val="20"/>
                <w:lang w:val="sk-SK"/>
              </w:rPr>
              <w:t xml:space="preserve"> a </w:t>
            </w:r>
            <w:r>
              <w:rPr>
                <w:rFonts w:hint="default"/>
                <w:sz w:val="20"/>
                <w:szCs w:val="20"/>
                <w:lang w:val="sk-SK"/>
              </w:rPr>
              <w:t>telekom.služ</w:t>
            </w:r>
            <w:r>
              <w:rPr>
                <w:rFonts w:hint="default"/>
                <w:sz w:val="20"/>
                <w:szCs w:val="20"/>
                <w:lang w:val="sk-SK"/>
              </w:rPr>
              <w:t>by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37 000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50 000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633001 interié</w:t>
            </w:r>
            <w:r>
              <w:rPr>
                <w:rFonts w:hint="default"/>
                <w:sz w:val="20"/>
                <w:szCs w:val="20"/>
                <w:lang w:val="sk-SK"/>
              </w:rPr>
              <w:t>rové</w:t>
            </w:r>
            <w:r>
              <w:rPr>
                <w:rFonts w:hint="default"/>
                <w:sz w:val="20"/>
                <w:szCs w:val="20"/>
                <w:lang w:val="sk-SK"/>
              </w:rPr>
              <w:t xml:space="preserve"> vybavenie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12 000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124 000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1</w:t>
            </w:r>
            <w:r>
              <w:rPr>
                <w:color w:val="000000"/>
                <w:sz w:val="20"/>
                <w:szCs w:val="20"/>
                <w:lang w:val="sk-SK"/>
              </w:rPr>
              <w:t>24 000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124 000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633002 vý</w:t>
            </w:r>
            <w:r>
              <w:rPr>
                <w:rFonts w:hint="default"/>
                <w:sz w:val="20"/>
                <w:szCs w:val="20"/>
                <w:lang w:val="sk-SK"/>
              </w:rPr>
              <w:t>poč</w:t>
            </w:r>
            <w:r>
              <w:rPr>
                <w:rFonts w:hint="default"/>
                <w:sz w:val="20"/>
                <w:szCs w:val="20"/>
                <w:lang w:val="sk-SK"/>
              </w:rPr>
              <w:t>tová</w:t>
            </w:r>
            <w:r>
              <w:rPr>
                <w:rFonts w:hint="default"/>
                <w:sz w:val="20"/>
                <w:szCs w:val="20"/>
                <w:lang w:val="sk-SK"/>
              </w:rPr>
              <w:t xml:space="preserve"> technika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160 000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160 000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633006 vš</w:t>
            </w:r>
            <w:r>
              <w:rPr>
                <w:rFonts w:hint="default"/>
                <w:sz w:val="20"/>
                <w:szCs w:val="20"/>
                <w:lang w:val="sk-SK"/>
              </w:rPr>
              <w:t>eobecný</w:t>
            </w:r>
            <w:r>
              <w:rPr>
                <w:rFonts w:hint="default"/>
                <w:sz w:val="20"/>
                <w:szCs w:val="20"/>
                <w:lang w:val="sk-SK"/>
              </w:rPr>
              <w:t xml:space="preserve"> materiá</w:t>
            </w:r>
            <w:r>
              <w:rPr>
                <w:rFonts w:hint="default"/>
                <w:sz w:val="20"/>
                <w:szCs w:val="20"/>
                <w:lang w:val="sk-SK"/>
              </w:rPr>
              <w:t>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21 000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40 000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633009 knihy, č</w:t>
            </w:r>
            <w:r>
              <w:rPr>
                <w:rFonts w:hint="default"/>
                <w:sz w:val="20"/>
                <w:szCs w:val="20"/>
                <w:lang w:val="sk-SK"/>
              </w:rPr>
              <w:t>asopisy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187 500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250 000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250 000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634001palivo, poh.hmoty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2 500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635001 ú</w:t>
            </w:r>
            <w:r>
              <w:rPr>
                <w:rFonts w:hint="default"/>
                <w:sz w:val="20"/>
                <w:szCs w:val="20"/>
                <w:lang w:val="sk-SK"/>
              </w:rPr>
              <w:t>drž</w:t>
            </w:r>
            <w:r>
              <w:rPr>
                <w:rFonts w:hint="default"/>
                <w:sz w:val="20"/>
                <w:szCs w:val="20"/>
                <w:lang w:val="sk-SK"/>
              </w:rPr>
              <w:t>ba vybavenia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10 000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635004 ú</w:t>
            </w:r>
            <w:r>
              <w:rPr>
                <w:rFonts w:hint="default"/>
                <w:sz w:val="20"/>
                <w:szCs w:val="20"/>
                <w:lang w:val="sk-SK"/>
              </w:rPr>
              <w:t>drž</w:t>
            </w:r>
            <w:r>
              <w:rPr>
                <w:rFonts w:hint="default"/>
                <w:sz w:val="20"/>
                <w:szCs w:val="20"/>
                <w:lang w:val="sk-SK"/>
              </w:rPr>
              <w:t>ba prev.strojov, prí</w:t>
            </w:r>
            <w:r>
              <w:rPr>
                <w:rFonts w:hint="default"/>
                <w:sz w:val="20"/>
                <w:szCs w:val="20"/>
                <w:lang w:val="sk-SK"/>
              </w:rPr>
              <w:t>strojov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48 000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60 000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635006 ú</w:t>
            </w:r>
            <w:r>
              <w:rPr>
                <w:rFonts w:hint="default"/>
                <w:sz w:val="20"/>
                <w:szCs w:val="20"/>
                <w:lang w:val="sk-SK"/>
              </w:rPr>
              <w:t>drž</w:t>
            </w:r>
            <w:r>
              <w:rPr>
                <w:rFonts w:hint="default"/>
                <w:sz w:val="20"/>
                <w:szCs w:val="20"/>
                <w:lang w:val="sk-SK"/>
              </w:rPr>
              <w:t>ba š</w:t>
            </w:r>
            <w:r>
              <w:rPr>
                <w:rFonts w:hint="default"/>
                <w:sz w:val="20"/>
                <w:szCs w:val="20"/>
                <w:lang w:val="sk-SK"/>
              </w:rPr>
              <w:t>pec.strojov, prí</w:t>
            </w:r>
            <w:r>
              <w:rPr>
                <w:rFonts w:hint="default"/>
                <w:sz w:val="20"/>
                <w:szCs w:val="20"/>
                <w:lang w:val="sk-SK"/>
              </w:rPr>
              <w:t>strojov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30 000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200 000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200 000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635009 ú</w:t>
            </w:r>
            <w:r>
              <w:rPr>
                <w:rFonts w:hint="default"/>
                <w:sz w:val="20"/>
                <w:szCs w:val="20"/>
                <w:lang w:val="sk-SK"/>
              </w:rPr>
              <w:t>drž</w:t>
            </w:r>
            <w:r>
              <w:rPr>
                <w:rFonts w:hint="default"/>
                <w:sz w:val="20"/>
                <w:szCs w:val="20"/>
                <w:lang w:val="sk-SK"/>
              </w:rPr>
              <w:t>ba softvé</w:t>
            </w:r>
            <w:r>
              <w:rPr>
                <w:rFonts w:hint="default"/>
                <w:sz w:val="20"/>
                <w:szCs w:val="20"/>
                <w:lang w:val="sk-SK"/>
              </w:rPr>
              <w:t>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201 140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450 000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450 000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63600</w:t>
            </w:r>
            <w:r>
              <w:rPr>
                <w:rFonts w:hint="default"/>
                <w:sz w:val="20"/>
                <w:szCs w:val="20"/>
                <w:lang w:val="sk-SK"/>
              </w:rPr>
              <w:t>1 ná</w:t>
            </w:r>
            <w:r>
              <w:rPr>
                <w:rFonts w:hint="default"/>
                <w:sz w:val="20"/>
                <w:szCs w:val="20"/>
                <w:lang w:val="sk-SK"/>
              </w:rPr>
              <w:t>jomné</w:t>
            </w:r>
            <w:r>
              <w:rPr>
                <w:rFonts w:hint="default"/>
                <w:sz w:val="20"/>
                <w:szCs w:val="20"/>
                <w:lang w:val="sk-SK"/>
              </w:rPr>
              <w:t xml:space="preserve"> budov, objektov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346 000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450 000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636007 prená</w:t>
            </w:r>
            <w:r>
              <w:rPr>
                <w:rFonts w:hint="default"/>
                <w:sz w:val="20"/>
                <w:szCs w:val="20"/>
                <w:lang w:val="sk-SK"/>
              </w:rPr>
              <w:t>jom softvé</w:t>
            </w:r>
            <w:r>
              <w:rPr>
                <w:rFonts w:hint="default"/>
                <w:sz w:val="20"/>
                <w:szCs w:val="20"/>
                <w:lang w:val="sk-SK"/>
              </w:rPr>
              <w:t>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100 000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200 000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200 000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637001 š</w:t>
            </w:r>
            <w:r>
              <w:rPr>
                <w:rFonts w:hint="default"/>
                <w:sz w:val="20"/>
                <w:szCs w:val="20"/>
                <w:lang w:val="sk-SK"/>
              </w:rPr>
              <w:t>kolenie, kurzy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40 000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637003 reklama, inzercia, propagá</w:t>
            </w:r>
            <w:r>
              <w:rPr>
                <w:rFonts w:hint="default"/>
                <w:sz w:val="20"/>
                <w:szCs w:val="20"/>
                <w:lang w:val="sk-SK"/>
              </w:rPr>
              <w:t>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20 000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637004 vš</w:t>
            </w:r>
            <w:r>
              <w:rPr>
                <w:rFonts w:hint="default"/>
                <w:sz w:val="20"/>
                <w:szCs w:val="20"/>
                <w:lang w:val="sk-SK"/>
              </w:rPr>
              <w:t>eobecné</w:t>
            </w:r>
            <w:r>
              <w:rPr>
                <w:rFonts w:hint="default"/>
                <w:sz w:val="20"/>
                <w:szCs w:val="20"/>
                <w:lang w:val="sk-SK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sk-SK"/>
              </w:rPr>
              <w:t>služ</w:t>
            </w:r>
            <w:r>
              <w:rPr>
                <w:rFonts w:hint="default"/>
                <w:sz w:val="20"/>
                <w:szCs w:val="20"/>
                <w:lang w:val="sk-SK"/>
              </w:rPr>
              <w:t>by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56 000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70 000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70 000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70 000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637005 š</w:t>
            </w:r>
            <w:r>
              <w:rPr>
                <w:rFonts w:hint="default"/>
                <w:sz w:val="20"/>
                <w:szCs w:val="20"/>
                <w:lang w:val="sk-SK"/>
              </w:rPr>
              <w:t>peciá</w:t>
            </w:r>
            <w:r>
              <w:rPr>
                <w:rFonts w:hint="default"/>
                <w:sz w:val="20"/>
                <w:szCs w:val="20"/>
                <w:lang w:val="sk-SK"/>
              </w:rPr>
              <w:t>lne služ</w:t>
            </w:r>
            <w:r>
              <w:rPr>
                <w:rFonts w:hint="default"/>
                <w:sz w:val="20"/>
                <w:szCs w:val="20"/>
                <w:lang w:val="sk-SK"/>
              </w:rPr>
              <w:t>by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628 908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1 025 402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931 045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919 400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637014 stravovanie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110 000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150 000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150 000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637015 poistné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13  000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26 000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26 000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>637016 sociá</w:t>
            </w:r>
            <w:r>
              <w:rPr>
                <w:rFonts w:hint="default"/>
                <w:sz w:val="20"/>
                <w:szCs w:val="20"/>
                <w:lang w:val="sk-SK"/>
              </w:rPr>
              <w:t>lny fond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18 000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21 000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21 000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21 000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637035 da</w:t>
            </w:r>
            <w:r>
              <w:rPr>
                <w:sz w:val="20"/>
                <w:szCs w:val="20"/>
                <w:lang w:val="sk-SK"/>
              </w:rPr>
              <w:t xml:space="preserve">ne, poplatky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30 000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>
              <w:rPr>
                <w:color w:val="000000"/>
                <w:sz w:val="20"/>
                <w:szCs w:val="20"/>
                <w:lang w:val="sk-SK"/>
              </w:rPr>
              <w:t>40000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40 000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 Bež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né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transfery (640)</w:t>
            </w:r>
            <w:r w:rsidRPr="004145F6">
              <w:rPr>
                <w:sz w:val="20"/>
                <w:szCs w:val="20"/>
                <w:vertAlign w:val="superscript"/>
                <w:lang w:val="sk-SK"/>
              </w:rPr>
              <w:t>2</w:t>
            </w:r>
            <w:r>
              <w:rPr>
                <w:sz w:val="20"/>
                <w:szCs w:val="20"/>
                <w:vertAlign w:val="superscript"/>
                <w:lang w:val="sk-SK"/>
              </w:rPr>
              <w:t xml:space="preserve">          </w:t>
            </w:r>
            <w:r w:rsidRPr="00290D80">
              <w:rPr>
                <w:sz w:val="20"/>
                <w:szCs w:val="20"/>
                <w:lang w:val="sk-SK"/>
              </w:rPr>
              <w:t>649003</w:t>
            </w:r>
            <w:r>
              <w:rPr>
                <w:rFonts w:hint="default"/>
                <w:sz w:val="20"/>
                <w:szCs w:val="20"/>
                <w:lang w:val="sk-SK"/>
              </w:rPr>
              <w:t xml:space="preserve"> transfery medzin.org. č</w:t>
            </w:r>
            <w:r>
              <w:rPr>
                <w:rFonts w:hint="default"/>
                <w:sz w:val="20"/>
                <w:szCs w:val="20"/>
                <w:lang w:val="sk-SK"/>
              </w:rPr>
              <w:t>lenské</w:t>
            </w:r>
            <w:r>
              <w:rPr>
                <w:rFonts w:hint="default"/>
                <w:sz w:val="20"/>
                <w:szCs w:val="20"/>
                <w:lang w:val="sk-SK"/>
              </w:rPr>
              <w:t xml:space="preserve"> prí</w:t>
            </w:r>
            <w:r>
              <w:rPr>
                <w:rFonts w:hint="default"/>
                <w:sz w:val="20"/>
                <w:szCs w:val="20"/>
                <w:lang w:val="sk-SK"/>
              </w:rPr>
              <w:t>sp.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80 000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90 000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100 000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110 000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F65B9C" w:rsidP="00AE0058">
            <w:pPr>
              <w:bidi w:val="0"/>
              <w:rPr>
                <w:sz w:val="20"/>
                <w:szCs w:val="20"/>
                <w:lang w:val="sk-SK"/>
              </w:rPr>
            </w:pPr>
            <w:r w:rsidRPr="00F65B9C">
              <w:rPr>
                <w:sz w:val="20"/>
                <w:szCs w:val="20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 Splá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canie ú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rokov a 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ostatné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platby sú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visiace s 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ú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vermi, pôž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ič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kami a NFV (650)</w:t>
            </w:r>
            <w:r w:rsidRPr="004145F6">
              <w:rPr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lang w:val="sk-SK"/>
              </w:rPr>
            </w:pPr>
            <w:r w:rsidRPr="004145F6">
              <w:rPr>
                <w:color w:val="000000"/>
                <w:lang w:val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rFonts w:hint="default"/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Kapitá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lové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 xml:space="preserve"> vý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k-SK"/>
              </w:rPr>
              <w:t>351 097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981 456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1 000 247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523 968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  <w:r w:rsidRPr="004145F6">
              <w:rPr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0113AF" w:rsidP="00AE0058">
            <w:pPr>
              <w:bidi w:val="0"/>
              <w:rPr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 Obstará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vanie kapitá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lový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ch aktí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v (710)</w:t>
            </w:r>
            <w:r w:rsidRPr="004145F6">
              <w:rPr>
                <w:sz w:val="20"/>
                <w:szCs w:val="20"/>
                <w:vertAlign w:val="superscript"/>
                <w:lang w:val="sk-SK"/>
              </w:rPr>
              <w:t>2</w:t>
            </w:r>
            <w:r>
              <w:rPr>
                <w:sz w:val="20"/>
                <w:szCs w:val="20"/>
                <w:vertAlign w:val="superscript"/>
                <w:lang w:val="sk-SK"/>
              </w:rPr>
              <w:t xml:space="preserve">   </w:t>
            </w:r>
            <w:r>
              <w:rPr>
                <w:rFonts w:hint="default"/>
                <w:sz w:val="20"/>
                <w:szCs w:val="20"/>
                <w:lang w:val="sk-SK"/>
              </w:rPr>
              <w:t>711003  ná</w:t>
            </w:r>
            <w:r>
              <w:rPr>
                <w:rFonts w:hint="default"/>
                <w:sz w:val="20"/>
                <w:szCs w:val="20"/>
                <w:lang w:val="sk-SK"/>
              </w:rPr>
              <w:t>kup softvé</w:t>
            </w:r>
            <w:r>
              <w:rPr>
                <w:rFonts w:hint="default"/>
                <w:sz w:val="20"/>
                <w:szCs w:val="20"/>
                <w:lang w:val="sk-SK"/>
              </w:rPr>
              <w:t>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338 097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981 456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1 000 247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F65B9C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F65B9C">
              <w:rPr>
                <w:color w:val="000000"/>
                <w:sz w:val="20"/>
                <w:szCs w:val="20"/>
                <w:lang w:val="sk-SK"/>
              </w:rPr>
              <w:t>523 968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  <w:r w:rsidRPr="004145F6">
              <w:rPr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>
              <w:rPr>
                <w:rFonts w:hint="default"/>
                <w:sz w:val="20"/>
                <w:szCs w:val="20"/>
                <w:lang w:val="sk-SK"/>
              </w:rPr>
              <w:t xml:space="preserve"> 713004 ná</w:t>
            </w:r>
            <w:r>
              <w:rPr>
                <w:rFonts w:hint="default"/>
                <w:sz w:val="20"/>
                <w:szCs w:val="20"/>
                <w:lang w:val="sk-SK"/>
              </w:rPr>
              <w:t>kup prí</w:t>
            </w:r>
            <w:r>
              <w:rPr>
                <w:rFonts w:hint="default"/>
                <w:sz w:val="20"/>
                <w:szCs w:val="20"/>
                <w:lang w:val="sk-SK"/>
              </w:rPr>
              <w:t>strojov  zariadení</w:t>
            </w:r>
            <w:r>
              <w:rPr>
                <w:rFonts w:hint="default"/>
                <w:sz w:val="20"/>
                <w:szCs w:val="20"/>
                <w:lang w:val="sk-SK"/>
              </w:rPr>
              <w:t xml:space="preserve">, techniky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13 000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color w:val="000000"/>
                <w:lang w:val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 Kapitá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lové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transfery (720)</w:t>
            </w:r>
            <w:r w:rsidRPr="004145F6">
              <w:rPr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sz w:val="20"/>
                <w:szCs w:val="20"/>
                <w:lang w:val="sk-SK"/>
              </w:rPr>
            </w:pPr>
            <w:r w:rsidRPr="004145F6">
              <w:rPr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lang w:val="sk-SK"/>
              </w:rPr>
            </w:pPr>
            <w:r w:rsidRPr="004145F6">
              <w:rPr>
                <w:color w:val="000000"/>
                <w:lang w:val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  <w:r w:rsidRPr="004145F6">
              <w:rPr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rFonts w:hint="default"/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Vý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da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vky z 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transakcií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 xml:space="preserve"> s 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finanč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ný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mi aktí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vami a 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finanč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ný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mi pasí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lang w:val="sk-SK"/>
              </w:rPr>
            </w:pPr>
            <w:r w:rsidRPr="004145F6">
              <w:rPr>
                <w:b/>
                <w:bCs/>
                <w:color w:val="000000"/>
                <w:lang w:val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  <w:r w:rsidRPr="004145F6">
              <w:rPr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84A36" w:rsidRPr="004145F6" w:rsidP="00AE0058">
            <w:pPr>
              <w:bidi w:val="0"/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Dopad na vý</w:t>
            </w:r>
            <w:r w:rsidRPr="004145F6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davky verejnej sprá</w:t>
            </w:r>
            <w:r w:rsidRPr="004145F6">
              <w:rPr>
                <w:rFonts w:hint="default"/>
                <w:b/>
                <w:bCs/>
                <w:color w:val="FFFFFF"/>
                <w:sz w:val="20"/>
                <w:szCs w:val="20"/>
                <w:lang w:val="sk-SK"/>
              </w:rPr>
              <w:t>vy celkom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color w:val="FFFFFF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sk-SK"/>
              </w:rPr>
              <w:t>5 128 044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color w:val="FFFFFF"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FFFFFF"/>
                <w:sz w:val="20"/>
                <w:szCs w:val="20"/>
                <w:lang w:val="sk-SK"/>
              </w:rPr>
              <w:t>9 378 000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color w:val="FFFFFF"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FFFFFF"/>
                <w:sz w:val="20"/>
                <w:szCs w:val="20"/>
                <w:lang w:val="sk-SK"/>
              </w:rPr>
              <w:t>9 500 000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4145F6">
              <w:rPr>
                <w:b/>
                <w:bCs/>
                <w:color w:val="FFFFFF"/>
                <w:sz w:val="20"/>
                <w:szCs w:val="20"/>
                <w:lang w:val="sk-SK"/>
              </w:rPr>
              <w:t>9 500 000</w:t>
            </w:r>
          </w:p>
        </w:tc>
        <w:tc>
          <w:tcPr>
            <w:tcW w:w="222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color w:val="FFFFFF"/>
                <w:lang w:val="sk-SK"/>
              </w:rPr>
            </w:pPr>
            <w:r w:rsidRPr="004145F6">
              <w:rPr>
                <w:color w:val="FFFFFF"/>
                <w:lang w:val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rFonts w:hint="default"/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sz w:val="20"/>
                <w:szCs w:val="20"/>
                <w:lang w:val="sk-SK"/>
              </w:rPr>
              <w:t xml:space="preserve">  z 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toho vý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davky na Š</w:t>
            </w:r>
            <w:r w:rsidRPr="004145F6">
              <w:rPr>
                <w:rFonts w:hint="default"/>
                <w:b/>
                <w:bCs/>
                <w:sz w:val="20"/>
                <w:szCs w:val="20"/>
                <w:lang w:val="sk-SK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k-SK"/>
              </w:rPr>
              <w:t>5 128 044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9 378 000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9 500 000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9 500 000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 xml:space="preserve">        Bež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né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 xml:space="preserve"> vý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davky</w:t>
            </w:r>
            <w:r w:rsidRPr="004145F6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4145F6">
              <w:rPr>
                <w:bCs/>
                <w:sz w:val="20"/>
                <w:szCs w:val="20"/>
                <w:lang w:val="sk-SK"/>
              </w:rPr>
              <w:t>(600)</w:t>
            </w:r>
            <w:r w:rsidRPr="004145F6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k-SK"/>
              </w:rPr>
              <w:t>4 </w:t>
            </w:r>
            <w:r>
              <w:rPr>
                <w:b/>
                <w:bCs/>
                <w:color w:val="000000"/>
                <w:sz w:val="20"/>
                <w:szCs w:val="20"/>
                <w:lang w:val="sk-SK"/>
              </w:rPr>
              <w:t>776 947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8 396 544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8 499 753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8 976 032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sz w:val="20"/>
                <w:szCs w:val="20"/>
                <w:lang w:val="sk-SK"/>
              </w:rPr>
              <w:t xml:space="preserve">               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Mzdy, platy, služ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obné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prí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jmy a 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>ostatné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osobné</w:t>
            </w:r>
            <w:r w:rsidRPr="004145F6">
              <w:rPr>
                <w:rFonts w:hint="default"/>
                <w:sz w:val="20"/>
                <w:szCs w:val="20"/>
                <w:lang w:val="sk-SK"/>
              </w:rPr>
              <w:t xml:space="preserve"> vyrovnania (610)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1 949 536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3 412 480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3 588 520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3 979 720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 xml:space="preserve">        Kapitá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lové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 xml:space="preserve"> vý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davky (700)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k-SK"/>
              </w:rPr>
              <w:t>351 097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981 456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1 000 247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color w:val="000000"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523 968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rPr>
                <w:rFonts w:hint="default"/>
                <w:bCs/>
                <w:sz w:val="20"/>
                <w:szCs w:val="20"/>
                <w:lang w:val="sk-SK"/>
              </w:rPr>
            </w:pP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 xml:space="preserve">        Vý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davky z transak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cií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 xml:space="preserve"> s 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finanč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ný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mi aktí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vami a 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finanč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ný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mi pasí</w:t>
            </w:r>
            <w:r w:rsidRPr="004145F6">
              <w:rPr>
                <w:rFonts w:hint="default"/>
                <w:bCs/>
                <w:sz w:val="20"/>
                <w:szCs w:val="20"/>
                <w:lang w:val="sk-SK"/>
              </w:rPr>
              <w:t>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84A36" w:rsidRPr="004145F6" w:rsidP="00AE0058">
            <w:pPr>
              <w:bidi w:val="0"/>
              <w:jc w:val="center"/>
              <w:rPr>
                <w:b/>
                <w:bCs/>
                <w:lang w:val="sk-SK"/>
              </w:rPr>
            </w:pPr>
            <w:r w:rsidRPr="004145F6">
              <w:rPr>
                <w:b/>
                <w:bCs/>
                <w:color w:val="000000"/>
                <w:sz w:val="20"/>
                <w:szCs w:val="20"/>
                <w:lang w:val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84A36" w:rsidRPr="004145F6" w:rsidP="00AE0058">
            <w:pPr>
              <w:bidi w:val="0"/>
              <w:rPr>
                <w:lang w:val="sk-SK"/>
              </w:rPr>
            </w:pPr>
          </w:p>
        </w:tc>
      </w:tr>
    </w:tbl>
    <w:p w:rsidR="00484A36" w:rsidRPr="00812649" w:rsidP="00484A36">
      <w:pPr>
        <w:bidi w:val="0"/>
        <w:rPr>
          <w:b/>
          <w:lang w:val="sk-SK"/>
        </w:rPr>
      </w:pPr>
    </w:p>
    <w:p w:rsidR="00D77875" w:rsidRPr="00812649" w:rsidP="00D77875">
      <w:pPr>
        <w:pStyle w:val="BodyText"/>
        <w:tabs>
          <w:tab w:val="num" w:pos="1080"/>
        </w:tabs>
        <w:bidi w:val="0"/>
        <w:ind w:left="-900"/>
        <w:jc w:val="both"/>
        <w:rPr>
          <w:rFonts w:hint="default"/>
          <w:b/>
          <w:bCs/>
          <w:sz w:val="20"/>
          <w:lang w:val="sk-SK"/>
        </w:rPr>
      </w:pPr>
      <w:r w:rsidRPr="00812649">
        <w:rPr>
          <w:b/>
          <w:bCs/>
          <w:sz w:val="20"/>
          <w:lang w:val="sk-SK"/>
        </w:rPr>
        <w:t xml:space="preserve">2 </w:t>
      </w:r>
      <w:r w:rsidRPr="00812649">
        <w:rPr>
          <w:rFonts w:hint="default"/>
          <w:b/>
          <w:bCs/>
          <w:sz w:val="20"/>
          <w:lang w:val="sk-SK"/>
        </w:rPr>
        <w:t>–</w:t>
      </w:r>
      <w:r w:rsidRPr="00812649">
        <w:rPr>
          <w:rFonts w:hint="default"/>
          <w:b/>
          <w:bCs/>
          <w:sz w:val="20"/>
          <w:lang w:val="sk-SK"/>
        </w:rPr>
        <w:t xml:space="preserve">  vý</w:t>
      </w:r>
      <w:r w:rsidRPr="00812649">
        <w:rPr>
          <w:rFonts w:hint="default"/>
          <w:b/>
          <w:bCs/>
          <w:sz w:val="20"/>
          <w:lang w:val="sk-SK"/>
        </w:rPr>
        <w:t>davky rozpí</w:t>
      </w:r>
      <w:r w:rsidRPr="00812649">
        <w:rPr>
          <w:rFonts w:hint="default"/>
          <w:b/>
          <w:bCs/>
          <w:sz w:val="20"/>
          <w:lang w:val="sk-SK"/>
        </w:rPr>
        <w:t>sať</w:t>
      </w:r>
      <w:r w:rsidRPr="00812649">
        <w:rPr>
          <w:rFonts w:hint="default"/>
          <w:b/>
          <w:bCs/>
          <w:sz w:val="20"/>
          <w:lang w:val="sk-SK"/>
        </w:rPr>
        <w:t xml:space="preserve"> až</w:t>
      </w:r>
      <w:r w:rsidRPr="00812649">
        <w:rPr>
          <w:rFonts w:hint="default"/>
          <w:b/>
          <w:bCs/>
          <w:sz w:val="20"/>
          <w:lang w:val="sk-SK"/>
        </w:rPr>
        <w:t xml:space="preserve"> do polož</w:t>
      </w:r>
      <w:r w:rsidRPr="00812649">
        <w:rPr>
          <w:rFonts w:hint="default"/>
          <w:b/>
          <w:bCs/>
          <w:sz w:val="20"/>
          <w:lang w:val="sk-SK"/>
        </w:rPr>
        <w:t>iek platnej ekonomickej klasifiká</w:t>
      </w:r>
      <w:r w:rsidRPr="00812649">
        <w:rPr>
          <w:rFonts w:hint="default"/>
          <w:b/>
          <w:bCs/>
          <w:sz w:val="20"/>
          <w:lang w:val="sk-SK"/>
        </w:rPr>
        <w:t>cie</w:t>
      </w:r>
    </w:p>
    <w:p w:rsidR="00484A36" w:rsidP="00484A36">
      <w:pPr>
        <w:pStyle w:val="BodyText"/>
        <w:tabs>
          <w:tab w:val="num" w:pos="1080"/>
        </w:tabs>
        <w:bidi w:val="0"/>
        <w:jc w:val="right"/>
        <w:rPr>
          <w:b/>
          <w:bCs/>
          <w:lang w:val="sk-SK"/>
        </w:rPr>
      </w:pPr>
      <w:r w:rsidRPr="00812649" w:rsidR="00D77875">
        <w:rPr>
          <w:b/>
          <w:bCs/>
          <w:lang w:val="sk-SK"/>
        </w:rPr>
        <w:t xml:space="preserve">                </w:t>
      </w:r>
    </w:p>
    <w:p w:rsidR="00D77875" w:rsidRPr="00812649" w:rsidP="00484A36">
      <w:pPr>
        <w:pStyle w:val="BodyText"/>
        <w:tabs>
          <w:tab w:val="num" w:pos="1080"/>
        </w:tabs>
        <w:bidi w:val="0"/>
        <w:jc w:val="right"/>
        <w:rPr>
          <w:rFonts w:hint="default"/>
          <w:b/>
          <w:bCs/>
          <w:lang w:val="sk-SK"/>
        </w:rPr>
      </w:pPr>
      <w:r w:rsidR="00484A36">
        <w:rPr>
          <w:b/>
          <w:bCs/>
          <w:lang w:val="sk-SK"/>
        </w:rPr>
        <w:br w:type="page"/>
      </w:r>
      <w:r w:rsidRPr="00812649">
        <w:rPr>
          <w:rFonts w:hint="default"/>
          <w:b/>
          <w:bCs/>
          <w:lang w:val="sk-SK"/>
        </w:rPr>
        <w:t>Tabuľ</w:t>
      </w:r>
      <w:r w:rsidRPr="00812649">
        <w:rPr>
          <w:rFonts w:hint="default"/>
          <w:b/>
          <w:bCs/>
          <w:lang w:val="sk-SK"/>
        </w:rPr>
        <w:t>ka č</w:t>
      </w:r>
      <w:r w:rsidRPr="00812649">
        <w:rPr>
          <w:rFonts w:hint="default"/>
          <w:b/>
          <w:bCs/>
          <w:lang w:val="sk-SK"/>
        </w:rPr>
        <w:t xml:space="preserve">. 6 </w:t>
      </w: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D77875" w:rsidRPr="00812649" w:rsidP="00EB0830">
            <w:pPr>
              <w:bidi w:val="0"/>
              <w:jc w:val="center"/>
              <w:rPr>
                <w:rFonts w:hint="default"/>
                <w:b/>
                <w:bCs/>
                <w:color w:val="FFFFFF"/>
                <w:lang w:val="sk-SK"/>
              </w:rPr>
            </w:pP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77875" w:rsidRPr="00812649" w:rsidP="00EB0830">
            <w:pPr>
              <w:bidi w:val="0"/>
              <w:jc w:val="center"/>
              <w:rPr>
                <w:rFonts w:hint="default"/>
                <w:b/>
                <w:bCs/>
                <w:color w:val="FFFFFF"/>
                <w:lang w:val="sk-SK"/>
              </w:rPr>
            </w:pP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Vplyv na rozpoč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et verejnej sprá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D77875" w:rsidRPr="00812649" w:rsidP="00EB0830">
            <w:pPr>
              <w:bidi w:val="0"/>
              <w:jc w:val="center"/>
              <w:rPr>
                <w:rFonts w:hint="default"/>
                <w:b/>
                <w:bCs/>
                <w:color w:val="FFFFFF"/>
                <w:lang w:val="sk-SK"/>
              </w:rPr>
            </w:pP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pozná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7875" w:rsidRPr="00812649" w:rsidP="00EB0830">
            <w:pPr>
              <w:bidi w:val="0"/>
              <w:rPr>
                <w:b/>
                <w:bCs/>
                <w:color w:val="FFFFFF"/>
                <w:lang w:val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77875" w:rsidRPr="00812649" w:rsidP="00EB0830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812649" w:rsidR="000F7701">
              <w:rPr>
                <w:b/>
                <w:bCs/>
                <w:color w:val="FFFFFF"/>
                <w:lang w:val="sk-SK"/>
              </w:rPr>
              <w:t>2013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77875" w:rsidRPr="00812649" w:rsidP="00EB0830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812649" w:rsidR="000F7701">
              <w:rPr>
                <w:b/>
                <w:bCs/>
                <w:color w:val="FFFFFF"/>
                <w:lang w:val="sk-SK"/>
              </w:rPr>
              <w:t>2014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77875" w:rsidRPr="00812649" w:rsidP="00EB0830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812649" w:rsidR="000F7701">
              <w:rPr>
                <w:b/>
                <w:bCs/>
                <w:color w:val="FFFFFF"/>
                <w:lang w:val="sk-SK"/>
              </w:rPr>
              <w:t>2015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77875" w:rsidRPr="00812649" w:rsidP="00EB0830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812649" w:rsidR="000F7701">
              <w:rPr>
                <w:b/>
                <w:bCs/>
                <w:color w:val="FFFFFF"/>
                <w:lang w:val="sk-SK"/>
              </w:rPr>
              <w:t>2016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7875" w:rsidRPr="00812649" w:rsidP="00EB0830">
            <w:pPr>
              <w:bidi w:val="0"/>
              <w:rPr>
                <w:b/>
                <w:bCs/>
                <w:color w:val="FFFFFF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812649" w:rsidP="00EB0830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12649">
              <w:rPr>
                <w:rFonts w:hint="default"/>
                <w:b/>
                <w:bCs/>
                <w:lang w:val="sk-SK"/>
              </w:rPr>
              <w:t>Poč</w:t>
            </w:r>
            <w:r w:rsidRPr="00812649">
              <w:rPr>
                <w:rFonts w:hint="default"/>
                <w:b/>
                <w:bCs/>
                <w:lang w:val="sk-SK"/>
              </w:rPr>
              <w:t>et zam</w:t>
            </w:r>
            <w:r w:rsidRPr="00812649">
              <w:rPr>
                <w:rFonts w:hint="default"/>
                <w:b/>
                <w:bCs/>
                <w:lang w:val="sk-SK"/>
              </w:rPr>
              <w:t>estnancov celkom*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B1062C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1064C" w:rsidRPr="00812649" w:rsidP="00EB0830">
            <w:pPr>
              <w:bidi w:val="0"/>
              <w:rPr>
                <w:lang w:val="sk-SK"/>
              </w:rPr>
            </w:pPr>
            <w:r w:rsidRPr="00812649">
              <w:rPr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812649" w:rsidP="00EB0830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12649">
              <w:rPr>
                <w:b/>
                <w:bCs/>
                <w:lang w:val="sk-SK"/>
              </w:rPr>
              <w:t xml:space="preserve">   z </w:t>
            </w:r>
            <w:r w:rsidRPr="00812649">
              <w:rPr>
                <w:rFonts w:hint="default"/>
                <w:b/>
                <w:bCs/>
                <w:lang w:val="sk-SK"/>
              </w:rPr>
              <w:t>toho vplyv na Š</w:t>
            </w:r>
            <w:r w:rsidRPr="00812649">
              <w:rPr>
                <w:rFonts w:hint="default"/>
                <w:b/>
                <w:bCs/>
                <w:lang w:val="sk-SK"/>
              </w:rPr>
              <w:t>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1064C" w:rsidRPr="00812649" w:rsidP="00EB0830">
            <w:pPr>
              <w:bidi w:val="0"/>
              <w:rPr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812649" w:rsidP="00EB0830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12649">
              <w:rPr>
                <w:rFonts w:hint="default"/>
                <w:b/>
                <w:bCs/>
                <w:lang w:val="sk-SK"/>
              </w:rPr>
              <w:t>Priemerný</w:t>
            </w:r>
            <w:r w:rsidRPr="00812649">
              <w:rPr>
                <w:rFonts w:hint="default"/>
                <w:b/>
                <w:bCs/>
                <w:lang w:val="sk-SK"/>
              </w:rPr>
              <w:t xml:space="preserve"> mzdový</w:t>
            </w:r>
            <w:r w:rsidRPr="00812649">
              <w:rPr>
                <w:rFonts w:hint="default"/>
                <w:b/>
                <w:bCs/>
                <w:lang w:val="sk-SK"/>
              </w:rPr>
              <w:t xml:space="preserve"> vý</w:t>
            </w:r>
            <w:r w:rsidRPr="00812649">
              <w:rPr>
                <w:rFonts w:hint="default"/>
                <w:b/>
                <w:bCs/>
                <w:lang w:val="sk-SK"/>
              </w:rPr>
              <w:t>davok (v eurá</w:t>
            </w:r>
            <w:r w:rsidRPr="00812649">
              <w:rPr>
                <w:rFonts w:hint="default"/>
                <w:b/>
                <w:bCs/>
                <w:lang w:val="sk-SK"/>
              </w:rPr>
              <w:t>ch)*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1064C" w:rsidRPr="00812649" w:rsidP="00EB0830">
            <w:pPr>
              <w:bidi w:val="0"/>
              <w:rPr>
                <w:lang w:val="sk-SK"/>
              </w:rPr>
            </w:pPr>
            <w:r w:rsidRPr="00812649">
              <w:rPr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812649" w:rsidP="00EB0830">
            <w:pPr>
              <w:bidi w:val="0"/>
              <w:rPr>
                <w:lang w:val="sk-SK"/>
              </w:rPr>
            </w:pPr>
            <w:r w:rsidRPr="00812649">
              <w:rPr>
                <w:b/>
                <w:bCs/>
                <w:lang w:val="sk-SK"/>
              </w:rPr>
              <w:t xml:space="preserve">   z </w:t>
            </w:r>
            <w:r w:rsidRPr="00812649">
              <w:rPr>
                <w:rFonts w:hint="default"/>
                <w:b/>
                <w:bCs/>
                <w:lang w:val="sk-SK"/>
              </w:rPr>
              <w:t>toho vplyv na Š</w:t>
            </w:r>
            <w:r w:rsidRPr="00812649">
              <w:rPr>
                <w:rFonts w:hint="default"/>
                <w:b/>
                <w:bCs/>
                <w:lang w:val="sk-SK"/>
              </w:rPr>
              <w:t>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834A28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834A28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834A28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834A28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1064C" w:rsidRPr="00812649" w:rsidP="00EB0830">
            <w:pPr>
              <w:bidi w:val="0"/>
              <w:rPr>
                <w:lang w:val="sk-SK"/>
              </w:rPr>
            </w:pPr>
            <w:r w:rsidRPr="00812649">
              <w:rPr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61064C" w:rsidRPr="00812649" w:rsidP="00EB0830">
            <w:pPr>
              <w:bidi w:val="0"/>
              <w:rPr>
                <w:rFonts w:hint="default"/>
                <w:b/>
                <w:bCs/>
                <w:color w:val="FFFFFF"/>
                <w:lang w:val="sk-SK"/>
              </w:rPr>
            </w:pP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Osobné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 xml:space="preserve"> vý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davky celkom (v eurá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A3528E">
              <w:rPr>
                <w:b/>
                <w:bCs/>
                <w:color w:val="FFFFFF"/>
                <w:lang w:val="sk-SK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A3528E">
              <w:rPr>
                <w:b/>
                <w:bCs/>
                <w:color w:val="FFFFFF"/>
                <w:lang w:val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A3528E">
              <w:rPr>
                <w:b/>
                <w:bCs/>
                <w:color w:val="FFFFFF"/>
                <w:lang w:val="sk-SK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color w:val="FFFFFF"/>
                <w:lang w:val="sk-SK"/>
              </w:rPr>
            </w:pPr>
            <w:r w:rsidRPr="00A3528E">
              <w:rPr>
                <w:b/>
                <w:bCs/>
                <w:color w:val="FFFFFF"/>
                <w:lang w:val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61064C" w:rsidRPr="00812649" w:rsidP="00EB0830">
            <w:pPr>
              <w:bidi w:val="0"/>
              <w:rPr>
                <w:b/>
                <w:bCs/>
                <w:color w:val="FFFFFF"/>
                <w:lang w:val="sk-SK"/>
              </w:rPr>
            </w:pPr>
            <w:r w:rsidRPr="00812649">
              <w:rPr>
                <w:b/>
                <w:bCs/>
                <w:color w:val="FFFFFF"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812649" w:rsidP="00EB0830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12649">
              <w:rPr>
                <w:rFonts w:hint="default"/>
                <w:b/>
                <w:bCs/>
                <w:lang w:val="sk-SK"/>
              </w:rPr>
              <w:t>Mzdy, platy, služ</w:t>
            </w:r>
            <w:r w:rsidRPr="00812649">
              <w:rPr>
                <w:rFonts w:hint="default"/>
                <w:b/>
                <w:bCs/>
                <w:lang w:val="sk-SK"/>
              </w:rPr>
              <w:t>obné</w:t>
            </w:r>
            <w:r w:rsidRPr="00812649">
              <w:rPr>
                <w:rFonts w:hint="default"/>
                <w:b/>
                <w:bCs/>
                <w:lang w:val="sk-SK"/>
              </w:rPr>
              <w:t xml:space="preserve"> prí</w:t>
            </w:r>
            <w:r w:rsidRPr="00812649">
              <w:rPr>
                <w:rFonts w:hint="default"/>
                <w:b/>
                <w:bCs/>
                <w:lang w:val="sk-SK"/>
              </w:rPr>
              <w:t>jmy a </w:t>
            </w:r>
            <w:r w:rsidRPr="00812649">
              <w:rPr>
                <w:rFonts w:hint="default"/>
                <w:b/>
                <w:bCs/>
                <w:lang w:val="sk-SK"/>
              </w:rPr>
              <w:t>ostatné</w:t>
            </w:r>
            <w:r w:rsidRPr="00812649">
              <w:rPr>
                <w:rFonts w:hint="default"/>
                <w:b/>
                <w:bCs/>
                <w:lang w:val="sk-SK"/>
              </w:rPr>
              <w:t xml:space="preserve"> osobné</w:t>
            </w:r>
            <w:r w:rsidRPr="00812649">
              <w:rPr>
                <w:rFonts w:hint="default"/>
                <w:b/>
                <w:bCs/>
                <w:lang w:val="sk-SK"/>
              </w:rPr>
              <w:t xml:space="preserve"> vyrovnania (610)*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1064C" w:rsidRPr="00812649" w:rsidP="00EB0830">
            <w:pPr>
              <w:bidi w:val="0"/>
              <w:rPr>
                <w:b/>
                <w:bCs/>
                <w:lang w:val="sk-SK"/>
              </w:rPr>
            </w:pPr>
            <w:r w:rsidRPr="00812649">
              <w:rPr>
                <w:b/>
                <w:bCs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812649" w:rsidP="00EB0830">
            <w:pPr>
              <w:bidi w:val="0"/>
              <w:rPr>
                <w:lang w:val="sk-SK"/>
              </w:rPr>
            </w:pPr>
            <w:r w:rsidRPr="00812649">
              <w:rPr>
                <w:b/>
                <w:bCs/>
                <w:lang w:val="sk-SK"/>
              </w:rPr>
              <w:t xml:space="preserve">   z toho vply</w:t>
            </w:r>
            <w:r w:rsidRPr="00812649">
              <w:rPr>
                <w:rFonts w:hint="default"/>
                <w:b/>
                <w:bCs/>
                <w:lang w:val="sk-SK"/>
              </w:rPr>
              <w:t>v na Š</w:t>
            </w:r>
            <w:r w:rsidRPr="00812649">
              <w:rPr>
                <w:rFonts w:hint="default"/>
                <w:b/>
                <w:bCs/>
                <w:lang w:val="sk-SK"/>
              </w:rPr>
              <w:t>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1064C" w:rsidRPr="00812649" w:rsidP="00EB0830">
            <w:pPr>
              <w:bidi w:val="0"/>
              <w:rPr>
                <w:lang w:val="sk-SK"/>
              </w:rPr>
            </w:pPr>
            <w:r w:rsidRPr="00812649">
              <w:rPr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812649" w:rsidP="00EB0830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12649">
              <w:rPr>
                <w:rFonts w:hint="default"/>
                <w:b/>
                <w:bCs/>
                <w:lang w:val="sk-SK"/>
              </w:rPr>
              <w:t>Poistné</w:t>
            </w:r>
            <w:r w:rsidRPr="00812649">
              <w:rPr>
                <w:rFonts w:hint="default"/>
                <w:b/>
                <w:bCs/>
                <w:lang w:val="sk-SK"/>
              </w:rPr>
              <w:t xml:space="preserve"> a </w:t>
            </w:r>
            <w:r w:rsidRPr="00812649">
              <w:rPr>
                <w:rFonts w:hint="default"/>
                <w:b/>
                <w:bCs/>
                <w:lang w:val="sk-SK"/>
              </w:rPr>
              <w:t>prí</w:t>
            </w:r>
            <w:r w:rsidRPr="00812649">
              <w:rPr>
                <w:rFonts w:hint="default"/>
                <w:b/>
                <w:bCs/>
                <w:lang w:val="sk-SK"/>
              </w:rPr>
              <w:t>spevok do poisť</w:t>
            </w:r>
            <w:r w:rsidRPr="00812649">
              <w:rPr>
                <w:rFonts w:hint="default"/>
                <w:b/>
                <w:bCs/>
                <w:lang w:val="sk-SK"/>
              </w:rPr>
              <w:t>ovní</w:t>
            </w:r>
            <w:r w:rsidRPr="00812649">
              <w:rPr>
                <w:rFonts w:hint="default"/>
                <w:b/>
                <w:bCs/>
                <w:lang w:val="sk-SK"/>
              </w:rPr>
              <w:t xml:space="preserve"> (620)*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b/>
                <w:bCs/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1064C" w:rsidRPr="00812649" w:rsidP="00EB0830">
            <w:pPr>
              <w:bidi w:val="0"/>
              <w:rPr>
                <w:b/>
                <w:bCs/>
                <w:lang w:val="sk-SK"/>
              </w:rPr>
            </w:pPr>
            <w:r w:rsidRPr="00812649">
              <w:rPr>
                <w:b/>
                <w:bCs/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812649" w:rsidP="00EB0830">
            <w:pPr>
              <w:bidi w:val="0"/>
              <w:rPr>
                <w:lang w:val="sk-SK"/>
              </w:rPr>
            </w:pPr>
            <w:r w:rsidRPr="00812649">
              <w:rPr>
                <w:b/>
                <w:bCs/>
                <w:lang w:val="sk-SK"/>
              </w:rPr>
              <w:t xml:space="preserve">   z </w:t>
            </w:r>
            <w:r w:rsidRPr="00812649">
              <w:rPr>
                <w:rFonts w:hint="default"/>
                <w:b/>
                <w:bCs/>
                <w:lang w:val="sk-SK"/>
              </w:rPr>
              <w:t>toho vplyv na Š</w:t>
            </w:r>
            <w:r w:rsidRPr="00812649">
              <w:rPr>
                <w:rFonts w:hint="default"/>
                <w:b/>
                <w:bCs/>
                <w:lang w:val="sk-SK"/>
              </w:rPr>
              <w:t>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064C" w:rsidRPr="00A3528E" w:rsidP="00EB0830">
            <w:pPr>
              <w:bidi w:val="0"/>
              <w:jc w:val="center"/>
              <w:rPr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1064C" w:rsidRPr="00812649" w:rsidP="00EB0830">
            <w:pPr>
              <w:bidi w:val="0"/>
              <w:rPr>
                <w:lang w:val="sk-SK"/>
              </w:rPr>
            </w:pPr>
            <w:r w:rsidRPr="00812649">
              <w:rPr>
                <w:lang w:val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lang w:val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77875" w:rsidRPr="00812649" w:rsidP="00EB0830">
            <w:pPr>
              <w:bidi w:val="0"/>
              <w:rPr>
                <w:rFonts w:hint="default"/>
                <w:b/>
                <w:bCs/>
                <w:lang w:val="sk-SK"/>
              </w:rPr>
            </w:pPr>
            <w:r w:rsidRPr="00812649">
              <w:rPr>
                <w:rFonts w:hint="default"/>
                <w:b/>
                <w:bCs/>
                <w:lang w:val="sk-SK"/>
              </w:rPr>
              <w:t>Pozná</w:t>
            </w:r>
            <w:r w:rsidRPr="00812649">
              <w:rPr>
                <w:rFonts w:hint="default"/>
                <w:b/>
                <w:bCs/>
                <w:lang w:val="sk-SK"/>
              </w:rPr>
              <w:t>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lang w:val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lang w:val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lang w:val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lang w:val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D77875" w:rsidRPr="00812649" w:rsidP="00EB0830">
            <w:pPr>
              <w:bidi w:val="0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Priemerný</w:t>
            </w:r>
            <w:r w:rsidRPr="00812649">
              <w:rPr>
                <w:rFonts w:hint="default"/>
                <w:lang w:val="sk-SK"/>
              </w:rPr>
              <w:t xml:space="preserve"> mzdový</w:t>
            </w:r>
            <w:r w:rsidRPr="00812649">
              <w:rPr>
                <w:rFonts w:hint="default"/>
                <w:lang w:val="sk-SK"/>
              </w:rPr>
              <w:t xml:space="preserve"> vý</w:t>
            </w:r>
            <w:r w:rsidRPr="00812649">
              <w:rPr>
                <w:rFonts w:hint="default"/>
                <w:lang w:val="sk-SK"/>
              </w:rPr>
              <w:t>davok je tvorený</w:t>
            </w:r>
            <w:r w:rsidRPr="00812649">
              <w:rPr>
                <w:rFonts w:hint="default"/>
                <w:lang w:val="sk-SK"/>
              </w:rPr>
              <w:t xml:space="preserve"> podielom mzdový</w:t>
            </w:r>
            <w:r w:rsidRPr="00812649">
              <w:rPr>
                <w:rFonts w:hint="default"/>
                <w:lang w:val="sk-SK"/>
              </w:rPr>
              <w:t>ch vý</w:t>
            </w:r>
            <w:r w:rsidRPr="00812649">
              <w:rPr>
                <w:rFonts w:hint="default"/>
                <w:lang w:val="sk-SK"/>
              </w:rPr>
              <w:t>davkov na jedné</w:t>
            </w:r>
            <w:r w:rsidRPr="00812649">
              <w:rPr>
                <w:rFonts w:hint="default"/>
                <w:lang w:val="sk-SK"/>
              </w:rPr>
              <w:t>ho zamestnanca na jeden kalendá</w:t>
            </w:r>
            <w:r w:rsidRPr="00812649">
              <w:rPr>
                <w:rFonts w:hint="default"/>
                <w:lang w:val="sk-SK"/>
              </w:rPr>
              <w:t>rny mesiac bež</w:t>
            </w:r>
            <w:r w:rsidRPr="00812649">
              <w:rPr>
                <w:rFonts w:hint="default"/>
                <w:lang w:val="sk-SK"/>
              </w:rPr>
              <w:t>né</w:t>
            </w:r>
            <w:r w:rsidRPr="00812649">
              <w:rPr>
                <w:rFonts w:hint="default"/>
                <w:lang w:val="sk-SK"/>
              </w:rPr>
              <w:t>ho roka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rFonts w:hint="default"/>
                <w:lang w:val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54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Poistné</w:t>
            </w:r>
            <w:r w:rsidRPr="00812649">
              <w:rPr>
                <w:rFonts w:hint="default"/>
                <w:lang w:val="sk-SK"/>
              </w:rPr>
              <w:t xml:space="preserve"> tvorí</w:t>
            </w:r>
            <w:r w:rsidRPr="00812649">
              <w:rPr>
                <w:rFonts w:hint="default"/>
                <w:lang w:val="sk-SK"/>
              </w:rPr>
              <w:t xml:space="preserve"> </w:t>
            </w:r>
            <w:r w:rsidRPr="00812649">
              <w:rPr>
                <w:rFonts w:hint="default"/>
                <w:lang w:val="sk-SK"/>
              </w:rPr>
              <w:t>podiel mzdový</w:t>
            </w:r>
            <w:r w:rsidRPr="00812649">
              <w:rPr>
                <w:rFonts w:hint="default"/>
                <w:lang w:val="sk-SK"/>
              </w:rPr>
              <w:t>ch vý</w:t>
            </w:r>
            <w:r w:rsidRPr="00812649">
              <w:rPr>
                <w:rFonts w:hint="default"/>
                <w:lang w:val="sk-SK"/>
              </w:rPr>
              <w:t>davkov, prič</w:t>
            </w:r>
            <w:r w:rsidRPr="00812649">
              <w:rPr>
                <w:rFonts w:hint="default"/>
                <w:lang w:val="sk-SK"/>
              </w:rPr>
              <w:t>om za organizá</w:t>
            </w:r>
            <w:r w:rsidRPr="00812649">
              <w:rPr>
                <w:rFonts w:hint="default"/>
                <w:lang w:val="sk-SK"/>
              </w:rPr>
              <w:t>cie v pô</w:t>
            </w:r>
            <w:r w:rsidRPr="00812649">
              <w:rPr>
                <w:rFonts w:hint="default"/>
                <w:lang w:val="sk-SK"/>
              </w:rPr>
              <w:t>sobnosti kapitol š</w:t>
            </w:r>
            <w:r w:rsidRPr="00812649">
              <w:rPr>
                <w:rFonts w:hint="default"/>
                <w:lang w:val="sk-SK"/>
              </w:rPr>
              <w:t>tá</w:t>
            </w:r>
            <w:r w:rsidRPr="00812649">
              <w:rPr>
                <w:rFonts w:hint="default"/>
                <w:lang w:val="sk-SK"/>
              </w:rPr>
              <w:t>tneho rozpoč</w:t>
            </w:r>
            <w:r w:rsidRPr="00812649">
              <w:rPr>
                <w:rFonts w:hint="default"/>
                <w:lang w:val="sk-SK"/>
              </w:rPr>
              <w:t>tu, s </w:t>
            </w:r>
            <w:r w:rsidRPr="00812649">
              <w:rPr>
                <w:rFonts w:hint="default"/>
                <w:lang w:val="sk-SK"/>
              </w:rPr>
              <w:t>vý</w:t>
            </w:r>
            <w:r w:rsidRPr="00812649">
              <w:rPr>
                <w:rFonts w:hint="default"/>
                <w:lang w:val="sk-SK"/>
              </w:rPr>
              <w:t>nimkou prenesený</w:t>
            </w:r>
            <w:r w:rsidRPr="00812649">
              <w:rPr>
                <w:rFonts w:hint="default"/>
                <w:lang w:val="sk-SK"/>
              </w:rPr>
              <w:t>ch kompetencií</w:t>
            </w:r>
            <w:r w:rsidRPr="00812649">
              <w:rPr>
                <w:rFonts w:hint="default"/>
                <w:lang w:val="sk-SK"/>
              </w:rPr>
              <w:t xml:space="preserve"> vý</w:t>
            </w:r>
            <w:r w:rsidRPr="00812649">
              <w:rPr>
                <w:rFonts w:hint="default"/>
                <w:lang w:val="sk-SK"/>
              </w:rPr>
              <w:t>konu š</w:t>
            </w:r>
            <w:r w:rsidRPr="00812649">
              <w:rPr>
                <w:rFonts w:hint="default"/>
                <w:lang w:val="sk-SK"/>
              </w:rPr>
              <w:t>tá</w:t>
            </w:r>
            <w:r w:rsidRPr="00812649">
              <w:rPr>
                <w:rFonts w:hint="default"/>
                <w:lang w:val="sk-SK"/>
              </w:rPr>
              <w:t>tnej sprá</w:t>
            </w:r>
            <w:r w:rsidRPr="00812649">
              <w:rPr>
                <w:rFonts w:hint="default"/>
                <w:lang w:val="sk-SK"/>
              </w:rPr>
              <w:t>vy, pre zamestnancov š</w:t>
            </w:r>
            <w:r w:rsidRPr="00812649">
              <w:rPr>
                <w:rFonts w:hint="default"/>
                <w:lang w:val="sk-SK"/>
              </w:rPr>
              <w:t>tá</w:t>
            </w:r>
            <w:r w:rsidRPr="00812649">
              <w:rPr>
                <w:rFonts w:hint="default"/>
                <w:lang w:val="sk-SK"/>
              </w:rPr>
              <w:t>tnej služ</w:t>
            </w:r>
            <w:r w:rsidRPr="00812649">
              <w:rPr>
                <w:rFonts w:hint="default"/>
                <w:lang w:val="sk-SK"/>
              </w:rPr>
              <w:t>by a zamestnancov pri vý</w:t>
            </w:r>
            <w:r w:rsidRPr="00812649">
              <w:rPr>
                <w:rFonts w:hint="default"/>
                <w:lang w:val="sk-SK"/>
              </w:rPr>
              <w:t>kone prá</w:t>
            </w:r>
            <w:r w:rsidRPr="00812649">
              <w:rPr>
                <w:rFonts w:hint="default"/>
                <w:lang w:val="sk-SK"/>
              </w:rPr>
              <w:t>ce vo verejnom zá</w:t>
            </w:r>
            <w:r w:rsidRPr="00812649">
              <w:rPr>
                <w:rFonts w:hint="default"/>
                <w:lang w:val="sk-SK"/>
              </w:rPr>
              <w:t>ujme predstavuje  34,95 %,  pre</w:t>
            </w:r>
            <w:r w:rsidRPr="00812649">
              <w:rPr>
                <w:rFonts w:hint="default"/>
                <w:lang w:val="sk-SK"/>
              </w:rPr>
              <w:t xml:space="preserve"> </w:t>
            </w:r>
            <w:r w:rsidRPr="00812649">
              <w:rPr>
                <w:rFonts w:hint="default"/>
                <w:lang w:val="sk-SK"/>
              </w:rPr>
              <w:t>policajtov, profesioná</w:t>
            </w:r>
            <w:r w:rsidRPr="00812649">
              <w:rPr>
                <w:rFonts w:hint="default"/>
                <w:lang w:val="sk-SK"/>
              </w:rPr>
              <w:t>lnych vojakov, colní</w:t>
            </w:r>
            <w:r w:rsidRPr="00812649">
              <w:rPr>
                <w:rFonts w:hint="default"/>
                <w:lang w:val="sk-SK"/>
              </w:rPr>
              <w:t>kov, hasič</w:t>
            </w:r>
            <w:r w:rsidRPr="00812649">
              <w:rPr>
                <w:rFonts w:hint="default"/>
                <w:lang w:val="sk-SK"/>
              </w:rPr>
              <w:t>ov vrá</w:t>
            </w:r>
            <w:r w:rsidRPr="00812649">
              <w:rPr>
                <w:rFonts w:hint="default"/>
                <w:lang w:val="sk-SK"/>
              </w:rPr>
              <w:t>tane horskej zá</w:t>
            </w:r>
            <w:r w:rsidRPr="00812649">
              <w:rPr>
                <w:rFonts w:hint="default"/>
                <w:lang w:val="sk-SK"/>
              </w:rPr>
              <w:t>chrannej služ</w:t>
            </w:r>
            <w:r w:rsidRPr="00812649">
              <w:rPr>
                <w:rFonts w:hint="default"/>
                <w:lang w:val="sk-SK"/>
              </w:rPr>
              <w:t>by predstavuje 33,2 %.  Pre ostatné</w:t>
            </w:r>
            <w:r w:rsidRPr="00812649">
              <w:rPr>
                <w:rFonts w:hint="default"/>
                <w:lang w:val="sk-SK"/>
              </w:rPr>
              <w:t xml:space="preserve"> subjekty verejnej sprá</w:t>
            </w:r>
            <w:r w:rsidRPr="00812649">
              <w:rPr>
                <w:rFonts w:hint="default"/>
                <w:lang w:val="sk-SK"/>
              </w:rPr>
              <w:t>vy vrá</w:t>
            </w:r>
            <w:r w:rsidRPr="00812649">
              <w:rPr>
                <w:rFonts w:hint="default"/>
                <w:lang w:val="sk-SK"/>
              </w:rPr>
              <w:t>tane prenesený</w:t>
            </w:r>
            <w:r w:rsidRPr="00812649">
              <w:rPr>
                <w:rFonts w:hint="default"/>
                <w:lang w:val="sk-SK"/>
              </w:rPr>
              <w:t>ch kompetencií</w:t>
            </w:r>
            <w:r w:rsidRPr="00812649">
              <w:rPr>
                <w:rFonts w:hint="default"/>
                <w:lang w:val="sk-SK"/>
              </w:rPr>
              <w:t xml:space="preserve"> vý</w:t>
            </w:r>
            <w:r w:rsidRPr="00812649">
              <w:rPr>
                <w:rFonts w:hint="default"/>
                <w:lang w:val="sk-SK"/>
              </w:rPr>
              <w:t>konu š</w:t>
            </w:r>
            <w:r w:rsidRPr="00812649">
              <w:rPr>
                <w:rFonts w:hint="default"/>
                <w:lang w:val="sk-SK"/>
              </w:rPr>
              <w:t>tá</w:t>
            </w:r>
            <w:r w:rsidRPr="00812649">
              <w:rPr>
                <w:rFonts w:hint="default"/>
                <w:lang w:val="sk-SK"/>
              </w:rPr>
              <w:t>tnej sprá</w:t>
            </w:r>
            <w:r w:rsidRPr="00812649">
              <w:rPr>
                <w:rFonts w:hint="default"/>
                <w:lang w:val="sk-SK"/>
              </w:rPr>
              <w:t>vy poistné</w:t>
            </w:r>
            <w:r w:rsidRPr="00812649">
              <w:rPr>
                <w:rFonts w:hint="default"/>
                <w:lang w:val="sk-SK"/>
              </w:rPr>
              <w:t xml:space="preserve"> tvorí</w:t>
            </w:r>
            <w:r w:rsidRPr="00812649">
              <w:rPr>
                <w:rFonts w:hint="default"/>
                <w:lang w:val="sk-SK"/>
              </w:rPr>
              <w:t xml:space="preserve"> podiel zodpovedajú</w:t>
            </w:r>
            <w:r w:rsidRPr="00812649">
              <w:rPr>
                <w:rFonts w:hint="default"/>
                <w:lang w:val="sk-SK"/>
              </w:rPr>
              <w:t>ci  35,2 %.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Kategó</w:t>
            </w:r>
            <w:r w:rsidRPr="00812649">
              <w:rPr>
                <w:rFonts w:hint="default"/>
                <w:lang w:val="sk-SK"/>
              </w:rPr>
              <w:t xml:space="preserve">rie </w:t>
            </w:r>
            <w:r w:rsidRPr="00812649">
              <w:rPr>
                <w:rFonts w:hint="default"/>
                <w:lang w:val="sk-SK"/>
              </w:rPr>
              <w:t>610 a </w:t>
            </w:r>
            <w:r w:rsidRPr="00812649">
              <w:rPr>
                <w:rFonts w:hint="default"/>
                <w:lang w:val="sk-SK"/>
              </w:rPr>
              <w:t>620 sú</w:t>
            </w:r>
            <w:r w:rsidRPr="00812649">
              <w:rPr>
                <w:rFonts w:hint="default"/>
                <w:lang w:val="sk-SK"/>
              </w:rPr>
              <w:t xml:space="preserve"> z </w:t>
            </w:r>
            <w:r w:rsidRPr="00812649">
              <w:rPr>
                <w:rFonts w:hint="default"/>
                <w:lang w:val="sk-SK"/>
              </w:rPr>
              <w:t>tejto prí</w:t>
            </w:r>
            <w:r w:rsidRPr="00812649">
              <w:rPr>
                <w:rFonts w:hint="default"/>
                <w:lang w:val="sk-SK"/>
              </w:rPr>
              <w:t>lohy automaticky prenáš</w:t>
            </w:r>
            <w:r w:rsidRPr="00812649">
              <w:rPr>
                <w:rFonts w:hint="default"/>
                <w:lang w:val="sk-SK"/>
              </w:rPr>
              <w:t>ané</w:t>
            </w:r>
            <w:r w:rsidRPr="00812649">
              <w:rPr>
                <w:rFonts w:hint="default"/>
                <w:lang w:val="sk-SK"/>
              </w:rPr>
              <w:t xml:space="preserve"> do prí</w:t>
            </w:r>
            <w:r w:rsidRPr="00812649">
              <w:rPr>
                <w:rFonts w:hint="default"/>
                <w:lang w:val="sk-SK"/>
              </w:rPr>
              <w:t>sluš</w:t>
            </w:r>
            <w:r w:rsidRPr="00812649">
              <w:rPr>
                <w:rFonts w:hint="default"/>
                <w:lang w:val="sk-SK"/>
              </w:rPr>
              <w:t>ný</w:t>
            </w:r>
            <w:r w:rsidRPr="00812649">
              <w:rPr>
                <w:rFonts w:hint="default"/>
                <w:lang w:val="sk-SK"/>
              </w:rPr>
              <w:t>ch kategó</w:t>
            </w:r>
            <w:r w:rsidRPr="00812649">
              <w:rPr>
                <w:rFonts w:hint="default"/>
                <w:lang w:val="sk-SK"/>
              </w:rPr>
              <w:t>rií</w:t>
            </w:r>
            <w:r w:rsidRPr="00812649">
              <w:rPr>
                <w:rFonts w:hint="default"/>
                <w:lang w:val="sk-SK"/>
              </w:rPr>
              <w:t xml:space="preserve"> prí</w:t>
            </w:r>
            <w:r w:rsidRPr="00812649">
              <w:rPr>
                <w:rFonts w:hint="default"/>
                <w:lang w:val="sk-SK"/>
              </w:rPr>
              <w:t>lohy „</w:t>
            </w:r>
            <w:r w:rsidRPr="00812649">
              <w:rPr>
                <w:rFonts w:hint="default"/>
                <w:lang w:val="sk-SK"/>
              </w:rPr>
              <w:t>vý</w:t>
            </w:r>
            <w:r w:rsidRPr="00812649">
              <w:rPr>
                <w:rFonts w:hint="default"/>
                <w:lang w:val="sk-SK"/>
              </w:rPr>
              <w:t>davky“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rFonts w:hint="default"/>
                <w:lang w:val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rFonts w:hint="default"/>
                <w:lang w:val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D77875" w:rsidRPr="00812649" w:rsidP="00EB0830">
            <w:pPr>
              <w:bidi w:val="0"/>
              <w:rPr>
                <w:rFonts w:hint="default"/>
                <w:lang w:val="sk-SK"/>
              </w:rPr>
            </w:pPr>
          </w:p>
        </w:tc>
      </w:tr>
    </w:tbl>
    <w:p w:rsidR="00085767" w:rsidRPr="00812649" w:rsidP="00D77875">
      <w:pPr>
        <w:bidi w:val="0"/>
        <w:rPr>
          <w:b/>
          <w:bCs/>
          <w:lang w:val="sk-SK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  <w:r w:rsidRPr="00812649" w:rsidR="00D77875">
        <w:rPr>
          <w:rFonts w:hint="default"/>
          <w:b/>
          <w:bCs/>
          <w:lang w:val="sk-SK"/>
        </w:rPr>
        <w:t>* poč</w:t>
      </w:r>
      <w:r w:rsidRPr="00812649" w:rsidR="00D77875">
        <w:rPr>
          <w:rFonts w:hint="default"/>
          <w:b/>
          <w:bCs/>
          <w:lang w:val="sk-SK"/>
        </w:rPr>
        <w:t>et zamestnancov,  mzdy a </w:t>
      </w:r>
      <w:r w:rsidRPr="00812649" w:rsidR="00D77875">
        <w:rPr>
          <w:rFonts w:hint="default"/>
          <w:b/>
          <w:bCs/>
          <w:lang w:val="sk-SK"/>
        </w:rPr>
        <w:t>poistné</w:t>
      </w:r>
      <w:r w:rsidRPr="00812649" w:rsidR="00D77875">
        <w:rPr>
          <w:rFonts w:hint="default"/>
          <w:b/>
          <w:bCs/>
          <w:lang w:val="sk-SK"/>
        </w:rPr>
        <w:t xml:space="preserve"> rozpí</w:t>
      </w:r>
      <w:r w:rsidRPr="00812649" w:rsidR="00D77875">
        <w:rPr>
          <w:rFonts w:hint="default"/>
          <w:b/>
          <w:bCs/>
          <w:lang w:val="sk-SK"/>
        </w:rPr>
        <w:t>sať</w:t>
      </w:r>
      <w:r w:rsidRPr="00812649" w:rsidR="00D77875">
        <w:rPr>
          <w:rFonts w:hint="default"/>
          <w:b/>
          <w:bCs/>
          <w:lang w:val="sk-SK"/>
        </w:rPr>
        <w:t xml:space="preserve"> podľ</w:t>
      </w:r>
      <w:r w:rsidRPr="00812649" w:rsidR="00D77875">
        <w:rPr>
          <w:rFonts w:hint="default"/>
          <w:b/>
          <w:bCs/>
          <w:lang w:val="sk-SK"/>
        </w:rPr>
        <w:t>a spô</w:t>
      </w:r>
      <w:r w:rsidRPr="00812649" w:rsidR="00D77875">
        <w:rPr>
          <w:rFonts w:hint="default"/>
          <w:b/>
          <w:bCs/>
          <w:lang w:val="sk-SK"/>
        </w:rPr>
        <w:t>sobu odmeň</w:t>
      </w:r>
      <w:r w:rsidRPr="00812649" w:rsidR="00D77875">
        <w:rPr>
          <w:rFonts w:hint="default"/>
          <w:b/>
          <w:bCs/>
          <w:lang w:val="sk-SK"/>
        </w:rPr>
        <w:t>ovania (napr. policajti, colní</w:t>
      </w:r>
      <w:r w:rsidRPr="00812649" w:rsidR="00D77875">
        <w:rPr>
          <w:rFonts w:hint="default"/>
          <w:b/>
          <w:bCs/>
          <w:lang w:val="sk-SK"/>
        </w:rPr>
        <w:t>ci ...)</w:t>
      </w:r>
    </w:p>
    <w:p w:rsidR="00085767" w:rsidRPr="00812649" w:rsidP="00D92308">
      <w:pPr>
        <w:bidi w:val="0"/>
        <w:jc w:val="center"/>
        <w:rPr>
          <w:rFonts w:hint="default"/>
          <w:b/>
          <w:sz w:val="28"/>
          <w:szCs w:val="28"/>
          <w:lang w:val="sk-SK"/>
        </w:rPr>
      </w:pPr>
      <w:r w:rsidRPr="00812649">
        <w:rPr>
          <w:rFonts w:hint="default"/>
          <w:b/>
          <w:sz w:val="28"/>
          <w:szCs w:val="28"/>
          <w:lang w:val="sk-SK"/>
        </w:rPr>
        <w:t>Sociá</w:t>
      </w:r>
      <w:r w:rsidRPr="00812649">
        <w:rPr>
          <w:rFonts w:hint="default"/>
          <w:b/>
          <w:sz w:val="28"/>
          <w:szCs w:val="28"/>
          <w:lang w:val="sk-SK"/>
        </w:rPr>
        <w:t>lne vplyvy -  vplyvy na hospodá</w:t>
      </w:r>
      <w:r w:rsidRPr="00812649">
        <w:rPr>
          <w:rFonts w:hint="default"/>
          <w:b/>
          <w:sz w:val="28"/>
          <w:szCs w:val="28"/>
          <w:lang w:val="sk-SK"/>
        </w:rPr>
        <w:t>renie obyvateľ</w:t>
      </w:r>
      <w:r w:rsidRPr="00812649">
        <w:rPr>
          <w:rFonts w:hint="default"/>
          <w:b/>
          <w:sz w:val="28"/>
          <w:szCs w:val="28"/>
          <w:lang w:val="sk-SK"/>
        </w:rPr>
        <w:t>stva</w:t>
      </w:r>
      <w:r w:rsidRPr="00812649">
        <w:rPr>
          <w:rFonts w:hint="default"/>
          <w:b/>
          <w:sz w:val="28"/>
          <w:szCs w:val="28"/>
          <w:lang w:val="sk-SK"/>
        </w:rPr>
        <w:t>, sociá</w:t>
      </w:r>
      <w:r w:rsidRPr="00812649">
        <w:rPr>
          <w:rFonts w:hint="default"/>
          <w:b/>
          <w:sz w:val="28"/>
          <w:szCs w:val="28"/>
          <w:lang w:val="sk-SK"/>
        </w:rPr>
        <w:t>lnu exklú</w:t>
      </w:r>
      <w:r w:rsidRPr="00812649">
        <w:rPr>
          <w:rFonts w:hint="default"/>
          <w:b/>
          <w:sz w:val="28"/>
          <w:szCs w:val="28"/>
          <w:lang w:val="sk-SK"/>
        </w:rPr>
        <w:t>ziu, rovnosť</w:t>
      </w:r>
      <w:r w:rsidRPr="00812649">
        <w:rPr>
          <w:rFonts w:hint="default"/>
          <w:b/>
          <w:sz w:val="28"/>
          <w:szCs w:val="28"/>
          <w:lang w:val="sk-SK"/>
        </w:rPr>
        <w:t xml:space="preserve"> prí</w:t>
      </w:r>
      <w:r w:rsidRPr="00812649">
        <w:rPr>
          <w:rFonts w:hint="default"/>
          <w:b/>
          <w:sz w:val="28"/>
          <w:szCs w:val="28"/>
          <w:lang w:val="sk-SK"/>
        </w:rPr>
        <w:t>lež</w:t>
      </w:r>
      <w:r w:rsidRPr="00812649">
        <w:rPr>
          <w:rFonts w:hint="default"/>
          <w:b/>
          <w:sz w:val="28"/>
          <w:szCs w:val="28"/>
          <w:lang w:val="sk-SK"/>
        </w:rPr>
        <w:t>itostí</w:t>
      </w:r>
      <w:r w:rsidRPr="00812649">
        <w:rPr>
          <w:rFonts w:hint="default"/>
          <w:b/>
          <w:sz w:val="28"/>
          <w:szCs w:val="28"/>
          <w:lang w:val="sk-SK"/>
        </w:rPr>
        <w:t xml:space="preserve"> a </w:t>
      </w:r>
      <w:r w:rsidRPr="00812649">
        <w:rPr>
          <w:rFonts w:hint="default"/>
          <w:b/>
          <w:sz w:val="28"/>
          <w:szCs w:val="28"/>
          <w:lang w:val="sk-SK"/>
        </w:rPr>
        <w:t>rodovú</w:t>
      </w:r>
      <w:r w:rsidRPr="00812649">
        <w:rPr>
          <w:rFonts w:hint="default"/>
          <w:b/>
          <w:sz w:val="28"/>
          <w:szCs w:val="28"/>
          <w:lang w:val="sk-SK"/>
        </w:rPr>
        <w:t xml:space="preserve"> rovnosť</w:t>
      </w:r>
      <w:r w:rsidRPr="00812649">
        <w:rPr>
          <w:rFonts w:hint="default"/>
          <w:b/>
          <w:sz w:val="28"/>
          <w:szCs w:val="28"/>
          <w:lang w:val="sk-SK"/>
        </w:rPr>
        <w:t xml:space="preserve">  a </w:t>
      </w:r>
      <w:r w:rsidRPr="00812649">
        <w:rPr>
          <w:rFonts w:hint="default"/>
          <w:b/>
          <w:sz w:val="28"/>
          <w:szCs w:val="28"/>
          <w:lang w:val="sk-SK"/>
        </w:rPr>
        <w:t>na zamestnanosť</w:t>
      </w:r>
    </w:p>
    <w:p w:rsidR="00085767" w:rsidRPr="00812649" w:rsidP="00085767">
      <w:pPr>
        <w:bidi w:val="0"/>
        <w:rPr>
          <w:b/>
          <w:bCs/>
          <w:lang w:val="sk-SK"/>
        </w:rPr>
      </w:pPr>
    </w:p>
    <w:p w:rsidR="00085767" w:rsidRPr="00812649" w:rsidP="00085767">
      <w:pPr>
        <w:bidi w:val="0"/>
        <w:rPr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085767" w:rsidRPr="00812649" w:rsidP="00A76810">
            <w:pPr>
              <w:bidi w:val="0"/>
              <w:jc w:val="center"/>
              <w:rPr>
                <w:rFonts w:hint="default"/>
                <w:b/>
                <w:bCs/>
                <w:color w:val="FFFFFF"/>
                <w:lang w:val="sk-SK"/>
              </w:rPr>
            </w:pP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Sociá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lne vplyvy predkladané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ho materiá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lu -  vplyvy na hospodá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renie obyvateľ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stva, sociá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lnu exklú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ziu, rovnosť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 xml:space="preserve"> prí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lež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itostí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 xml:space="preserve"> a 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rodovú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 xml:space="preserve"> rovnosť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 xml:space="preserve"> a 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tabs>
                <w:tab w:val="left" w:pos="469"/>
              </w:tabs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4.1.</w:t>
              <w:tab/>
            </w:r>
            <w:r w:rsidRPr="00812649">
              <w:rPr>
                <w:lang w:val="sk-SK"/>
              </w:rPr>
              <w:t>Identifi</w:t>
            </w:r>
            <w:r w:rsidRPr="00812649">
              <w:rPr>
                <w:rFonts w:hint="default"/>
                <w:lang w:val="sk-SK"/>
              </w:rPr>
              <w:t>kujte vplyv na hospodá</w:t>
            </w:r>
            <w:r w:rsidRPr="00812649">
              <w:rPr>
                <w:rFonts w:hint="default"/>
                <w:lang w:val="sk-SK"/>
              </w:rPr>
              <w:t>renie   </w:t>
            </w:r>
            <w:r w:rsidRPr="00812649">
              <w:rPr>
                <w:rFonts w:hint="default"/>
                <w:lang w:val="sk-SK"/>
              </w:rPr>
              <w:t>domá</w:t>
            </w:r>
            <w:r w:rsidRPr="00812649">
              <w:rPr>
                <w:rFonts w:hint="default"/>
                <w:lang w:val="sk-SK"/>
              </w:rPr>
              <w:t>cností</w:t>
            </w:r>
            <w:r w:rsidRPr="00812649">
              <w:rPr>
                <w:rFonts w:hint="default"/>
                <w:lang w:val="sk-SK"/>
              </w:rPr>
              <w:t xml:space="preserve"> a </w:t>
            </w:r>
            <w:r w:rsidRPr="00812649">
              <w:rPr>
                <w:rFonts w:hint="default"/>
                <w:lang w:val="sk-SK"/>
              </w:rPr>
              <w:t>š</w:t>
            </w:r>
            <w:r w:rsidRPr="00812649">
              <w:rPr>
                <w:rFonts w:hint="default"/>
                <w:lang w:val="sk-SK"/>
              </w:rPr>
              <w:t>pecifikujte ovplyvnené</w:t>
            </w:r>
            <w:r w:rsidRPr="00812649">
              <w:rPr>
                <w:rFonts w:hint="default"/>
                <w:lang w:val="sk-SK"/>
              </w:rPr>
              <w:t xml:space="preserve"> skupiny domá</w:t>
            </w:r>
            <w:r w:rsidRPr="00812649">
              <w:rPr>
                <w:rFonts w:hint="default"/>
                <w:lang w:val="sk-SK"/>
              </w:rPr>
              <w:t>cností</w:t>
            </w:r>
            <w:r w:rsidRPr="00812649">
              <w:rPr>
                <w:rFonts w:hint="default"/>
                <w:lang w:val="sk-SK"/>
              </w:rPr>
              <w:t>, ktoré</w:t>
            </w:r>
            <w:r w:rsidRPr="00812649">
              <w:rPr>
                <w:rFonts w:hint="default"/>
                <w:lang w:val="sk-SK"/>
              </w:rPr>
              <w:t xml:space="preserve"> budú</w:t>
            </w:r>
            <w:r w:rsidRPr="00812649">
              <w:rPr>
                <w:rFonts w:hint="default"/>
                <w:lang w:val="sk-SK"/>
              </w:rPr>
              <w:t xml:space="preserve"> pozití</w:t>
            </w:r>
            <w:r w:rsidRPr="00812649">
              <w:rPr>
                <w:rFonts w:hint="default"/>
                <w:lang w:val="sk-SK"/>
              </w:rPr>
              <w:t>vne/negatí</w:t>
            </w:r>
            <w:r w:rsidRPr="00812649">
              <w:rPr>
                <w:rFonts w:hint="default"/>
                <w:lang w:val="sk-SK"/>
              </w:rPr>
              <w:t>vne ovplyvnené</w:t>
            </w:r>
            <w:r w:rsidRPr="00812649">
              <w:rPr>
                <w:rFonts w:hint="default"/>
                <w:lang w:val="sk-SK"/>
              </w:rPr>
              <w:t xml:space="preserve">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color w:val="000000"/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>Na zá</w:t>
            </w:r>
            <w:r w:rsidRPr="00812649">
              <w:rPr>
                <w:rFonts w:hint="default"/>
                <w:color w:val="000000"/>
                <w:lang w:val="sk-SK"/>
              </w:rPr>
              <w:t>klade ná</w:t>
            </w:r>
            <w:r w:rsidRPr="00812649">
              <w:rPr>
                <w:rFonts w:hint="default"/>
                <w:color w:val="000000"/>
                <w:lang w:val="sk-SK"/>
              </w:rPr>
              <w:t>vrhu zá</w:t>
            </w:r>
            <w:r w:rsidRPr="00812649">
              <w:rPr>
                <w:rFonts w:hint="default"/>
                <w:color w:val="000000"/>
                <w:lang w:val="sk-SK"/>
              </w:rPr>
              <w:t>kona je mož</w:t>
            </w:r>
            <w:r w:rsidRPr="00812649">
              <w:rPr>
                <w:rFonts w:hint="default"/>
                <w:color w:val="000000"/>
                <w:lang w:val="sk-SK"/>
              </w:rPr>
              <w:t>né</w:t>
            </w:r>
            <w:r w:rsidRPr="00812649">
              <w:rPr>
                <w:rFonts w:hint="default"/>
                <w:color w:val="000000"/>
                <w:lang w:val="sk-SK"/>
              </w:rPr>
              <w:t xml:space="preserve"> oč</w:t>
            </w:r>
            <w:r w:rsidRPr="00812649">
              <w:rPr>
                <w:rFonts w:hint="default"/>
                <w:color w:val="000000"/>
                <w:lang w:val="sk-SK"/>
              </w:rPr>
              <w:t>aká</w:t>
            </w:r>
            <w:r w:rsidRPr="00812649">
              <w:rPr>
                <w:rFonts w:hint="default"/>
                <w:color w:val="000000"/>
                <w:lang w:val="sk-SK"/>
              </w:rPr>
              <w:t>vať</w:t>
            </w:r>
            <w:r w:rsidRPr="00812649">
              <w:rPr>
                <w:rFonts w:hint="default"/>
                <w:color w:val="000000"/>
                <w:lang w:val="sk-SK"/>
              </w:rPr>
              <w:t xml:space="preserve"> pozití</w:t>
            </w:r>
            <w:r w:rsidRPr="00812649">
              <w:rPr>
                <w:rFonts w:hint="default"/>
                <w:color w:val="000000"/>
                <w:lang w:val="sk-SK"/>
              </w:rPr>
              <w:t>vny vplyv na hospodá</w:t>
            </w:r>
            <w:r w:rsidRPr="00812649">
              <w:rPr>
                <w:rFonts w:hint="default"/>
                <w:color w:val="000000"/>
                <w:lang w:val="sk-SK"/>
              </w:rPr>
              <w:t>renie domá</w:t>
            </w:r>
            <w:r w:rsidRPr="00812649">
              <w:rPr>
                <w:rFonts w:hint="default"/>
                <w:color w:val="000000"/>
                <w:lang w:val="sk-SK"/>
              </w:rPr>
              <w:t>cností</w:t>
            </w:r>
            <w:r w:rsidRPr="00812649">
              <w:rPr>
                <w:rFonts w:hint="default"/>
                <w:color w:val="000000"/>
                <w:lang w:val="sk-SK"/>
              </w:rPr>
              <w:t xml:space="preserve"> v </w:t>
            </w:r>
            <w:r w:rsidRPr="00812649">
              <w:rPr>
                <w:rFonts w:hint="default"/>
                <w:color w:val="000000"/>
                <w:lang w:val="sk-SK"/>
              </w:rPr>
              <w:t>dô</w:t>
            </w:r>
            <w:r w:rsidRPr="00812649">
              <w:rPr>
                <w:rFonts w:hint="default"/>
                <w:color w:val="000000"/>
                <w:lang w:val="sk-SK"/>
              </w:rPr>
              <w:t>sledku eliminá</w:t>
            </w:r>
            <w:r w:rsidRPr="00812649">
              <w:rPr>
                <w:rFonts w:hint="default"/>
                <w:color w:val="000000"/>
                <w:lang w:val="sk-SK"/>
              </w:rPr>
              <w:t>cie duplicitný</w:t>
            </w:r>
            <w:r w:rsidRPr="00812649">
              <w:rPr>
                <w:rFonts w:hint="default"/>
                <w:color w:val="000000"/>
                <w:lang w:val="sk-SK"/>
              </w:rPr>
              <w:t>ch a z</w:t>
            </w:r>
            <w:r w:rsidRPr="00812649">
              <w:rPr>
                <w:rFonts w:hint="default"/>
                <w:color w:val="000000"/>
                <w:lang w:val="sk-SK"/>
              </w:rPr>
              <w:t>bytoč</w:t>
            </w:r>
            <w:r w:rsidRPr="00812649">
              <w:rPr>
                <w:rFonts w:hint="default"/>
                <w:color w:val="000000"/>
                <w:lang w:val="sk-SK"/>
              </w:rPr>
              <w:t>ný</w:t>
            </w:r>
            <w:r w:rsidRPr="00812649">
              <w:rPr>
                <w:rFonts w:hint="default"/>
                <w:color w:val="000000"/>
                <w:lang w:val="sk-SK"/>
              </w:rPr>
              <w:t>ch zdravotný</w:t>
            </w:r>
            <w:r w:rsidRPr="00812649">
              <w:rPr>
                <w:rFonts w:hint="default"/>
                <w:color w:val="000000"/>
                <w:lang w:val="sk-SK"/>
              </w:rPr>
              <w:t>ch vý</w:t>
            </w:r>
            <w:r w:rsidRPr="00812649">
              <w:rPr>
                <w:rFonts w:hint="default"/>
                <w:color w:val="000000"/>
                <w:lang w:val="sk-SK"/>
              </w:rPr>
              <w:t>konov a </w:t>
            </w:r>
            <w:r w:rsidRPr="00812649">
              <w:rPr>
                <w:rFonts w:hint="default"/>
                <w:color w:val="000000"/>
                <w:lang w:val="sk-SK"/>
              </w:rPr>
              <w:t>predpí</w:t>
            </w:r>
            <w:r w:rsidRPr="00812649">
              <w:rPr>
                <w:rFonts w:hint="default"/>
                <w:color w:val="000000"/>
                <w:lang w:val="sk-SK"/>
              </w:rPr>
              <w:t>saný</w:t>
            </w:r>
            <w:r w:rsidRPr="00812649">
              <w:rPr>
                <w:rFonts w:hint="default"/>
                <w:color w:val="000000"/>
                <w:lang w:val="sk-SK"/>
              </w:rPr>
              <w:t>ch liekov, a teda v </w:t>
            </w:r>
            <w:r w:rsidRPr="00812649">
              <w:rPr>
                <w:rFonts w:hint="default"/>
                <w:color w:val="000000"/>
                <w:lang w:val="sk-SK"/>
              </w:rPr>
              <w:t>koneč</w:t>
            </w:r>
            <w:r w:rsidRPr="00812649">
              <w:rPr>
                <w:rFonts w:hint="default"/>
                <w:color w:val="000000"/>
                <w:lang w:val="sk-SK"/>
              </w:rPr>
              <w:t>nom dô</w:t>
            </w:r>
            <w:r w:rsidRPr="00812649">
              <w:rPr>
                <w:rFonts w:hint="default"/>
                <w:color w:val="000000"/>
                <w:lang w:val="sk-SK"/>
              </w:rPr>
              <w:t>sledku zníž</w:t>
            </w:r>
            <w:r w:rsidRPr="00812649">
              <w:rPr>
                <w:rFonts w:hint="default"/>
                <w:color w:val="000000"/>
                <w:lang w:val="sk-SK"/>
              </w:rPr>
              <w:t>enia spoluúč</w:t>
            </w:r>
            <w:r w:rsidRPr="00812649">
              <w:rPr>
                <w:rFonts w:hint="default"/>
                <w:color w:val="000000"/>
                <w:lang w:val="sk-SK"/>
              </w:rPr>
              <w:t>asti na zdravotný</w:t>
            </w:r>
            <w:r w:rsidRPr="00812649">
              <w:rPr>
                <w:rFonts w:hint="default"/>
                <w:color w:val="000000"/>
                <w:lang w:val="sk-SK"/>
              </w:rPr>
              <w:t>ch vý</w:t>
            </w:r>
            <w:r w:rsidRPr="00812649">
              <w:rPr>
                <w:rFonts w:hint="default"/>
                <w:color w:val="000000"/>
                <w:lang w:val="sk-SK"/>
              </w:rPr>
              <w:t>konoch a liekoch.</w:t>
            </w:r>
          </w:p>
          <w:p w:rsidR="00085767" w:rsidRPr="00812649" w:rsidP="00A76810">
            <w:pPr>
              <w:bidi w:val="0"/>
              <w:ind w:firstLine="420"/>
              <w:jc w:val="both"/>
              <w:rPr>
                <w:rFonts w:hint="default"/>
                <w:color w:val="000000"/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>Ná</w:t>
            </w:r>
            <w:r w:rsidRPr="00812649">
              <w:rPr>
                <w:rFonts w:hint="default"/>
                <w:color w:val="000000"/>
                <w:lang w:val="sk-SK"/>
              </w:rPr>
              <w:t>vrh zá</w:t>
            </w:r>
            <w:r w:rsidRPr="00812649">
              <w:rPr>
                <w:rFonts w:hint="default"/>
                <w:color w:val="000000"/>
                <w:lang w:val="sk-SK"/>
              </w:rPr>
              <w:t>kona predpokladá</w:t>
            </w:r>
            <w:r w:rsidRPr="00812649">
              <w:rPr>
                <w:rFonts w:hint="default"/>
                <w:color w:val="000000"/>
                <w:lang w:val="sk-SK"/>
              </w:rPr>
              <w:t xml:space="preserve"> vytvorenie </w:t>
            </w:r>
            <w:r w:rsidR="00A3528E">
              <w:rPr>
                <w:rFonts w:hint="default"/>
                <w:color w:val="000000"/>
                <w:lang w:val="sk-SK"/>
              </w:rPr>
              <w:t>Ná</w:t>
            </w:r>
            <w:r w:rsidR="00A3528E">
              <w:rPr>
                <w:rFonts w:hint="default"/>
                <w:color w:val="000000"/>
                <w:lang w:val="sk-SK"/>
              </w:rPr>
              <w:t>rodné</w:t>
            </w:r>
            <w:r w:rsidR="00A3528E">
              <w:rPr>
                <w:rFonts w:hint="default"/>
                <w:color w:val="000000"/>
                <w:lang w:val="sk-SK"/>
              </w:rPr>
              <w:t>ho zdravotní</w:t>
            </w:r>
            <w:r w:rsidR="00A3528E">
              <w:rPr>
                <w:rFonts w:hint="default"/>
                <w:color w:val="000000"/>
                <w:lang w:val="sk-SK"/>
              </w:rPr>
              <w:t xml:space="preserve">ckeho </w:t>
            </w:r>
            <w:r w:rsidRPr="00812649">
              <w:rPr>
                <w:rFonts w:hint="default"/>
                <w:color w:val="000000"/>
                <w:lang w:val="sk-SK"/>
              </w:rPr>
              <w:t>informač</w:t>
            </w:r>
            <w:r w:rsidRPr="00812649">
              <w:rPr>
                <w:rFonts w:hint="default"/>
                <w:color w:val="000000"/>
                <w:lang w:val="sk-SK"/>
              </w:rPr>
              <w:t>né</w:t>
            </w:r>
            <w:r w:rsidRPr="00812649">
              <w:rPr>
                <w:rFonts w:hint="default"/>
                <w:color w:val="000000"/>
                <w:lang w:val="sk-SK"/>
              </w:rPr>
              <w:t>ho systé</w:t>
            </w:r>
            <w:r w:rsidRPr="00812649">
              <w:rPr>
                <w:rFonts w:hint="default"/>
                <w:color w:val="000000"/>
                <w:lang w:val="sk-SK"/>
              </w:rPr>
              <w:t>mu, v </w:t>
            </w:r>
            <w:r w:rsidRPr="00812649">
              <w:rPr>
                <w:rFonts w:hint="default"/>
                <w:color w:val="000000"/>
                <w:lang w:val="sk-SK"/>
              </w:rPr>
              <w:t>ktorom sa bude evidovať</w:t>
            </w:r>
            <w:r w:rsidRPr="00812649">
              <w:rPr>
                <w:rFonts w:hint="default"/>
                <w:color w:val="000000"/>
                <w:lang w:val="sk-SK"/>
              </w:rPr>
              <w:t xml:space="preserve"> realizovaná</w:t>
            </w:r>
            <w:r w:rsidRPr="00812649">
              <w:rPr>
                <w:rFonts w:hint="default"/>
                <w:color w:val="000000"/>
                <w:lang w:val="sk-SK"/>
              </w:rPr>
              <w:t xml:space="preserve"> zdravotná</w:t>
            </w:r>
            <w:r w:rsidRPr="00812649">
              <w:rPr>
                <w:rFonts w:hint="default"/>
                <w:color w:val="000000"/>
                <w:lang w:val="sk-SK"/>
              </w:rPr>
              <w:t xml:space="preserve"> starostlivosť</w:t>
            </w:r>
            <w:r w:rsidRPr="00812649">
              <w:rPr>
                <w:rFonts w:hint="default"/>
                <w:color w:val="000000"/>
                <w:lang w:val="sk-SK"/>
              </w:rPr>
              <w:t xml:space="preserve"> o pacienta u </w:t>
            </w:r>
            <w:r w:rsidRPr="00812649">
              <w:rPr>
                <w:rFonts w:hint="default"/>
                <w:color w:val="000000"/>
                <w:lang w:val="sk-SK"/>
              </w:rPr>
              <w:t>vš</w:t>
            </w:r>
            <w:r w:rsidRPr="00812649">
              <w:rPr>
                <w:rFonts w:hint="default"/>
                <w:color w:val="000000"/>
                <w:lang w:val="sk-SK"/>
              </w:rPr>
              <w:t>etký</w:t>
            </w:r>
            <w:r w:rsidRPr="00812649">
              <w:rPr>
                <w:rFonts w:hint="default"/>
                <w:color w:val="000000"/>
                <w:lang w:val="sk-SK"/>
              </w:rPr>
              <w:t>ch poskytovateľ</w:t>
            </w:r>
            <w:r w:rsidRPr="00812649">
              <w:rPr>
                <w:rFonts w:hint="default"/>
                <w:color w:val="000000"/>
                <w:lang w:val="sk-SK"/>
              </w:rPr>
              <w:t>ov zdravotnej starostlivosti, čí</w:t>
            </w:r>
            <w:r w:rsidRPr="00812649">
              <w:rPr>
                <w:rFonts w:hint="default"/>
                <w:color w:val="000000"/>
                <w:lang w:val="sk-SK"/>
              </w:rPr>
              <w:t>m sa zvýš</w:t>
            </w:r>
            <w:r w:rsidRPr="00812649">
              <w:rPr>
                <w:rFonts w:hint="default"/>
                <w:color w:val="000000"/>
                <w:lang w:val="sk-SK"/>
              </w:rPr>
              <w:t>i informovanosť</w:t>
            </w:r>
            <w:r w:rsidRPr="00812649">
              <w:rPr>
                <w:rFonts w:hint="default"/>
                <w:color w:val="000000"/>
                <w:lang w:val="sk-SK"/>
              </w:rPr>
              <w:t xml:space="preserve"> leká</w:t>
            </w:r>
            <w:r w:rsidRPr="00812649">
              <w:rPr>
                <w:rFonts w:hint="default"/>
                <w:color w:val="000000"/>
                <w:lang w:val="sk-SK"/>
              </w:rPr>
              <w:t>ra o pacientovi, pacienta o </w:t>
            </w:r>
            <w:r w:rsidRPr="00812649">
              <w:rPr>
                <w:rFonts w:hint="default"/>
                <w:color w:val="000000"/>
                <w:lang w:val="sk-SK"/>
              </w:rPr>
              <w:t>jeho zdravotnom stave, ale aj transparentnosť</w:t>
            </w:r>
            <w:r w:rsidRPr="00812649">
              <w:rPr>
                <w:rFonts w:hint="default"/>
                <w:color w:val="000000"/>
                <w:lang w:val="sk-SK"/>
              </w:rPr>
              <w:t xml:space="preserve"> pri realizá</w:t>
            </w:r>
            <w:r w:rsidRPr="00812649">
              <w:rPr>
                <w:rFonts w:hint="default"/>
                <w:color w:val="000000"/>
                <w:lang w:val="sk-SK"/>
              </w:rPr>
              <w:t>cii a uhrá</w:t>
            </w:r>
            <w:r w:rsidRPr="00812649">
              <w:rPr>
                <w:rFonts w:hint="default"/>
                <w:color w:val="000000"/>
                <w:lang w:val="sk-SK"/>
              </w:rPr>
              <w:t>dzaní</w:t>
            </w:r>
            <w:r w:rsidRPr="00812649">
              <w:rPr>
                <w:rFonts w:hint="default"/>
                <w:color w:val="000000"/>
                <w:lang w:val="sk-SK"/>
              </w:rPr>
              <w:t xml:space="preserve"> zdravotnej starostlivosti.</w:t>
            </w:r>
          </w:p>
          <w:p w:rsidR="00085767" w:rsidRPr="00812649" w:rsidP="00DD5D8C">
            <w:pPr>
              <w:bidi w:val="0"/>
              <w:ind w:firstLine="420"/>
              <w:jc w:val="both"/>
              <w:rPr>
                <w:lang w:val="sk-SK"/>
              </w:rPr>
            </w:pPr>
            <w:r w:rsidRPr="00812649" w:rsidR="002746E0">
              <w:rPr>
                <w:rFonts w:hint="default"/>
                <w:color w:val="000000"/>
                <w:lang w:val="sk-SK"/>
              </w:rPr>
              <w:t>Ná</w:t>
            </w:r>
            <w:r w:rsidRPr="00812649" w:rsidR="002746E0">
              <w:rPr>
                <w:rFonts w:hint="default"/>
                <w:color w:val="000000"/>
                <w:lang w:val="sk-SK"/>
              </w:rPr>
              <w:t>vrh zá</w:t>
            </w:r>
            <w:r w:rsidRPr="00812649" w:rsidR="002746E0">
              <w:rPr>
                <w:rFonts w:hint="default"/>
                <w:color w:val="000000"/>
                <w:lang w:val="sk-SK"/>
              </w:rPr>
              <w:t>kona umožň</w:t>
            </w:r>
            <w:r w:rsidRPr="00812649" w:rsidR="002746E0">
              <w:rPr>
                <w:rFonts w:hint="default"/>
                <w:color w:val="000000"/>
                <w:lang w:val="sk-SK"/>
              </w:rPr>
              <w:t>uje prí</w:t>
            </w:r>
            <w:r w:rsidRPr="00812649" w:rsidR="002746E0">
              <w:rPr>
                <w:rFonts w:hint="default"/>
                <w:color w:val="000000"/>
                <w:lang w:val="sk-SK"/>
              </w:rPr>
              <w:t>stup obč</w:t>
            </w:r>
            <w:r w:rsidRPr="00812649" w:rsidR="002746E0">
              <w:rPr>
                <w:rFonts w:hint="default"/>
                <w:color w:val="000000"/>
                <w:lang w:val="sk-SK"/>
              </w:rPr>
              <w:t xml:space="preserve">ana </w:t>
            </w:r>
            <w:r w:rsidRPr="00812649" w:rsidR="001C2A4E">
              <w:rPr>
                <w:color w:val="000000"/>
                <w:lang w:val="sk-SK"/>
              </w:rPr>
              <w:t xml:space="preserve">k </w:t>
            </w:r>
            <w:r w:rsidRPr="00812649" w:rsidR="002D793F">
              <w:rPr>
                <w:rFonts w:hint="default"/>
                <w:color w:val="000000"/>
                <w:lang w:val="sk-SK"/>
              </w:rPr>
              <w:t>vybraný</w:t>
            </w:r>
            <w:r w:rsidRPr="00812649" w:rsidR="002D793F">
              <w:rPr>
                <w:rFonts w:hint="default"/>
                <w:color w:val="000000"/>
                <w:lang w:val="sk-SK"/>
              </w:rPr>
              <w:t>m</w:t>
            </w:r>
            <w:r w:rsidRPr="00812649" w:rsidR="002746E0">
              <w:rPr>
                <w:color w:val="000000"/>
                <w:lang w:val="sk-SK"/>
              </w:rPr>
              <w:t> </w:t>
            </w:r>
            <w:r w:rsidRPr="00812649" w:rsidR="002746E0">
              <w:rPr>
                <w:rFonts w:hint="default"/>
                <w:color w:val="000000"/>
                <w:lang w:val="sk-SK"/>
              </w:rPr>
              <w:t>elektronický</w:t>
            </w:r>
            <w:r w:rsidRPr="00812649" w:rsidR="002746E0">
              <w:rPr>
                <w:rFonts w:hint="default"/>
                <w:color w:val="000000"/>
                <w:lang w:val="sk-SK"/>
              </w:rPr>
              <w:t>m služ</w:t>
            </w:r>
            <w:r w:rsidRPr="00812649" w:rsidR="002746E0">
              <w:rPr>
                <w:rFonts w:hint="default"/>
                <w:color w:val="000000"/>
                <w:lang w:val="sk-SK"/>
              </w:rPr>
              <w:t>bá</w:t>
            </w:r>
            <w:r w:rsidRPr="00812649" w:rsidR="002746E0">
              <w:rPr>
                <w:rFonts w:hint="default"/>
                <w:color w:val="000000"/>
                <w:lang w:val="sk-SK"/>
              </w:rPr>
              <w:t>m prostrední</w:t>
            </w:r>
            <w:r w:rsidRPr="00812649" w:rsidR="002746E0">
              <w:rPr>
                <w:rFonts w:hint="default"/>
                <w:color w:val="000000"/>
                <w:lang w:val="sk-SK"/>
              </w:rPr>
              <w:t>ctvom Ná</w:t>
            </w:r>
            <w:r w:rsidRPr="00812649" w:rsidR="002746E0">
              <w:rPr>
                <w:rFonts w:hint="default"/>
                <w:color w:val="000000"/>
                <w:lang w:val="sk-SK"/>
              </w:rPr>
              <w:t>rodn</w:t>
            </w:r>
            <w:r w:rsidRPr="00812649" w:rsidR="002D793F">
              <w:rPr>
                <w:rFonts w:hint="default"/>
                <w:color w:val="000000"/>
                <w:lang w:val="sk-SK"/>
              </w:rPr>
              <w:t>é</w:t>
            </w:r>
            <w:r w:rsidRPr="00812649" w:rsidR="002D793F">
              <w:rPr>
                <w:rFonts w:hint="default"/>
                <w:color w:val="000000"/>
                <w:lang w:val="sk-SK"/>
              </w:rPr>
              <w:t>ho</w:t>
            </w:r>
            <w:r w:rsidRPr="00812649" w:rsidR="002746E0">
              <w:rPr>
                <w:rFonts w:hint="default"/>
                <w:color w:val="000000"/>
                <w:lang w:val="sk-SK"/>
              </w:rPr>
              <w:t xml:space="preserve"> portá</w:t>
            </w:r>
            <w:r w:rsidRPr="00812649" w:rsidR="002746E0">
              <w:rPr>
                <w:rFonts w:hint="default"/>
                <w:color w:val="000000"/>
                <w:lang w:val="sk-SK"/>
              </w:rPr>
              <w:t>l</w:t>
            </w:r>
            <w:r w:rsidRPr="00812649" w:rsidR="002D793F">
              <w:rPr>
                <w:color w:val="000000"/>
                <w:lang w:val="sk-SK"/>
              </w:rPr>
              <w:t>u</w:t>
            </w:r>
            <w:r w:rsidRPr="00812649" w:rsidR="002746E0">
              <w:rPr>
                <w:color w:val="000000"/>
                <w:lang w:val="sk-SK"/>
              </w:rPr>
              <w:t xml:space="preserve"> zdravia (NPZ)</w:t>
            </w:r>
            <w:r w:rsidRPr="00812649" w:rsidR="002D793F">
              <w:rPr>
                <w:rFonts w:hint="default"/>
                <w:color w:val="000000"/>
                <w:lang w:val="sk-SK"/>
              </w:rPr>
              <w:t>. Vzhľ</w:t>
            </w:r>
            <w:r w:rsidRPr="00812649" w:rsidR="002D793F">
              <w:rPr>
                <w:rFonts w:hint="default"/>
                <w:color w:val="000000"/>
                <w:lang w:val="sk-SK"/>
              </w:rPr>
              <w:t>adom na citlivosť</w:t>
            </w:r>
            <w:r w:rsidRPr="00812649" w:rsidR="002D793F">
              <w:rPr>
                <w:rFonts w:hint="default"/>
                <w:color w:val="000000"/>
                <w:lang w:val="sk-SK"/>
              </w:rPr>
              <w:t xml:space="preserve"> poskytovaný</w:t>
            </w:r>
            <w:r w:rsidRPr="00812649" w:rsidR="002D793F">
              <w:rPr>
                <w:rFonts w:hint="default"/>
                <w:color w:val="000000"/>
                <w:lang w:val="sk-SK"/>
              </w:rPr>
              <w:t>ch ú</w:t>
            </w:r>
            <w:r w:rsidRPr="00812649" w:rsidR="002D793F">
              <w:rPr>
                <w:rFonts w:hint="default"/>
                <w:color w:val="000000"/>
                <w:lang w:val="sk-SK"/>
              </w:rPr>
              <w:t>dajov je</w:t>
            </w:r>
            <w:r w:rsidRPr="00812649" w:rsidR="00261AB5">
              <w:rPr>
                <w:rFonts w:hint="default"/>
                <w:color w:val="000000"/>
                <w:lang w:val="sk-SK"/>
              </w:rPr>
              <w:t xml:space="preserve"> pre prí</w:t>
            </w:r>
            <w:r w:rsidRPr="00812649" w:rsidR="00261AB5">
              <w:rPr>
                <w:rFonts w:hint="default"/>
                <w:color w:val="000000"/>
                <w:lang w:val="sk-SK"/>
              </w:rPr>
              <w:t>stup k </w:t>
            </w:r>
            <w:r w:rsidRPr="00812649" w:rsidR="00261AB5">
              <w:rPr>
                <w:rFonts w:hint="default"/>
                <w:color w:val="000000"/>
                <w:lang w:val="sk-SK"/>
              </w:rPr>
              <w:t>tý</w:t>
            </w:r>
            <w:r w:rsidRPr="00812649" w:rsidR="00261AB5">
              <w:rPr>
                <w:rFonts w:hint="default"/>
                <w:color w:val="000000"/>
                <w:lang w:val="sk-SK"/>
              </w:rPr>
              <w:t>m to ú</w:t>
            </w:r>
            <w:r w:rsidRPr="00812649" w:rsidR="00261AB5">
              <w:rPr>
                <w:rFonts w:hint="default"/>
                <w:color w:val="000000"/>
                <w:lang w:val="sk-SK"/>
              </w:rPr>
              <w:t>dajom</w:t>
            </w:r>
            <w:r w:rsidRPr="00812649" w:rsidR="002D793F">
              <w:rPr>
                <w:rFonts w:hint="default"/>
                <w:color w:val="000000"/>
                <w:lang w:val="sk-SK"/>
              </w:rPr>
              <w:t xml:space="preserve"> vyž</w:t>
            </w:r>
            <w:r w:rsidRPr="00812649" w:rsidR="002D793F">
              <w:rPr>
                <w:rFonts w:hint="default"/>
                <w:color w:val="000000"/>
                <w:lang w:val="sk-SK"/>
              </w:rPr>
              <w:t>adovaná</w:t>
            </w:r>
            <w:r w:rsidRPr="00812649" w:rsidR="002D793F">
              <w:rPr>
                <w:rFonts w:hint="default"/>
                <w:color w:val="000000"/>
                <w:lang w:val="sk-SK"/>
              </w:rPr>
              <w:t xml:space="preserve"> identifiká</w:t>
            </w:r>
            <w:r w:rsidRPr="00812649" w:rsidR="002D793F">
              <w:rPr>
                <w:rFonts w:hint="default"/>
                <w:color w:val="000000"/>
                <w:lang w:val="sk-SK"/>
              </w:rPr>
              <w:t>cia osoby prostrední</w:t>
            </w:r>
            <w:r w:rsidRPr="00812649" w:rsidR="002D793F">
              <w:rPr>
                <w:rFonts w:hint="default"/>
                <w:color w:val="000000"/>
                <w:lang w:val="sk-SK"/>
              </w:rPr>
              <w:t>ctvom elektronické</w:t>
            </w:r>
            <w:r w:rsidRPr="00812649" w:rsidR="002D793F">
              <w:rPr>
                <w:rFonts w:hint="default"/>
                <w:color w:val="000000"/>
                <w:lang w:val="sk-SK"/>
              </w:rPr>
              <w:t xml:space="preserve">ho preukazu </w:t>
            </w:r>
            <w:r w:rsidRPr="00812649" w:rsidR="002D793F">
              <w:rPr>
                <w:rFonts w:hint="default"/>
                <w:color w:val="000000"/>
                <w:lang w:val="sk-SK"/>
              </w:rPr>
              <w:t>poistenca. Využí</w:t>
            </w:r>
            <w:r w:rsidRPr="00812649" w:rsidR="002D793F">
              <w:rPr>
                <w:rFonts w:hint="default"/>
                <w:color w:val="000000"/>
                <w:lang w:val="sk-SK"/>
              </w:rPr>
              <w:t>vanie tý</w:t>
            </w:r>
            <w:r w:rsidRPr="00812649" w:rsidR="002D793F">
              <w:rPr>
                <w:rFonts w:hint="default"/>
                <w:color w:val="000000"/>
                <w:lang w:val="sk-SK"/>
              </w:rPr>
              <w:t>chto služ</w:t>
            </w:r>
            <w:r w:rsidRPr="00812649" w:rsidR="002D793F">
              <w:rPr>
                <w:rFonts w:hint="default"/>
                <w:color w:val="000000"/>
                <w:lang w:val="sk-SK"/>
              </w:rPr>
              <w:t>ieb v </w:t>
            </w:r>
            <w:r w:rsidRPr="00812649" w:rsidR="002D793F">
              <w:rPr>
                <w:rFonts w:hint="default"/>
                <w:color w:val="000000"/>
                <w:lang w:val="sk-SK"/>
              </w:rPr>
              <w:t>domá</w:t>
            </w:r>
            <w:r w:rsidRPr="00812649" w:rsidR="002D793F">
              <w:rPr>
                <w:rFonts w:hint="default"/>
                <w:color w:val="000000"/>
                <w:lang w:val="sk-SK"/>
              </w:rPr>
              <w:t>cnostiach bude</w:t>
            </w:r>
            <w:r w:rsidRPr="00812649" w:rsidR="00261AB5">
              <w:rPr>
                <w:color w:val="000000"/>
                <w:lang w:val="sk-SK"/>
              </w:rPr>
              <w:t xml:space="preserve"> preto</w:t>
            </w:r>
            <w:r w:rsidRPr="00812649" w:rsidR="002D793F">
              <w:rPr>
                <w:rFonts w:hint="default"/>
                <w:color w:val="000000"/>
                <w:lang w:val="sk-SK"/>
              </w:rPr>
              <w:t xml:space="preserve"> podmienené</w:t>
            </w:r>
            <w:r w:rsidRPr="00812649" w:rsidR="002D793F">
              <w:rPr>
                <w:rFonts w:hint="default"/>
                <w:color w:val="000000"/>
                <w:lang w:val="sk-SK"/>
              </w:rPr>
              <w:t xml:space="preserve"> </w:t>
            </w:r>
            <w:r w:rsidR="001C2A4E">
              <w:rPr>
                <w:rFonts w:hint="default"/>
                <w:color w:val="000000"/>
                <w:lang w:val="sk-SK"/>
              </w:rPr>
              <w:t>počí</w:t>
            </w:r>
            <w:r w:rsidR="001C2A4E">
              <w:rPr>
                <w:rFonts w:hint="default"/>
                <w:color w:val="000000"/>
                <w:lang w:val="sk-SK"/>
              </w:rPr>
              <w:t>tač</w:t>
            </w:r>
            <w:r w:rsidR="001C2A4E">
              <w:rPr>
                <w:rFonts w:hint="default"/>
                <w:color w:val="000000"/>
                <w:lang w:val="sk-SK"/>
              </w:rPr>
              <w:t>om s </w:t>
            </w:r>
            <w:r w:rsidR="001C2A4E">
              <w:rPr>
                <w:rFonts w:hint="default"/>
                <w:color w:val="000000"/>
                <w:lang w:val="sk-SK"/>
              </w:rPr>
              <w:t>pripojení</w:t>
            </w:r>
            <w:r w:rsidR="001C2A4E">
              <w:rPr>
                <w:rFonts w:hint="default"/>
                <w:color w:val="000000"/>
                <w:lang w:val="sk-SK"/>
              </w:rPr>
              <w:t>m na internet a čí</w:t>
            </w:r>
            <w:r w:rsidR="001C2A4E">
              <w:rPr>
                <w:rFonts w:hint="default"/>
                <w:color w:val="000000"/>
                <w:lang w:val="sk-SK"/>
              </w:rPr>
              <w:t>tač</w:t>
            </w:r>
            <w:r w:rsidR="001C2A4E">
              <w:rPr>
                <w:rFonts w:hint="default"/>
                <w:color w:val="000000"/>
                <w:lang w:val="sk-SK"/>
              </w:rPr>
              <w:t>kou</w:t>
            </w:r>
            <w:r w:rsidRPr="00812649" w:rsidR="002D793F">
              <w:rPr>
                <w:color w:val="000000"/>
                <w:lang w:val="sk-SK"/>
              </w:rPr>
              <w:t xml:space="preserve"> ele</w:t>
            </w:r>
            <w:r w:rsidR="001C2A4E">
              <w:rPr>
                <w:color w:val="000000"/>
                <w:lang w:val="sk-SK"/>
              </w:rPr>
              <w:t>kt</w:t>
            </w:r>
            <w:r w:rsidRPr="00812649" w:rsidR="002D793F">
              <w:rPr>
                <w:rFonts w:hint="default"/>
                <w:color w:val="000000"/>
                <w:lang w:val="sk-SK"/>
              </w:rPr>
              <w:t>ronický</w:t>
            </w:r>
            <w:r w:rsidRPr="00812649" w:rsidR="002D793F">
              <w:rPr>
                <w:rFonts w:hint="default"/>
                <w:color w:val="000000"/>
                <w:lang w:val="sk-SK"/>
              </w:rPr>
              <w:t>ch kariet</w:t>
            </w:r>
            <w:r w:rsidR="001C2A4E">
              <w:rPr>
                <w:color w:val="000000"/>
                <w:lang w:val="sk-SK"/>
              </w:rPr>
              <w:t>. C</w:t>
            </w:r>
            <w:r w:rsidRPr="00812649" w:rsidR="002D793F">
              <w:rPr>
                <w:color w:val="000000"/>
                <w:lang w:val="sk-SK"/>
              </w:rPr>
              <w:t>en</w:t>
            </w:r>
            <w:r w:rsidR="001C2A4E">
              <w:rPr>
                <w:rFonts w:hint="default"/>
                <w:color w:val="000000"/>
                <w:lang w:val="sk-SK"/>
              </w:rPr>
              <w:t>a čí</w:t>
            </w:r>
            <w:r w:rsidR="001C2A4E">
              <w:rPr>
                <w:rFonts w:hint="default"/>
                <w:color w:val="000000"/>
                <w:lang w:val="sk-SK"/>
              </w:rPr>
              <w:t>tač</w:t>
            </w:r>
            <w:r w:rsidR="001C2A4E">
              <w:rPr>
                <w:rFonts w:hint="default"/>
                <w:color w:val="000000"/>
                <w:lang w:val="sk-SK"/>
              </w:rPr>
              <w:t>ky je</w:t>
            </w:r>
            <w:r w:rsidRPr="00812649" w:rsidR="002D793F">
              <w:rPr>
                <w:rFonts w:hint="default"/>
                <w:color w:val="000000"/>
                <w:lang w:val="sk-SK"/>
              </w:rPr>
              <w:t xml:space="preserve"> cca 7 €.</w:t>
            </w:r>
            <w:r w:rsidR="001C2A4E">
              <w:rPr>
                <w:rFonts w:hint="default"/>
                <w:color w:val="000000"/>
                <w:lang w:val="sk-SK"/>
              </w:rPr>
              <w:t xml:space="preserve"> Ď</w:t>
            </w:r>
            <w:r w:rsidR="001C2A4E">
              <w:rPr>
                <w:rFonts w:hint="default"/>
                <w:color w:val="000000"/>
                <w:lang w:val="sk-SK"/>
              </w:rPr>
              <w:t>alš</w:t>
            </w:r>
            <w:r w:rsidR="001C2A4E">
              <w:rPr>
                <w:rFonts w:hint="default"/>
                <w:color w:val="000000"/>
                <w:lang w:val="sk-SK"/>
              </w:rPr>
              <w:t>ou mož</w:t>
            </w:r>
            <w:r w:rsidR="001C2A4E">
              <w:rPr>
                <w:rFonts w:hint="default"/>
                <w:color w:val="000000"/>
                <w:lang w:val="sk-SK"/>
              </w:rPr>
              <w:t>nosť</w:t>
            </w:r>
            <w:r w:rsidR="001C2A4E">
              <w:rPr>
                <w:rFonts w:hint="default"/>
                <w:color w:val="000000"/>
                <w:lang w:val="sk-SK"/>
              </w:rPr>
              <w:t>ou  prí</w:t>
            </w:r>
            <w:r w:rsidR="001C2A4E">
              <w:rPr>
                <w:rFonts w:hint="default"/>
                <w:color w:val="000000"/>
                <w:lang w:val="sk-SK"/>
              </w:rPr>
              <w:t>stupu k </w:t>
            </w:r>
            <w:r w:rsidR="001C2A4E">
              <w:rPr>
                <w:rFonts w:hint="default"/>
                <w:color w:val="000000"/>
                <w:lang w:val="sk-SK"/>
              </w:rPr>
              <w:t>uvedený</w:t>
            </w:r>
            <w:r w:rsidR="001C2A4E">
              <w:rPr>
                <w:rFonts w:hint="default"/>
                <w:color w:val="000000"/>
                <w:lang w:val="sk-SK"/>
              </w:rPr>
              <w:t>m informá</w:t>
            </w:r>
            <w:r w:rsidR="001C2A4E">
              <w:rPr>
                <w:rFonts w:hint="default"/>
                <w:color w:val="000000"/>
                <w:lang w:val="sk-SK"/>
              </w:rPr>
              <w:t>ciá</w:t>
            </w:r>
            <w:r w:rsidR="001C2A4E">
              <w:rPr>
                <w:rFonts w:hint="default"/>
                <w:color w:val="000000"/>
                <w:lang w:val="sk-SK"/>
              </w:rPr>
              <w:t>m bude prostrední</w:t>
            </w:r>
            <w:r w:rsidR="001C2A4E">
              <w:rPr>
                <w:rFonts w:hint="default"/>
                <w:color w:val="000000"/>
                <w:lang w:val="sk-SK"/>
              </w:rPr>
              <w:t>ctvom integrovaný</w:t>
            </w:r>
            <w:r w:rsidR="001C2A4E">
              <w:rPr>
                <w:rFonts w:hint="default"/>
                <w:color w:val="000000"/>
                <w:lang w:val="sk-SK"/>
              </w:rPr>
              <w:t>ch ob</w:t>
            </w:r>
            <w:r w:rsidR="001C2A4E">
              <w:rPr>
                <w:rFonts w:hint="default"/>
                <w:color w:val="000000"/>
                <w:lang w:val="sk-SK"/>
              </w:rPr>
              <w:t>služ</w:t>
            </w:r>
            <w:r w:rsidR="001C2A4E">
              <w:rPr>
                <w:rFonts w:hint="default"/>
                <w:color w:val="000000"/>
                <w:lang w:val="sk-SK"/>
              </w:rPr>
              <w:t>ný</w:t>
            </w:r>
            <w:r w:rsidR="001C2A4E">
              <w:rPr>
                <w:rFonts w:hint="default"/>
                <w:color w:val="000000"/>
                <w:lang w:val="sk-SK"/>
              </w:rPr>
              <w:t>ch miest, ktoré</w:t>
            </w:r>
            <w:r w:rsidR="001C2A4E">
              <w:rPr>
                <w:rFonts w:hint="default"/>
                <w:color w:val="000000"/>
                <w:lang w:val="sk-SK"/>
              </w:rPr>
              <w:t xml:space="preserve"> sa plá</w:t>
            </w:r>
            <w:r w:rsidR="001C2A4E">
              <w:rPr>
                <w:rFonts w:hint="default"/>
                <w:color w:val="000000"/>
                <w:lang w:val="sk-SK"/>
              </w:rPr>
              <w:t>nujú</w:t>
            </w:r>
            <w:r w:rsidR="001C2A4E">
              <w:rPr>
                <w:rFonts w:hint="default"/>
                <w:color w:val="000000"/>
                <w:lang w:val="sk-SK"/>
              </w:rPr>
              <w:t xml:space="preserve"> vybudovať</w:t>
            </w:r>
            <w:r w:rsidR="001C2A4E">
              <w:rPr>
                <w:rFonts w:hint="default"/>
                <w:color w:val="000000"/>
                <w:lang w:val="sk-SK"/>
              </w:rPr>
              <w:t xml:space="preserve"> v </w:t>
            </w:r>
            <w:r w:rsidR="001C2A4E">
              <w:rPr>
                <w:rFonts w:hint="default"/>
                <w:color w:val="000000"/>
                <w:lang w:val="sk-SK"/>
              </w:rPr>
              <w:t>rá</w:t>
            </w:r>
            <w:r w:rsidR="001C2A4E">
              <w:rPr>
                <w:rFonts w:hint="default"/>
                <w:color w:val="000000"/>
                <w:lang w:val="sk-SK"/>
              </w:rPr>
              <w:t>mci eGOV aktiví</w:t>
            </w:r>
            <w:r w:rsidR="001C2A4E">
              <w:rPr>
                <w:rFonts w:hint="default"/>
                <w:color w:val="000000"/>
                <w:lang w:val="sk-SK"/>
              </w:rPr>
              <w:t>t.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lang w:val="sk-SK"/>
              </w:rPr>
            </w:pPr>
            <w:r w:rsidRPr="00812649" w:rsidR="002D793F">
              <w:rPr>
                <w:lang w:val="sk-SK"/>
              </w:rPr>
              <w:t xml:space="preserve"> z </w:t>
            </w:r>
            <w:r w:rsidRPr="00812649" w:rsidR="002D793F">
              <w:rPr>
                <w:rFonts w:hint="default"/>
                <w:lang w:val="sk-SK"/>
              </w:rPr>
              <w:t>prostredia domá</w:t>
            </w:r>
            <w:r w:rsidRPr="00812649" w:rsidR="002D793F">
              <w:rPr>
                <w:rFonts w:hint="default"/>
                <w:lang w:val="sk-SK"/>
              </w:rPr>
              <w:t>cností</w:t>
            </w:r>
            <w:r w:rsidRPr="00812649" w:rsidR="002D793F">
              <w:rPr>
                <w:rFonts w:hint="default"/>
                <w:lang w:val="sk-SK"/>
              </w:rPr>
              <w:t xml:space="preserve"> bude predtsavovaľ</w:t>
            </w:r>
            <w:r w:rsidRPr="00812649">
              <w:rPr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Nie je mož</w:t>
            </w:r>
            <w:r w:rsidRPr="00812649">
              <w:rPr>
                <w:rFonts w:hint="default"/>
                <w:lang w:val="sk-SK"/>
              </w:rPr>
              <w:t>né</w:t>
            </w:r>
            <w:r w:rsidRPr="00812649">
              <w:rPr>
                <w:rFonts w:hint="default"/>
                <w:lang w:val="sk-SK"/>
              </w:rPr>
              <w:t xml:space="preserve"> exaktne kvantifikovať.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pStyle w:val="ListParagraph"/>
              <w:numPr>
                <w:numId w:val="4"/>
              </w:numPr>
              <w:tabs>
                <w:tab w:val="left" w:pos="532"/>
              </w:tabs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Rast alebo pokles prí</w:t>
            </w:r>
            <w:r w:rsidRPr="00812649">
              <w:rPr>
                <w:rFonts w:hint="default"/>
                <w:lang w:val="sk-SK"/>
              </w:rPr>
              <w:t>jmov/vý</w:t>
            </w:r>
            <w:r w:rsidRPr="00812649">
              <w:rPr>
                <w:rFonts w:hint="default"/>
                <w:lang w:val="sk-SK"/>
              </w:rPr>
              <w:t>davkov            na priemerné</w:t>
            </w:r>
            <w:r w:rsidRPr="00812649">
              <w:rPr>
                <w:rFonts w:hint="default"/>
                <w:lang w:val="sk-SK"/>
              </w:rPr>
              <w:t>ho obyvateľ</w:t>
            </w:r>
            <w:r w:rsidRPr="00812649">
              <w:rPr>
                <w:rFonts w:hint="default"/>
                <w:lang w:val="sk-SK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pStyle w:val="ListParagraph"/>
              <w:numPr>
                <w:numId w:val="4"/>
              </w:numPr>
              <w:tabs>
                <w:tab w:val="left" w:pos="532"/>
              </w:tabs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Rast alebo pokles prí</w:t>
            </w:r>
            <w:r w:rsidRPr="00812649">
              <w:rPr>
                <w:rFonts w:hint="default"/>
                <w:lang w:val="sk-SK"/>
              </w:rPr>
              <w:t>j</w:t>
            </w:r>
            <w:r w:rsidRPr="00812649">
              <w:rPr>
                <w:rFonts w:hint="default"/>
                <w:lang w:val="sk-SK"/>
              </w:rPr>
              <w:t>mov/vý</w:t>
            </w:r>
            <w:r w:rsidRPr="00812649">
              <w:rPr>
                <w:rFonts w:hint="default"/>
                <w:lang w:val="sk-SK"/>
              </w:rPr>
              <w:t>davkov                  za jednotlivé</w:t>
            </w:r>
            <w:r w:rsidRPr="00812649">
              <w:rPr>
                <w:rFonts w:hint="default"/>
                <w:lang w:val="sk-SK"/>
              </w:rPr>
              <w:t xml:space="preserve"> ovplyvnené</w:t>
            </w:r>
            <w:r w:rsidRPr="00812649">
              <w:rPr>
                <w:rFonts w:hint="default"/>
                <w:lang w:val="sk-SK"/>
              </w:rPr>
              <w:t xml:space="preserve">  skupiny domá</w:t>
            </w:r>
            <w:r w:rsidRPr="00812649">
              <w:rPr>
                <w:rFonts w:hint="default"/>
                <w:lang w:val="sk-SK"/>
              </w:rPr>
              <w:t>cností</w:t>
            </w:r>
          </w:p>
          <w:p w:rsidR="00085767" w:rsidRPr="00812649" w:rsidP="00A76810">
            <w:pPr>
              <w:pStyle w:val="ListParagraph"/>
              <w:numPr>
                <w:numId w:val="4"/>
              </w:numPr>
              <w:tabs>
                <w:tab w:val="left" w:pos="532"/>
              </w:tabs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Celkový</w:t>
            </w:r>
            <w:r w:rsidRPr="00812649">
              <w:rPr>
                <w:rFonts w:hint="default"/>
                <w:lang w:val="sk-SK"/>
              </w:rPr>
              <w:t xml:space="preserve"> poč</w:t>
            </w:r>
            <w:r w:rsidRPr="00812649">
              <w:rPr>
                <w:rFonts w:hint="default"/>
                <w:lang w:val="sk-SK"/>
              </w:rPr>
              <w:t>et obyvateľ</w:t>
            </w:r>
            <w:r w:rsidRPr="00812649">
              <w:rPr>
                <w:rFonts w:hint="default"/>
                <w:lang w:val="sk-SK"/>
              </w:rPr>
              <w:t>stva/domá</w:t>
            </w:r>
            <w:r w:rsidRPr="00812649">
              <w:rPr>
                <w:rFonts w:hint="default"/>
                <w:lang w:val="sk-SK"/>
              </w:rPr>
              <w:t>cností</w:t>
            </w:r>
            <w:r w:rsidRPr="00812649">
              <w:rPr>
                <w:rFonts w:hint="default"/>
                <w:lang w:val="sk-SK"/>
              </w:rPr>
              <w:t xml:space="preserve"> ovplyvnený</w:t>
            </w:r>
            <w:r w:rsidRPr="00812649">
              <w:rPr>
                <w:rFonts w:hint="default"/>
                <w:lang w:val="sk-SK"/>
              </w:rPr>
              <w:t>ch predkladaný</w:t>
            </w:r>
            <w:r w:rsidRPr="00812649">
              <w:rPr>
                <w:rFonts w:hint="default"/>
                <w:lang w:val="sk-SK"/>
              </w:rPr>
              <w:t>m materiá</w:t>
            </w:r>
            <w:r w:rsidRPr="00812649">
              <w:rPr>
                <w:rFonts w:hint="default"/>
                <w:lang w:val="sk-SK"/>
              </w:rPr>
              <w:t>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ind w:firstLine="360" w:firstLineChars="300"/>
              <w:jc w:val="both"/>
              <w:rPr>
                <w:sz w:val="12"/>
                <w:lang w:val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tabs>
                <w:tab w:val="left" w:pos="469"/>
              </w:tabs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4.2.</w:t>
            </w:r>
            <w:r w:rsidRPr="00812649">
              <w:rPr>
                <w:lang w:val="sk-SK"/>
              </w:rPr>
              <w:tab/>
            </w:r>
            <w:r w:rsidRPr="00812649">
              <w:rPr>
                <w:rFonts w:hint="default"/>
                <w:lang w:val="sk-SK"/>
              </w:rPr>
              <w:t>Zhodnoť</w:t>
            </w:r>
            <w:r w:rsidRPr="00812649">
              <w:rPr>
                <w:rFonts w:hint="default"/>
                <w:lang w:val="sk-SK"/>
              </w:rPr>
              <w:t>te kvalitatí</w:t>
            </w:r>
            <w:r w:rsidRPr="00812649">
              <w:rPr>
                <w:rFonts w:hint="default"/>
                <w:lang w:val="sk-SK"/>
              </w:rPr>
              <w:t>vne (prí</w:t>
            </w:r>
            <w:r w:rsidRPr="00812649">
              <w:rPr>
                <w:rFonts w:hint="default"/>
                <w:lang w:val="sk-SK"/>
              </w:rPr>
              <w:t>padne kvantitatí</w:t>
            </w:r>
            <w:r w:rsidRPr="00812649">
              <w:rPr>
                <w:rFonts w:hint="default"/>
                <w:lang w:val="sk-SK"/>
              </w:rPr>
              <w:t>vne) vplyvy na prí</w:t>
            </w:r>
            <w:r w:rsidRPr="00812649">
              <w:rPr>
                <w:rFonts w:hint="default"/>
                <w:lang w:val="sk-SK"/>
              </w:rPr>
              <w:t>stup k </w:t>
            </w:r>
            <w:r w:rsidRPr="00812649">
              <w:rPr>
                <w:rFonts w:hint="default"/>
                <w:lang w:val="sk-SK"/>
              </w:rPr>
              <w:t>zdrojom, prá</w:t>
            </w:r>
            <w:r w:rsidRPr="00812649">
              <w:rPr>
                <w:rFonts w:hint="default"/>
                <w:lang w:val="sk-SK"/>
              </w:rPr>
              <w:t>vam, tovarom a s</w:t>
            </w:r>
            <w:r w:rsidRPr="00812649">
              <w:rPr>
                <w:rFonts w:hint="default"/>
                <w:lang w:val="sk-SK"/>
              </w:rPr>
              <w:t>luž</w:t>
            </w:r>
            <w:r w:rsidRPr="00812649">
              <w:rPr>
                <w:rFonts w:hint="default"/>
                <w:lang w:val="sk-SK"/>
              </w:rPr>
              <w:t>bá</w:t>
            </w:r>
            <w:r w:rsidRPr="00812649">
              <w:rPr>
                <w:rFonts w:hint="default"/>
                <w:lang w:val="sk-SK"/>
              </w:rPr>
              <w:t>m u </w:t>
            </w:r>
            <w:r w:rsidRPr="00812649">
              <w:rPr>
                <w:rFonts w:hint="default"/>
                <w:lang w:val="sk-SK"/>
              </w:rPr>
              <w:t>jednotlivý</w:t>
            </w:r>
            <w:r w:rsidRPr="00812649">
              <w:rPr>
                <w:rFonts w:hint="default"/>
                <w:lang w:val="sk-SK"/>
              </w:rPr>
              <w:t>ch ovplyvnený</w:t>
            </w:r>
            <w:r w:rsidRPr="00812649">
              <w:rPr>
                <w:rFonts w:hint="default"/>
                <w:lang w:val="sk-SK"/>
              </w:rPr>
              <w:t>ch skupí</w:t>
            </w:r>
            <w:r w:rsidRPr="00812649">
              <w:rPr>
                <w:rFonts w:hint="default"/>
                <w:lang w:val="sk-SK"/>
              </w:rPr>
              <w:t>n obyvateľ</w:t>
            </w:r>
            <w:r w:rsidRPr="00812649">
              <w:rPr>
                <w:rFonts w:hint="default"/>
                <w:lang w:val="sk-SK"/>
              </w:rPr>
              <w:t>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3528E">
            <w:pPr>
              <w:bidi w:val="0"/>
              <w:jc w:val="both"/>
              <w:rPr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>Pozití</w:t>
            </w:r>
            <w:r w:rsidRPr="00812649">
              <w:rPr>
                <w:rFonts w:hint="default"/>
                <w:color w:val="000000"/>
                <w:lang w:val="sk-SK"/>
              </w:rPr>
              <w:t>vny vplyv na obyvateľ</w:t>
            </w:r>
            <w:r w:rsidRPr="00812649">
              <w:rPr>
                <w:rFonts w:hint="default"/>
                <w:color w:val="000000"/>
                <w:lang w:val="sk-SK"/>
              </w:rPr>
              <w:t>stvo mož</w:t>
            </w:r>
            <w:r w:rsidRPr="00812649">
              <w:rPr>
                <w:rFonts w:hint="default"/>
                <w:color w:val="000000"/>
                <w:lang w:val="sk-SK"/>
              </w:rPr>
              <w:t>no oč</w:t>
            </w:r>
            <w:r w:rsidRPr="00812649">
              <w:rPr>
                <w:rFonts w:hint="default"/>
                <w:color w:val="000000"/>
                <w:lang w:val="sk-SK"/>
              </w:rPr>
              <w:t>aká</w:t>
            </w:r>
            <w:r w:rsidRPr="00812649">
              <w:rPr>
                <w:rFonts w:hint="default"/>
                <w:color w:val="000000"/>
                <w:lang w:val="sk-SK"/>
              </w:rPr>
              <w:t>vať</w:t>
            </w:r>
            <w:r w:rsidRPr="00812649">
              <w:rPr>
                <w:rFonts w:hint="default"/>
                <w:color w:val="000000"/>
                <w:lang w:val="sk-SK"/>
              </w:rPr>
              <w:t xml:space="preserve"> zavedení</w:t>
            </w:r>
            <w:r w:rsidRPr="00812649">
              <w:rPr>
                <w:rFonts w:hint="default"/>
                <w:color w:val="000000"/>
                <w:lang w:val="sk-SK"/>
              </w:rPr>
              <w:t>m opatrení</w:t>
            </w:r>
            <w:r w:rsidRPr="00812649">
              <w:rPr>
                <w:rFonts w:hint="default"/>
                <w:color w:val="000000"/>
                <w:lang w:val="sk-SK"/>
              </w:rPr>
              <w:t xml:space="preserve"> smerujú</w:t>
            </w:r>
            <w:r w:rsidRPr="00812649">
              <w:rPr>
                <w:rFonts w:hint="default"/>
                <w:color w:val="000000"/>
                <w:lang w:val="sk-SK"/>
              </w:rPr>
              <w:t>cich k</w:t>
            </w:r>
            <w:r w:rsidR="00A3528E">
              <w:rPr>
                <w:color w:val="000000"/>
                <w:lang w:val="sk-SK"/>
              </w:rPr>
              <w:t> </w:t>
            </w:r>
            <w:r w:rsidRPr="00812649">
              <w:rPr>
                <w:rFonts w:hint="default"/>
                <w:color w:val="000000"/>
                <w:lang w:val="sk-SK"/>
              </w:rPr>
              <w:t>zlepš</w:t>
            </w:r>
            <w:r w:rsidRPr="00812649">
              <w:rPr>
                <w:rFonts w:hint="default"/>
                <w:color w:val="000000"/>
                <w:lang w:val="sk-SK"/>
              </w:rPr>
              <w:t>eniu</w:t>
            </w:r>
            <w:r w:rsidR="00A3528E">
              <w:rPr>
                <w:rFonts w:hint="default"/>
                <w:color w:val="000000"/>
                <w:lang w:val="sk-SK"/>
              </w:rPr>
              <w:t xml:space="preserve"> informovanosti osô</w:t>
            </w:r>
            <w:r w:rsidR="00A3528E">
              <w:rPr>
                <w:rFonts w:hint="default"/>
                <w:color w:val="000000"/>
                <w:lang w:val="sk-SK"/>
              </w:rPr>
              <w:t>b,</w:t>
            </w:r>
            <w:r w:rsidRPr="00812649">
              <w:rPr>
                <w:color w:val="000000"/>
                <w:lang w:val="sk-SK"/>
              </w:rPr>
              <w:t xml:space="preserve"> dostupnosti a kvality zdravotnej starostlivosti a </w:t>
            </w:r>
            <w:r w:rsidRPr="00812649">
              <w:rPr>
                <w:rFonts w:hint="default"/>
                <w:color w:val="000000"/>
                <w:lang w:val="sk-SK"/>
              </w:rPr>
              <w:t>zvýš</w:t>
            </w:r>
            <w:r w:rsidRPr="00812649">
              <w:rPr>
                <w:rFonts w:hint="default"/>
                <w:color w:val="000000"/>
                <w:lang w:val="sk-SK"/>
              </w:rPr>
              <w:t xml:space="preserve">eniu spokojnosti pacientov, ako aj </w:t>
            </w:r>
            <w:r w:rsidRPr="00812649">
              <w:rPr>
                <w:rFonts w:hint="default"/>
                <w:color w:val="000000"/>
                <w:lang w:val="sk-SK"/>
              </w:rPr>
              <w:t>zdravotní</w:t>
            </w:r>
            <w:r w:rsidRPr="00812649">
              <w:rPr>
                <w:rFonts w:hint="default"/>
                <w:color w:val="000000"/>
                <w:lang w:val="sk-SK"/>
              </w:rPr>
              <w:t>ckych pracovní</w:t>
            </w:r>
            <w:r w:rsidRPr="00812649">
              <w:rPr>
                <w:rFonts w:hint="default"/>
                <w:color w:val="000000"/>
                <w:lang w:val="sk-SK"/>
              </w:rPr>
              <w:t>kov.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35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4.3.</w:t>
            </w:r>
            <w:r w:rsidRPr="00812649">
              <w:rPr>
                <w:rFonts w:hint="default"/>
                <w:lang w:val="sk-SK"/>
              </w:rPr>
              <w:t>Zhodnoť</w:t>
            </w:r>
            <w:r w:rsidRPr="00812649">
              <w:rPr>
                <w:rFonts w:hint="default"/>
                <w:lang w:val="sk-SK"/>
              </w:rPr>
              <w:t>te vplyv na rovnosť</w:t>
            </w:r>
            <w:r w:rsidRPr="00812649">
              <w:rPr>
                <w:rFonts w:hint="default"/>
                <w:lang w:val="sk-SK"/>
              </w:rPr>
              <w:t xml:space="preserve"> prí</w:t>
            </w:r>
            <w:r w:rsidRPr="00812649">
              <w:rPr>
                <w:rFonts w:hint="default"/>
                <w:lang w:val="sk-SK"/>
              </w:rPr>
              <w:t>lež</w:t>
            </w:r>
            <w:r w:rsidRPr="00812649">
              <w:rPr>
                <w:rFonts w:hint="default"/>
                <w:lang w:val="sk-SK"/>
              </w:rPr>
              <w:t>itostí</w:t>
            </w:r>
            <w:r w:rsidRPr="00812649">
              <w:rPr>
                <w:rFonts w:hint="default"/>
                <w:lang w:val="sk-SK"/>
              </w:rPr>
              <w:t>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 </w:t>
            </w:r>
            <w:r w:rsidRPr="00812649">
              <w:rPr>
                <w:rFonts w:hint="default"/>
                <w:lang w:val="sk-SK"/>
              </w:rPr>
              <w:t>Nie sú.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 xml:space="preserve">4.4. </w:t>
            </w:r>
            <w:r w:rsidRPr="00812649">
              <w:rPr>
                <w:rFonts w:hint="default"/>
                <w:lang w:val="sk-SK"/>
              </w:rPr>
              <w:t>Zhodnoť</w:t>
            </w:r>
            <w:r w:rsidRPr="00812649">
              <w:rPr>
                <w:rFonts w:hint="default"/>
                <w:lang w:val="sk-SK"/>
              </w:rPr>
              <w:t>te vplyvy na zamestnanosť.</w:t>
            </w:r>
          </w:p>
          <w:p w:rsidR="00085767" w:rsidRPr="00812649" w:rsidP="00A76810">
            <w:pPr>
              <w:bidi w:val="0"/>
              <w:jc w:val="both"/>
              <w:rPr>
                <w:b/>
                <w:lang w:val="sk-SK"/>
              </w:rPr>
            </w:pPr>
          </w:p>
          <w:p w:rsidR="00085767" w:rsidRPr="00812649" w:rsidP="00A76810">
            <w:pPr>
              <w:bidi w:val="0"/>
              <w:jc w:val="both"/>
              <w:rPr>
                <w:rFonts w:hint="default"/>
                <w:bCs/>
                <w:lang w:val="sk-SK"/>
              </w:rPr>
            </w:pPr>
            <w:r w:rsidRPr="00812649">
              <w:rPr>
                <w:rFonts w:hint="default"/>
                <w:bCs/>
                <w:lang w:val="sk-SK"/>
              </w:rPr>
              <w:t>Aké</w:t>
            </w:r>
            <w:r w:rsidRPr="00812649">
              <w:rPr>
                <w:rFonts w:hint="default"/>
                <w:bCs/>
                <w:lang w:val="sk-SK"/>
              </w:rPr>
              <w:t xml:space="preserve"> sú</w:t>
            </w:r>
            <w:r w:rsidRPr="00812649">
              <w:rPr>
                <w:rFonts w:hint="default"/>
                <w:bCs/>
                <w:lang w:val="sk-SK"/>
              </w:rPr>
              <w:t xml:space="preserve">  vplyvy na zamestnanosť</w:t>
            </w:r>
            <w:r w:rsidRPr="00812649">
              <w:rPr>
                <w:rFonts w:hint="default"/>
                <w:bCs/>
                <w:lang w:val="sk-SK"/>
              </w:rPr>
              <w:t xml:space="preserve"> ?</w:t>
            </w:r>
          </w:p>
          <w:p w:rsidR="00085767" w:rsidRPr="00812649" w:rsidP="00A76810">
            <w:pPr>
              <w:bidi w:val="0"/>
              <w:jc w:val="both"/>
              <w:rPr>
                <w:lang w:val="sk-SK"/>
              </w:rPr>
            </w:pPr>
            <w:r w:rsidRPr="00812649">
              <w:rPr>
                <w:rFonts w:hint="default"/>
                <w:bCs/>
                <w:lang w:val="sk-SK"/>
              </w:rPr>
              <w:t>Ktoré</w:t>
            </w:r>
            <w:r w:rsidRPr="00812649">
              <w:rPr>
                <w:rFonts w:hint="default"/>
                <w:bCs/>
                <w:lang w:val="sk-SK"/>
              </w:rPr>
              <w:t xml:space="preserve"> skupiny zamestnancov budú</w:t>
            </w:r>
            <w:r w:rsidRPr="00812649">
              <w:rPr>
                <w:rFonts w:hint="default"/>
                <w:bCs/>
                <w:lang w:val="sk-SK"/>
              </w:rPr>
              <w:t xml:space="preserve"> ohrozené</w:t>
            </w:r>
            <w:r w:rsidRPr="00812649">
              <w:rPr>
                <w:rFonts w:hint="default"/>
                <w:bCs/>
                <w:lang w:val="sk-SK"/>
              </w:rPr>
              <w:t xml:space="preserve"> schvá</w:t>
            </w:r>
            <w:r w:rsidRPr="00812649">
              <w:rPr>
                <w:rFonts w:hint="default"/>
                <w:bCs/>
                <w:lang w:val="sk-SK"/>
              </w:rPr>
              <w:t>lení</w:t>
            </w:r>
            <w:r w:rsidRPr="00812649">
              <w:rPr>
                <w:rFonts w:hint="default"/>
                <w:bCs/>
                <w:lang w:val="sk-SK"/>
              </w:rPr>
              <w:t>m predkladané</w:t>
            </w:r>
            <w:r w:rsidRPr="00812649">
              <w:rPr>
                <w:rFonts w:hint="default"/>
                <w:bCs/>
                <w:lang w:val="sk-SK"/>
              </w:rPr>
              <w:t>ho materiá</w:t>
            </w:r>
            <w:r w:rsidRPr="00812649">
              <w:rPr>
                <w:rFonts w:hint="default"/>
                <w:bCs/>
                <w:lang w:val="sk-SK"/>
              </w:rPr>
              <w:t>lu ?</w:t>
            </w:r>
          </w:p>
          <w:p w:rsidR="00085767" w:rsidRPr="00812649" w:rsidP="00A76810">
            <w:pPr>
              <w:bidi w:val="0"/>
              <w:jc w:val="both"/>
              <w:rPr>
                <w:rFonts w:hint="default"/>
                <w:bCs/>
                <w:lang w:val="sk-SK"/>
              </w:rPr>
            </w:pPr>
            <w:r w:rsidRPr="00812649">
              <w:rPr>
                <w:rFonts w:hint="default"/>
                <w:bCs/>
                <w:lang w:val="sk-SK"/>
              </w:rPr>
              <w:t>Hrozí</w:t>
            </w:r>
            <w:r w:rsidRPr="00812649">
              <w:rPr>
                <w:rFonts w:hint="default"/>
                <w:bCs/>
                <w:lang w:val="sk-SK"/>
              </w:rPr>
              <w:t xml:space="preserve"> v </w:t>
            </w:r>
            <w:r w:rsidRPr="00812649">
              <w:rPr>
                <w:rFonts w:hint="default"/>
                <w:bCs/>
                <w:lang w:val="sk-SK"/>
              </w:rPr>
              <w:t>prí</w:t>
            </w:r>
            <w:r w:rsidRPr="00812649">
              <w:rPr>
                <w:rFonts w:hint="default"/>
                <w:bCs/>
                <w:lang w:val="sk-SK"/>
              </w:rPr>
              <w:t>pade schvá</w:t>
            </w:r>
            <w:r w:rsidRPr="00812649">
              <w:rPr>
                <w:rFonts w:hint="default"/>
                <w:bCs/>
                <w:lang w:val="sk-SK"/>
              </w:rPr>
              <w:t>lenia predkladané</w:t>
            </w:r>
            <w:r w:rsidRPr="00812649">
              <w:rPr>
                <w:rFonts w:hint="default"/>
                <w:bCs/>
                <w:lang w:val="sk-SK"/>
              </w:rPr>
              <w:t>ho materiá</w:t>
            </w:r>
            <w:r w:rsidRPr="00812649">
              <w:rPr>
                <w:rFonts w:hint="default"/>
                <w:bCs/>
                <w:lang w:val="sk-SK"/>
              </w:rPr>
              <w:t>lu hromadné</w:t>
            </w:r>
            <w:r w:rsidRPr="00812649">
              <w:rPr>
                <w:rFonts w:hint="default"/>
                <w:bCs/>
                <w:lang w:val="sk-SK"/>
              </w:rPr>
              <w:t xml:space="preserve"> prepúšť</w:t>
            </w:r>
            <w:r w:rsidRPr="00812649">
              <w:rPr>
                <w:rFonts w:hint="default"/>
                <w:bCs/>
                <w:lang w:val="sk-SK"/>
              </w:rPr>
              <w:t>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lang w:val="sk-SK"/>
              </w:rPr>
              <w:t> </w:t>
            </w:r>
            <w:r w:rsidRPr="00812649">
              <w:rPr>
                <w:rFonts w:hint="default"/>
                <w:lang w:val="sk-SK"/>
              </w:rPr>
              <w:t>Nie sú.</w:t>
            </w:r>
          </w:p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</w:p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</w:p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</w:p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</w:p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</w:p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</w:p>
        </w:tc>
      </w:tr>
    </w:tbl>
    <w:p w:rsidR="00085767" w:rsidRPr="00812649" w:rsidP="00085767">
      <w:pPr>
        <w:pStyle w:val="BodyText"/>
        <w:tabs>
          <w:tab w:val="num" w:pos="1080"/>
        </w:tabs>
        <w:bidi w:val="0"/>
        <w:jc w:val="both"/>
        <w:rPr>
          <w:lang w:val="sk-SK"/>
        </w:rPr>
      </w:pPr>
    </w:p>
    <w:p w:rsidR="00085767" w:rsidRPr="00812649" w:rsidP="00085767">
      <w:pPr>
        <w:bidi w:val="0"/>
        <w:rPr>
          <w:lang w:val="sk-SK" w:eastAsia="sk-SK"/>
        </w:rPr>
      </w:pPr>
    </w:p>
    <w:p w:rsidR="00085767" w:rsidRPr="00812649" w:rsidP="00085767">
      <w:pPr>
        <w:bidi w:val="0"/>
        <w:jc w:val="center"/>
        <w:rPr>
          <w:rFonts w:hint="default"/>
          <w:b/>
          <w:bCs/>
          <w:sz w:val="28"/>
          <w:szCs w:val="28"/>
          <w:lang w:val="sk-SK"/>
        </w:rPr>
      </w:pPr>
      <w:r w:rsidRPr="00812649">
        <w:rPr>
          <w:rFonts w:hint="default"/>
          <w:b/>
          <w:bCs/>
          <w:sz w:val="28"/>
          <w:szCs w:val="28"/>
          <w:lang w:val="sk-SK"/>
        </w:rPr>
        <w:t>Vplyvy na podnikateľ</w:t>
      </w:r>
      <w:r w:rsidRPr="00812649">
        <w:rPr>
          <w:rFonts w:hint="default"/>
          <w:b/>
          <w:bCs/>
          <w:sz w:val="28"/>
          <w:szCs w:val="28"/>
          <w:lang w:val="sk-SK"/>
        </w:rPr>
        <w:t>ské</w:t>
      </w:r>
      <w:r w:rsidRPr="00812649">
        <w:rPr>
          <w:rFonts w:hint="default"/>
          <w:b/>
          <w:bCs/>
          <w:sz w:val="28"/>
          <w:szCs w:val="28"/>
          <w:lang w:val="sk-SK"/>
        </w:rPr>
        <w:t xml:space="preserve"> prostredie</w:t>
      </w:r>
    </w:p>
    <w:p w:rsidR="00085767" w:rsidRPr="00812649" w:rsidP="00085767">
      <w:pPr>
        <w:bidi w:val="0"/>
        <w:rPr>
          <w:b/>
          <w:bCs/>
          <w:sz w:val="28"/>
          <w:szCs w:val="28"/>
          <w:lang w:val="sk-SK"/>
        </w:rPr>
      </w:pPr>
    </w:p>
    <w:p w:rsidR="00085767" w:rsidRPr="00812649" w:rsidP="00085767">
      <w:pPr>
        <w:bidi w:val="0"/>
        <w:rPr>
          <w:b/>
          <w:bCs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top"/>
          </w:tcPr>
          <w:p w:rsidR="00085767" w:rsidRPr="00812649" w:rsidP="00A76810">
            <w:pPr>
              <w:bidi w:val="0"/>
              <w:jc w:val="center"/>
              <w:rPr>
                <w:rFonts w:hint="default"/>
                <w:b/>
                <w:bCs/>
                <w:color w:val="FFFFFF"/>
                <w:lang w:val="sk-SK"/>
              </w:rPr>
            </w:pP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Vplyvy na podnikateľ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>ské</w:t>
            </w:r>
            <w:r w:rsidRPr="00812649">
              <w:rPr>
                <w:rFonts w:hint="default"/>
                <w:b/>
                <w:bCs/>
                <w:color w:val="FFFFFF"/>
                <w:lang w:val="sk-SK"/>
              </w:rPr>
              <w:t xml:space="preserve">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3.1</w:t>
            </w:r>
            <w:r w:rsidRPr="00812649">
              <w:rPr>
                <w:rFonts w:hint="default"/>
                <w:lang w:val="sk-SK"/>
              </w:rPr>
              <w:t>. Ktoré</w:t>
            </w:r>
            <w:r w:rsidRPr="00812649">
              <w:rPr>
                <w:rFonts w:hint="default"/>
                <w:lang w:val="sk-SK"/>
              </w:rPr>
              <w:t xml:space="preserve"> podnikateľ</w:t>
            </w:r>
            <w:r w:rsidRPr="00812649">
              <w:rPr>
                <w:rFonts w:hint="default"/>
                <w:lang w:val="sk-SK"/>
              </w:rPr>
              <w:t>ské</w:t>
            </w:r>
            <w:r w:rsidRPr="00812649">
              <w:rPr>
                <w:rFonts w:hint="default"/>
                <w:lang w:val="sk-SK"/>
              </w:rPr>
              <w:t xml:space="preserve"> subjekty budú</w:t>
            </w:r>
            <w:r w:rsidRPr="00812649">
              <w:rPr>
                <w:rFonts w:hint="default"/>
                <w:lang w:val="sk-SK"/>
              </w:rPr>
              <w:t xml:space="preserve"> predkladaný</w:t>
            </w:r>
            <w:r w:rsidRPr="00812649">
              <w:rPr>
                <w:rFonts w:hint="default"/>
                <w:lang w:val="sk-SK"/>
              </w:rPr>
              <w:t>m ná</w:t>
            </w:r>
            <w:r w:rsidRPr="00812649">
              <w:rPr>
                <w:rFonts w:hint="default"/>
                <w:lang w:val="sk-SK"/>
              </w:rPr>
              <w:t>vrhom ovplyvnené</w:t>
            </w:r>
            <w:r w:rsidRPr="00812649">
              <w:rPr>
                <w:rFonts w:hint="default"/>
                <w:lang w:val="sk-SK"/>
              </w:rPr>
              <w:t xml:space="preserve"> a </w:t>
            </w:r>
            <w:r w:rsidRPr="00812649">
              <w:rPr>
                <w:rFonts w:hint="default"/>
                <w:lang w:val="sk-SK"/>
              </w:rPr>
              <w:t>aký</w:t>
            </w:r>
            <w:r w:rsidRPr="00812649">
              <w:rPr>
                <w:rFonts w:hint="default"/>
                <w:lang w:val="sk-SK"/>
              </w:rPr>
              <w:t xml:space="preserve"> je ich poč</w:t>
            </w:r>
            <w:r w:rsidRPr="00812649">
              <w:rPr>
                <w:rFonts w:hint="default"/>
                <w:lang w:val="sk-SK"/>
              </w:rPr>
              <w:t>et?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085767" w:rsidRPr="00812649" w:rsidP="00A76810">
            <w:pPr>
              <w:numPr>
                <w:numId w:val="1"/>
              </w:numPr>
              <w:bidi w:val="0"/>
              <w:rPr>
                <w:lang w:val="sk-SK"/>
              </w:rPr>
            </w:pPr>
            <w:r w:rsidRPr="00812649">
              <w:rPr>
                <w:lang w:val="sk-SK"/>
              </w:rPr>
              <w:t>Poskytovatelia zdravo</w:t>
            </w:r>
            <w:r w:rsidRPr="00812649">
              <w:rPr>
                <w:lang w:val="sk-SK"/>
              </w:rPr>
              <w:t>tnej starostlivosti</w:t>
            </w:r>
          </w:p>
          <w:p w:rsidR="00085767" w:rsidRPr="00812649" w:rsidP="00A76810">
            <w:pPr>
              <w:numPr>
                <w:numId w:val="1"/>
              </w:numPr>
              <w:bidi w:val="0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Dodá</w:t>
            </w:r>
            <w:r w:rsidRPr="00812649">
              <w:rPr>
                <w:rFonts w:hint="default"/>
                <w:lang w:val="sk-SK"/>
              </w:rPr>
              <w:t>vatelia informač</w:t>
            </w:r>
            <w:r w:rsidRPr="00812649">
              <w:rPr>
                <w:rFonts w:hint="default"/>
                <w:lang w:val="sk-SK"/>
              </w:rPr>
              <w:t>ný</w:t>
            </w:r>
            <w:r w:rsidRPr="00812649">
              <w:rPr>
                <w:rFonts w:hint="default"/>
                <w:lang w:val="sk-SK"/>
              </w:rPr>
              <w:t>ch systé</w:t>
            </w:r>
            <w:r w:rsidRPr="00812649">
              <w:rPr>
                <w:rFonts w:hint="default"/>
                <w:lang w:val="sk-SK"/>
              </w:rPr>
              <w:t>mov pre PZS</w:t>
            </w:r>
          </w:p>
          <w:p w:rsidR="00085767" w:rsidRPr="00812649" w:rsidP="00A76810">
            <w:pPr>
              <w:numPr>
                <w:numId w:val="1"/>
              </w:numPr>
              <w:bidi w:val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812649">
              <w:rPr>
                <w:rFonts w:hint="default"/>
                <w:lang w:val="sk-SK"/>
              </w:rPr>
              <w:t>Zdravotné</w:t>
            </w:r>
            <w:r w:rsidRPr="00812649">
              <w:rPr>
                <w:rFonts w:hint="default"/>
                <w:lang w:val="sk-SK"/>
              </w:rPr>
              <w:t xml:space="preserve"> poisť</w:t>
            </w:r>
            <w:r w:rsidRPr="00812649">
              <w:rPr>
                <w:rFonts w:hint="default"/>
                <w:lang w:val="sk-SK"/>
              </w:rPr>
              <w:t>ovne (3 subjekty)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3.2</w:t>
            </w:r>
            <w:r w:rsidRPr="00812649">
              <w:rPr>
                <w:rFonts w:hint="default"/>
                <w:lang w:val="sk-SK"/>
              </w:rPr>
              <w:t>. Aký</w:t>
            </w:r>
            <w:r w:rsidRPr="00812649">
              <w:rPr>
                <w:rFonts w:hint="default"/>
                <w:lang w:val="sk-SK"/>
              </w:rPr>
              <w:t xml:space="preserve"> je predpokladaný</w:t>
            </w:r>
            <w:r w:rsidRPr="00812649">
              <w:rPr>
                <w:rFonts w:hint="default"/>
                <w:lang w:val="sk-SK"/>
              </w:rPr>
              <w:t xml:space="preserve"> charakter a </w:t>
            </w:r>
            <w:r w:rsidRPr="00812649">
              <w:rPr>
                <w:rFonts w:hint="default"/>
                <w:lang w:val="sk-SK"/>
              </w:rPr>
              <w:t>rozsah ná</w:t>
            </w:r>
            <w:r w:rsidRPr="00812649">
              <w:rPr>
                <w:rFonts w:hint="default"/>
                <w:lang w:val="sk-SK"/>
              </w:rPr>
              <w:t>kladov a </w:t>
            </w:r>
            <w:r w:rsidRPr="00812649">
              <w:rPr>
                <w:rFonts w:hint="default"/>
                <w:lang w:val="sk-SK"/>
              </w:rPr>
              <w:t>prí</w:t>
            </w:r>
            <w:r w:rsidRPr="00812649">
              <w:rPr>
                <w:rFonts w:hint="default"/>
                <w:lang w:val="sk-SK"/>
              </w:rPr>
              <w:t>nosov?</w:t>
            </w:r>
          </w:p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Prí</w:t>
            </w:r>
            <w:r w:rsidRPr="00812649">
              <w:rPr>
                <w:rFonts w:hint="default"/>
                <w:lang w:val="sk-SK"/>
              </w:rPr>
              <w:t>nosy:</w:t>
            </w:r>
          </w:p>
          <w:p w:rsidR="00085767" w:rsidRPr="00812649" w:rsidP="00A76810">
            <w:pPr>
              <w:numPr>
                <w:numId w:val="2"/>
              </w:numPr>
              <w:bidi w:val="0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Zjednoduš</w:t>
            </w:r>
            <w:r w:rsidRPr="00812649">
              <w:rPr>
                <w:rFonts w:hint="default"/>
                <w:lang w:val="sk-SK"/>
              </w:rPr>
              <w:t>enie vykazovania poskytnutej zdravotnej starostlivosti</w:t>
            </w:r>
          </w:p>
          <w:p w:rsidR="00085767" w:rsidRPr="00812649" w:rsidP="00A76810">
            <w:pPr>
              <w:numPr>
                <w:numId w:val="2"/>
              </w:numPr>
              <w:bidi w:val="0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Zjednoduš</w:t>
            </w:r>
            <w:r w:rsidRPr="00812649">
              <w:rPr>
                <w:rFonts w:hint="default"/>
                <w:lang w:val="sk-SK"/>
              </w:rPr>
              <w:t>enie poskyt</w:t>
            </w:r>
            <w:r w:rsidRPr="00812649">
              <w:rPr>
                <w:rFonts w:hint="default"/>
                <w:lang w:val="sk-SK"/>
              </w:rPr>
              <w:t>ovania zdravotnej starostlivosti (napr. predpis lieku)</w:t>
            </w:r>
          </w:p>
          <w:p w:rsidR="00085767" w:rsidRPr="00812649" w:rsidP="00A76810">
            <w:pPr>
              <w:numPr>
                <w:numId w:val="2"/>
              </w:numPr>
              <w:bidi w:val="0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Prehľ</w:t>
            </w:r>
            <w:r w:rsidRPr="00812649">
              <w:rPr>
                <w:rFonts w:hint="default"/>
                <w:lang w:val="sk-SK"/>
              </w:rPr>
              <w:t>ad o zdravotnom stave a </w:t>
            </w:r>
            <w:r w:rsidRPr="00812649">
              <w:rPr>
                <w:rFonts w:hint="default"/>
                <w:lang w:val="sk-SK"/>
              </w:rPr>
              <w:t>poskytnutej zdravotnej starostlivosti pre obč</w:t>
            </w:r>
            <w:r w:rsidRPr="00812649">
              <w:rPr>
                <w:rFonts w:hint="default"/>
                <w:lang w:val="sk-SK"/>
              </w:rPr>
              <w:t>ana</w:t>
            </w:r>
          </w:p>
          <w:p w:rsidR="00085767" w:rsidRPr="00812649" w:rsidP="00A76810">
            <w:pPr>
              <w:numPr>
                <w:numId w:val="2"/>
              </w:numPr>
              <w:bidi w:val="0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Lepš</w:t>
            </w:r>
            <w:r w:rsidRPr="00812649">
              <w:rPr>
                <w:rFonts w:hint="default"/>
                <w:lang w:val="sk-SK"/>
              </w:rPr>
              <w:t>ia kontrola vyká</w:t>
            </w:r>
            <w:r w:rsidRPr="00812649">
              <w:rPr>
                <w:rFonts w:hint="default"/>
                <w:lang w:val="sk-SK"/>
              </w:rPr>
              <w:t>zanej zdravotnej starostlivosti poisť</w:t>
            </w:r>
            <w:r w:rsidRPr="00812649">
              <w:rPr>
                <w:rFonts w:hint="default"/>
                <w:lang w:val="sk-SK"/>
              </w:rPr>
              <w:t>ovň</w:t>
            </w:r>
            <w:r w:rsidRPr="00812649">
              <w:rPr>
                <w:rFonts w:hint="default"/>
                <w:lang w:val="sk-SK"/>
              </w:rPr>
              <w:t>ami</w:t>
            </w:r>
          </w:p>
          <w:p w:rsidR="00085767" w:rsidRPr="00812649" w:rsidP="00A76810">
            <w:pPr>
              <w:numPr>
                <w:numId w:val="2"/>
              </w:numPr>
              <w:bidi w:val="0"/>
              <w:rPr>
                <w:rFonts w:hint="default"/>
                <w:lang w:val="sk-SK"/>
              </w:rPr>
            </w:pPr>
            <w:r w:rsidRPr="00812649">
              <w:rPr>
                <w:rFonts w:hint="default"/>
                <w:lang w:val="sk-SK"/>
              </w:rPr>
              <w:t>Finanč</w:t>
            </w:r>
            <w:r w:rsidRPr="00812649">
              <w:rPr>
                <w:rFonts w:hint="default"/>
                <w:lang w:val="sk-SK"/>
              </w:rPr>
              <w:t>né</w:t>
            </w:r>
            <w:r w:rsidRPr="00812649">
              <w:rPr>
                <w:rFonts w:hint="default"/>
                <w:lang w:val="sk-SK"/>
              </w:rPr>
              <w:t xml:space="preserve"> prí</w:t>
            </w:r>
            <w:r w:rsidRPr="00812649">
              <w:rPr>
                <w:rFonts w:hint="default"/>
                <w:lang w:val="sk-SK"/>
              </w:rPr>
              <w:t>nosy spojené</w:t>
            </w:r>
            <w:r w:rsidRPr="00812649">
              <w:rPr>
                <w:rFonts w:hint="default"/>
                <w:lang w:val="sk-SK"/>
              </w:rPr>
              <w:t xml:space="preserve"> s </w:t>
            </w:r>
            <w:r w:rsidRPr="00812649">
              <w:rPr>
                <w:rFonts w:hint="default"/>
                <w:lang w:val="sk-SK"/>
              </w:rPr>
              <w:t>ú</w:t>
            </w:r>
            <w:r w:rsidRPr="00812649">
              <w:rPr>
                <w:rFonts w:hint="default"/>
                <w:lang w:val="sk-SK"/>
              </w:rPr>
              <w:t>sporou ná</w:t>
            </w:r>
            <w:r w:rsidRPr="00812649">
              <w:rPr>
                <w:rFonts w:hint="default"/>
                <w:lang w:val="sk-SK"/>
              </w:rPr>
              <w:t>kladov na zdravotnú</w:t>
            </w:r>
            <w:r w:rsidRPr="00812649">
              <w:rPr>
                <w:rFonts w:hint="default"/>
                <w:lang w:val="sk-SK"/>
              </w:rPr>
              <w:t xml:space="preserve"> st</w:t>
            </w:r>
            <w:r w:rsidRPr="00812649">
              <w:rPr>
                <w:rFonts w:hint="default"/>
                <w:lang w:val="sk-SK"/>
              </w:rPr>
              <w:t>arostlivosť</w:t>
            </w:r>
          </w:p>
          <w:p w:rsidR="00085767" w:rsidRPr="00812649" w:rsidP="00A76810">
            <w:pPr>
              <w:bidi w:val="0"/>
              <w:rPr>
                <w:lang w:val="sk-SK"/>
              </w:rPr>
            </w:pPr>
          </w:p>
          <w:p w:rsidR="005418B4" w:rsidRPr="00812649" w:rsidP="005418B4">
            <w:pPr>
              <w:bidi w:val="0"/>
              <w:rPr>
                <w:lang w:val="sk-SK"/>
              </w:rPr>
            </w:pPr>
            <w:r w:rsidRPr="00812649" w:rsidR="00C72886">
              <w:rPr>
                <w:rFonts w:hint="default"/>
                <w:lang w:val="sk-SK"/>
              </w:rPr>
              <w:t>Ná</w:t>
            </w:r>
            <w:r w:rsidRPr="00812649" w:rsidR="00C72886">
              <w:rPr>
                <w:rFonts w:hint="default"/>
                <w:lang w:val="sk-SK"/>
              </w:rPr>
              <w:t>klady poskytovateľ</w:t>
            </w:r>
            <w:r w:rsidRPr="00812649" w:rsidR="00C72886">
              <w:rPr>
                <w:rFonts w:hint="default"/>
                <w:lang w:val="sk-SK"/>
              </w:rPr>
              <w:t>ov zdravotnej starostlivosti</w:t>
            </w:r>
            <w:r w:rsidRPr="00812649" w:rsidR="00261AB5">
              <w:rPr>
                <w:rFonts w:hint="default"/>
                <w:lang w:val="sk-SK"/>
              </w:rPr>
              <w:t xml:space="preserve"> môž</w:t>
            </w:r>
            <w:r w:rsidRPr="00812649" w:rsidR="00261AB5">
              <w:rPr>
                <w:rFonts w:hint="default"/>
                <w:lang w:val="sk-SK"/>
              </w:rPr>
              <w:t>e generovať</w:t>
            </w:r>
            <w:r w:rsidRPr="00812649" w:rsidR="00261AB5">
              <w:rPr>
                <w:rFonts w:hint="default"/>
                <w:lang w:val="sk-SK"/>
              </w:rPr>
              <w:t xml:space="preserve"> zá</w:t>
            </w:r>
            <w:r w:rsidRPr="00812649" w:rsidR="00261AB5">
              <w:rPr>
                <w:rFonts w:hint="default"/>
                <w:lang w:val="sk-SK"/>
              </w:rPr>
              <w:t>konná</w:t>
            </w:r>
            <w:r w:rsidRPr="00812649" w:rsidR="00261AB5">
              <w:rPr>
                <w:rFonts w:hint="default"/>
                <w:lang w:val="sk-SK"/>
              </w:rPr>
              <w:t xml:space="preserve"> povinnosť</w:t>
            </w:r>
            <w:r w:rsidRPr="00812649" w:rsidR="00261AB5">
              <w:rPr>
                <w:rFonts w:hint="default"/>
                <w:lang w:val="sk-SK"/>
              </w:rPr>
              <w:t xml:space="preserve"> zasielať</w:t>
            </w:r>
            <w:r w:rsidRPr="00812649" w:rsidR="00261AB5">
              <w:rPr>
                <w:rFonts w:hint="default"/>
                <w:lang w:val="sk-SK"/>
              </w:rPr>
              <w:t xml:space="preserve"> dá</w:t>
            </w:r>
            <w:r w:rsidRPr="00812649" w:rsidR="00261AB5">
              <w:rPr>
                <w:rFonts w:hint="default"/>
                <w:lang w:val="sk-SK"/>
              </w:rPr>
              <w:t>ta sú</w:t>
            </w:r>
            <w:r w:rsidRPr="00812649" w:rsidR="00261AB5">
              <w:rPr>
                <w:rFonts w:hint="default"/>
                <w:lang w:val="sk-SK"/>
              </w:rPr>
              <w:t>visiace s </w:t>
            </w:r>
            <w:r w:rsidRPr="00812649" w:rsidR="00261AB5">
              <w:rPr>
                <w:rFonts w:hint="default"/>
                <w:lang w:val="sk-SK"/>
              </w:rPr>
              <w:t>poskytnutou zdravotnou starostlivosť</w:t>
            </w:r>
            <w:r w:rsidRPr="00812649" w:rsidR="00261AB5">
              <w:rPr>
                <w:rFonts w:hint="default"/>
                <w:lang w:val="sk-SK"/>
              </w:rPr>
              <w:t>ou do Ná</w:t>
            </w:r>
            <w:r w:rsidRPr="00812649" w:rsidR="00261AB5">
              <w:rPr>
                <w:rFonts w:hint="default"/>
                <w:lang w:val="sk-SK"/>
              </w:rPr>
              <w:t>rodné</w:t>
            </w:r>
            <w:r w:rsidRPr="00812649" w:rsidR="00261AB5">
              <w:rPr>
                <w:rFonts w:hint="default"/>
                <w:lang w:val="sk-SK"/>
              </w:rPr>
              <w:t>ho zdravotní</w:t>
            </w:r>
            <w:r w:rsidRPr="00812649" w:rsidR="00261AB5">
              <w:rPr>
                <w:rFonts w:hint="default"/>
                <w:lang w:val="sk-SK"/>
              </w:rPr>
              <w:t>ckeho informač</w:t>
            </w:r>
            <w:r w:rsidRPr="00812649" w:rsidR="00261AB5">
              <w:rPr>
                <w:rFonts w:hint="default"/>
                <w:lang w:val="sk-SK"/>
              </w:rPr>
              <w:t>né</w:t>
            </w:r>
            <w:r w:rsidRPr="00812649" w:rsidR="00261AB5">
              <w:rPr>
                <w:rFonts w:hint="default"/>
                <w:lang w:val="sk-SK"/>
              </w:rPr>
              <w:t>ho systé</w:t>
            </w:r>
            <w:r w:rsidRPr="00812649" w:rsidR="00261AB5">
              <w:rPr>
                <w:rFonts w:hint="default"/>
                <w:lang w:val="sk-SK"/>
              </w:rPr>
              <w:t>mu. Konkré</w:t>
            </w:r>
            <w:r w:rsidRPr="00812649" w:rsidR="00261AB5">
              <w:rPr>
                <w:rFonts w:hint="default"/>
                <w:lang w:val="sk-SK"/>
              </w:rPr>
              <w:t>tne:</w:t>
            </w:r>
            <w:r w:rsidRPr="00812649" w:rsidR="00C72886">
              <w:rPr>
                <w:lang w:val="sk-SK"/>
              </w:rPr>
              <w:t xml:space="preserve"> </w:t>
            </w:r>
          </w:p>
          <w:p w:rsidR="007B5A99" w:rsidP="007B5A99">
            <w:pPr>
              <w:numPr>
                <w:numId w:val="2"/>
              </w:numPr>
              <w:bidi w:val="0"/>
              <w:rPr>
                <w:lang w:val="sk-SK"/>
              </w:rPr>
            </w:pPr>
            <w:r w:rsidRPr="00812649" w:rsidR="00231A9E">
              <w:rPr>
                <w:lang w:val="sk-SK"/>
              </w:rPr>
              <w:t>P</w:t>
            </w:r>
            <w:r w:rsidRPr="00812649" w:rsidR="005418B4">
              <w:rPr>
                <w:rFonts w:hint="default"/>
                <w:lang w:val="sk-SK"/>
              </w:rPr>
              <w:t>očí</w:t>
            </w:r>
            <w:r w:rsidRPr="00812649" w:rsidR="005418B4">
              <w:rPr>
                <w:rFonts w:hint="default"/>
                <w:lang w:val="sk-SK"/>
              </w:rPr>
              <w:t>tač</w:t>
            </w:r>
            <w:r w:rsidRPr="00812649" w:rsidR="005418B4">
              <w:rPr>
                <w:rFonts w:hint="default"/>
                <w:lang w:val="sk-SK"/>
              </w:rPr>
              <w:t xml:space="preserve"> a</w:t>
            </w:r>
            <w:r w:rsidRPr="00812649" w:rsidR="00261AB5">
              <w:rPr>
                <w:lang w:val="sk-SK"/>
              </w:rPr>
              <w:t> </w:t>
            </w:r>
            <w:r w:rsidRPr="00812649" w:rsidR="00261AB5">
              <w:rPr>
                <w:lang w:val="sk-SK"/>
              </w:rPr>
              <w:t xml:space="preserve">pripojenie na </w:t>
            </w:r>
            <w:r w:rsidRPr="00812649" w:rsidR="005418B4">
              <w:rPr>
                <w:lang w:val="sk-SK"/>
              </w:rPr>
              <w:t>internet p</w:t>
            </w:r>
            <w:r w:rsidRPr="00812649" w:rsidR="005418B4">
              <w:rPr>
                <w:rFonts w:hint="default"/>
                <w:lang w:val="sk-SK"/>
              </w:rPr>
              <w:t>atria podľ</w:t>
            </w:r>
            <w:r w:rsidRPr="00812649" w:rsidR="005418B4">
              <w:rPr>
                <w:rFonts w:hint="default"/>
                <w:lang w:val="sk-SK"/>
              </w:rPr>
              <w:t>a súč</w:t>
            </w:r>
            <w:r w:rsidRPr="00812649" w:rsidR="005418B4">
              <w:rPr>
                <w:rFonts w:hint="default"/>
                <w:lang w:val="sk-SK"/>
              </w:rPr>
              <w:t>asne</w:t>
            </w:r>
            <w:r w:rsidRPr="00812649" w:rsidR="00231A9E">
              <w:rPr>
                <w:lang w:val="sk-SK"/>
              </w:rPr>
              <w:t>j</w:t>
            </w:r>
            <w:r w:rsidRPr="00812649" w:rsidR="005418B4">
              <w:rPr>
                <w:rFonts w:hint="default"/>
                <w:lang w:val="sk-SK"/>
              </w:rPr>
              <w:t xml:space="preserve"> legislatí</w:t>
            </w:r>
            <w:r w:rsidRPr="00812649" w:rsidR="005418B4">
              <w:rPr>
                <w:rFonts w:hint="default"/>
                <w:lang w:val="sk-SK"/>
              </w:rPr>
              <w:t>vy medzi povinnú</w:t>
            </w:r>
            <w:r w:rsidRPr="00812649" w:rsidR="005418B4">
              <w:rPr>
                <w:rFonts w:hint="default"/>
                <w:lang w:val="sk-SK"/>
              </w:rPr>
              <w:t xml:space="preserve"> vý</w:t>
            </w:r>
            <w:r w:rsidRPr="00812649" w:rsidR="005418B4">
              <w:rPr>
                <w:rFonts w:hint="default"/>
                <w:lang w:val="sk-SK"/>
              </w:rPr>
              <w:t>bavu poskytovateľ</w:t>
            </w:r>
            <w:r w:rsidRPr="00812649" w:rsidR="005418B4">
              <w:rPr>
                <w:rFonts w:hint="default"/>
                <w:lang w:val="sk-SK"/>
              </w:rPr>
              <w:t>ov zdra</w:t>
            </w:r>
            <w:r w:rsidRPr="00812649" w:rsidR="00261AB5">
              <w:rPr>
                <w:rFonts w:hint="default"/>
                <w:lang w:val="sk-SK"/>
              </w:rPr>
              <w:t>votnej starosti, preto tieto pož</w:t>
            </w:r>
            <w:r w:rsidRPr="00812649" w:rsidR="00261AB5">
              <w:rPr>
                <w:rFonts w:hint="default"/>
                <w:lang w:val="sk-SK"/>
              </w:rPr>
              <w:t>iadavky nepredstavujú</w:t>
            </w:r>
            <w:r w:rsidRPr="00812649" w:rsidR="00261AB5">
              <w:rPr>
                <w:rFonts w:hint="default"/>
                <w:lang w:val="sk-SK"/>
              </w:rPr>
              <w:t xml:space="preserve"> zvýš</w:t>
            </w:r>
            <w:r w:rsidRPr="00812649" w:rsidR="00261AB5">
              <w:rPr>
                <w:rFonts w:hint="default"/>
                <w:lang w:val="sk-SK"/>
              </w:rPr>
              <w:t>ené</w:t>
            </w:r>
            <w:r w:rsidRPr="00812649" w:rsidR="00261AB5">
              <w:rPr>
                <w:rFonts w:hint="default"/>
                <w:lang w:val="sk-SK"/>
              </w:rPr>
              <w:t xml:space="preserve"> ná</w:t>
            </w:r>
            <w:r w:rsidRPr="00812649" w:rsidR="00261AB5">
              <w:rPr>
                <w:rFonts w:hint="default"/>
                <w:lang w:val="sk-SK"/>
              </w:rPr>
              <w:t xml:space="preserve">klady. </w:t>
            </w:r>
          </w:p>
          <w:p w:rsidR="005418B4" w:rsidRPr="007B5A99" w:rsidP="007B5A99">
            <w:pPr>
              <w:numPr>
                <w:numId w:val="2"/>
              </w:numPr>
              <w:bidi w:val="0"/>
              <w:rPr>
                <w:lang w:val="sk-SK"/>
              </w:rPr>
            </w:pPr>
            <w:r w:rsidR="007B5A99">
              <w:rPr>
                <w:rFonts w:hint="default"/>
                <w:lang w:val="sk-SK"/>
              </w:rPr>
              <w:t>Identifikované</w:t>
            </w:r>
            <w:r w:rsidR="007B5A99">
              <w:rPr>
                <w:rFonts w:hint="default"/>
                <w:lang w:val="sk-SK"/>
              </w:rPr>
              <w:t xml:space="preserve"> n</w:t>
            </w:r>
            <w:r w:rsidRPr="009C69EA" w:rsidR="007B5A99">
              <w:rPr>
                <w:rFonts w:hint="default"/>
                <w:lang w:val="sk-SK"/>
              </w:rPr>
              <w:t>á</w:t>
            </w:r>
            <w:r w:rsidRPr="009C69EA" w:rsidR="007B5A99">
              <w:rPr>
                <w:rFonts w:hint="default"/>
                <w:lang w:val="sk-SK"/>
              </w:rPr>
              <w:t>klady na jednu ambulanciu vo výš</w:t>
            </w:r>
            <w:r w:rsidRPr="009C69EA" w:rsidR="007B5A99">
              <w:rPr>
                <w:rFonts w:hint="default"/>
                <w:lang w:val="sk-SK"/>
              </w:rPr>
              <w:t xml:space="preserve">ke </w:t>
            </w:r>
            <w:r w:rsidR="007B5A99">
              <w:rPr>
                <w:lang w:val="sk-SK"/>
              </w:rPr>
              <w:t xml:space="preserve">cca </w:t>
            </w:r>
            <w:r w:rsidRPr="009C69EA" w:rsidR="007B5A99">
              <w:rPr>
                <w:rFonts w:hint="default"/>
                <w:lang w:val="sk-SK"/>
              </w:rPr>
              <w:t>460 euro zabezpečí</w:t>
            </w:r>
            <w:r w:rsidRPr="009C69EA" w:rsidR="007B5A99">
              <w:rPr>
                <w:rFonts w:hint="default"/>
                <w:lang w:val="sk-SK"/>
              </w:rPr>
              <w:t xml:space="preserve"> centrá</w:t>
            </w:r>
            <w:r w:rsidRPr="009C69EA" w:rsidR="007B5A99">
              <w:rPr>
                <w:rFonts w:hint="default"/>
                <w:lang w:val="sk-SK"/>
              </w:rPr>
              <w:t>lny projekt NZIS z   eurofondo</w:t>
            </w:r>
            <w:r w:rsidRPr="009C69EA" w:rsidR="007B5A99">
              <w:rPr>
                <w:rFonts w:hint="default"/>
                <w:lang w:val="sk-SK"/>
              </w:rPr>
              <w:t>v. </w:t>
            </w:r>
            <w:r w:rsidRPr="009C69EA" w:rsidR="007B5A99">
              <w:rPr>
                <w:rFonts w:hint="default"/>
                <w:lang w:val="sk-SK"/>
              </w:rPr>
              <w:t xml:space="preserve"> Tý</w:t>
            </w:r>
            <w:r w:rsidRPr="009C69EA" w:rsidR="007B5A99">
              <w:rPr>
                <w:rFonts w:hint="default"/>
                <w:lang w:val="sk-SK"/>
              </w:rPr>
              <w:t>ka sa to kaž</w:t>
            </w:r>
            <w:r w:rsidRPr="009C69EA" w:rsidR="007B5A99">
              <w:rPr>
                <w:rFonts w:hint="default"/>
                <w:lang w:val="sk-SK"/>
              </w:rPr>
              <w:t>dej ambulancie pripá</w:t>
            </w:r>
            <w:r w:rsidRPr="009C69EA" w:rsidR="007B5A99">
              <w:rPr>
                <w:rFonts w:hint="default"/>
                <w:lang w:val="sk-SK"/>
              </w:rPr>
              <w:t>janej do NZIS </w:t>
            </w:r>
            <w:r w:rsidRPr="009C69EA" w:rsidR="007B5A99">
              <w:rPr>
                <w:rFonts w:hint="default"/>
                <w:lang w:val="sk-SK"/>
              </w:rPr>
              <w:t xml:space="preserve"> - č</w:t>
            </w:r>
            <w:r w:rsidRPr="009C69EA" w:rsidR="007B5A99">
              <w:rPr>
                <w:rFonts w:hint="default"/>
                <w:lang w:val="sk-SK"/>
              </w:rPr>
              <w:t>i už</w:t>
            </w:r>
            <w:r w:rsidRPr="009C69EA" w:rsidR="007B5A99">
              <w:rPr>
                <w:rFonts w:hint="default"/>
                <w:lang w:val="sk-SK"/>
              </w:rPr>
              <w:t xml:space="preserve"> sú</w:t>
            </w:r>
            <w:r w:rsidRPr="009C69EA" w:rsidR="007B5A99">
              <w:rPr>
                <w:rFonts w:hint="default"/>
                <w:lang w:val="sk-SK"/>
              </w:rPr>
              <w:t>kromnej alebo š</w:t>
            </w:r>
            <w:r w:rsidRPr="009C69EA" w:rsidR="007B5A99">
              <w:rPr>
                <w:rFonts w:hint="default"/>
                <w:lang w:val="sk-SK"/>
              </w:rPr>
              <w:t>tá</w:t>
            </w:r>
            <w:r w:rsidRPr="009C69EA" w:rsidR="007B5A99">
              <w:rPr>
                <w:rFonts w:hint="default"/>
                <w:lang w:val="sk-SK"/>
              </w:rPr>
              <w:t>tnej. Ná</w:t>
            </w:r>
            <w:r w:rsidRPr="009C69EA" w:rsidR="007B5A99">
              <w:rPr>
                <w:rFonts w:hint="default"/>
                <w:lang w:val="sk-SK"/>
              </w:rPr>
              <w:t>klady, ktoré</w:t>
            </w:r>
            <w:r w:rsidRPr="009C69EA" w:rsidR="007B5A99">
              <w:rPr>
                <w:rFonts w:hint="default"/>
                <w:lang w:val="sk-SK"/>
              </w:rPr>
              <w:t xml:space="preserve"> pokryje centrá</w:t>
            </w:r>
            <w:r w:rsidRPr="009C69EA" w:rsidR="007B5A99">
              <w:rPr>
                <w:rFonts w:hint="default"/>
                <w:lang w:val="sk-SK"/>
              </w:rPr>
              <w:t>lny projekt </w:t>
            </w:r>
            <w:r w:rsidRPr="009C69EA" w:rsidR="007B5A99">
              <w:rPr>
                <w:rFonts w:hint="default"/>
                <w:lang w:val="sk-SK"/>
              </w:rPr>
              <w:t>zahŕň</w:t>
            </w:r>
            <w:r w:rsidRPr="009C69EA" w:rsidR="007B5A99">
              <w:rPr>
                <w:rFonts w:hint="default"/>
                <w:lang w:val="sk-SK"/>
              </w:rPr>
              <w:t>ajú</w:t>
            </w:r>
            <w:r w:rsidRPr="009C69EA" w:rsidR="007B5A99">
              <w:rPr>
                <w:rFonts w:hint="default"/>
                <w:lang w:val="sk-SK"/>
              </w:rPr>
              <w:t xml:space="preserve"> čí</w:t>
            </w:r>
            <w:r w:rsidRPr="009C69EA" w:rsidR="007B5A99">
              <w:rPr>
                <w:rFonts w:hint="default"/>
                <w:lang w:val="sk-SK"/>
              </w:rPr>
              <w:t>tač</w:t>
            </w:r>
            <w:r w:rsidRPr="009C69EA" w:rsidR="007B5A99">
              <w:rPr>
                <w:rFonts w:hint="default"/>
                <w:lang w:val="sk-SK"/>
              </w:rPr>
              <w:t>ky, karty, komunikač</w:t>
            </w:r>
            <w:r w:rsidRPr="009C69EA" w:rsidR="007B5A99">
              <w:rPr>
                <w:rFonts w:hint="default"/>
                <w:lang w:val="sk-SK"/>
              </w:rPr>
              <w:t>ný</w:t>
            </w:r>
            <w:r w:rsidRPr="009C69EA" w:rsidR="007B5A99">
              <w:rPr>
                <w:rFonts w:hint="default"/>
                <w:lang w:val="sk-SK"/>
              </w:rPr>
              <w:t xml:space="preserve"> soft</w:t>
            </w:r>
            <w:r w:rsidR="007B5A99">
              <w:rPr>
                <w:lang w:val="sk-SK"/>
              </w:rPr>
              <w:t>v</w:t>
            </w:r>
            <w:r w:rsidRPr="009C69EA" w:rsidR="007B5A99">
              <w:rPr>
                <w:rFonts w:hint="default"/>
                <w:lang w:val="sk-SK"/>
              </w:rPr>
              <w:t>é</w:t>
            </w:r>
            <w:r w:rsidRPr="009C69EA" w:rsidR="007B5A99">
              <w:rPr>
                <w:rFonts w:hint="default"/>
                <w:lang w:val="sk-SK"/>
              </w:rPr>
              <w:t>r a pripojenie do NZIS.</w:t>
            </w:r>
          </w:p>
          <w:p w:rsidR="005418B4" w:rsidRPr="00812649" w:rsidP="005418B4">
            <w:pPr>
              <w:numPr>
                <w:numId w:val="2"/>
              </w:numPr>
              <w:bidi w:val="0"/>
              <w:rPr>
                <w:lang w:val="sk-SK"/>
              </w:rPr>
            </w:pPr>
            <w:r w:rsidRPr="00812649" w:rsidR="00231A9E">
              <w:rPr>
                <w:rFonts w:hint="default"/>
                <w:lang w:val="sk-SK"/>
              </w:rPr>
              <w:t>Prevá</w:t>
            </w:r>
            <w:r w:rsidRPr="00812649" w:rsidR="00231A9E">
              <w:rPr>
                <w:rFonts w:hint="default"/>
                <w:lang w:val="sk-SK"/>
              </w:rPr>
              <w:t>dzka a </w:t>
            </w:r>
            <w:r w:rsidRPr="00812649" w:rsidR="00231A9E">
              <w:rPr>
                <w:rFonts w:hint="default"/>
                <w:lang w:val="sk-SK"/>
              </w:rPr>
              <w:t>ú</w:t>
            </w:r>
            <w:r w:rsidRPr="00812649" w:rsidR="00231A9E">
              <w:rPr>
                <w:rFonts w:hint="default"/>
                <w:lang w:val="sk-SK"/>
              </w:rPr>
              <w:t>drž</w:t>
            </w:r>
            <w:r w:rsidRPr="00812649" w:rsidR="00231A9E">
              <w:rPr>
                <w:rFonts w:hint="default"/>
                <w:lang w:val="sk-SK"/>
              </w:rPr>
              <w:t>ba informač</w:t>
            </w:r>
            <w:r w:rsidRPr="00812649" w:rsidR="00231A9E">
              <w:rPr>
                <w:rFonts w:hint="default"/>
                <w:lang w:val="sk-SK"/>
              </w:rPr>
              <w:t>ný</w:t>
            </w:r>
            <w:r w:rsidRPr="00812649" w:rsidR="00231A9E">
              <w:rPr>
                <w:rFonts w:hint="default"/>
                <w:lang w:val="sk-SK"/>
              </w:rPr>
              <w:t>ch systé</w:t>
            </w:r>
            <w:r w:rsidRPr="00812649" w:rsidR="00231A9E">
              <w:rPr>
                <w:rFonts w:hint="default"/>
                <w:lang w:val="sk-SK"/>
              </w:rPr>
              <w:t>mov poskytovateľ</w:t>
            </w:r>
            <w:r w:rsidRPr="00812649" w:rsidR="00231A9E">
              <w:rPr>
                <w:rFonts w:hint="default"/>
                <w:lang w:val="sk-SK"/>
              </w:rPr>
              <w:t>ov zdravo</w:t>
            </w:r>
            <w:r w:rsidRPr="00812649" w:rsidR="00231A9E">
              <w:rPr>
                <w:rFonts w:hint="default"/>
                <w:lang w:val="sk-SK"/>
              </w:rPr>
              <w:t>tnej starostlivosti sú</w:t>
            </w:r>
            <w:r w:rsidRPr="00812649" w:rsidR="00231A9E">
              <w:rPr>
                <w:rFonts w:hint="default"/>
                <w:lang w:val="sk-SK"/>
              </w:rPr>
              <w:t xml:space="preserve"> </w:t>
            </w:r>
            <w:r w:rsidRPr="00812649" w:rsidR="00261AB5">
              <w:rPr>
                <w:rFonts w:hint="default"/>
                <w:lang w:val="sk-SK"/>
              </w:rPr>
              <w:t>z pravidla kryté</w:t>
            </w:r>
            <w:r w:rsidRPr="00812649" w:rsidR="00261AB5">
              <w:rPr>
                <w:rFonts w:hint="default"/>
                <w:lang w:val="sk-SK"/>
              </w:rPr>
              <w:t xml:space="preserve"> zmluvami o SLA a </w:t>
            </w:r>
            <w:r w:rsidRPr="00812649" w:rsidR="00261AB5">
              <w:rPr>
                <w:rFonts w:hint="default"/>
                <w:lang w:val="sk-SK"/>
              </w:rPr>
              <w:t>ich ú</w:t>
            </w:r>
            <w:r w:rsidRPr="00812649" w:rsidR="00261AB5">
              <w:rPr>
                <w:rFonts w:hint="default"/>
                <w:lang w:val="sk-SK"/>
              </w:rPr>
              <w:t>prava na pož</w:t>
            </w:r>
            <w:r w:rsidRPr="00812649" w:rsidR="00261AB5">
              <w:rPr>
                <w:rFonts w:hint="default"/>
                <w:lang w:val="sk-SK"/>
              </w:rPr>
              <w:t>iadavky zá</w:t>
            </w:r>
            <w:r w:rsidRPr="00812649" w:rsidR="00261AB5">
              <w:rPr>
                <w:rFonts w:hint="default"/>
                <w:lang w:val="sk-SK"/>
              </w:rPr>
              <w:t>kona by preto</w:t>
            </w:r>
            <w:r w:rsidR="001C2A4E">
              <w:rPr>
                <w:lang w:val="sk-SK"/>
              </w:rPr>
              <w:t xml:space="preserve"> nemala</w:t>
            </w:r>
            <w:r w:rsidRPr="00812649" w:rsidR="00261AB5">
              <w:rPr>
                <w:rFonts w:hint="default"/>
                <w:lang w:val="sk-SK"/>
              </w:rPr>
              <w:t xml:space="preserve"> predstavovať</w:t>
            </w:r>
            <w:r w:rsidRPr="00812649" w:rsidR="00261AB5">
              <w:rPr>
                <w:rFonts w:hint="default"/>
                <w:lang w:val="sk-SK"/>
              </w:rPr>
              <w:t xml:space="preserve"> zvýš</w:t>
            </w:r>
            <w:r w:rsidRPr="00812649" w:rsidR="00261AB5">
              <w:rPr>
                <w:rFonts w:hint="default"/>
                <w:lang w:val="sk-SK"/>
              </w:rPr>
              <w:t>ené</w:t>
            </w:r>
            <w:r w:rsidRPr="00812649" w:rsidR="00261AB5">
              <w:rPr>
                <w:rFonts w:hint="default"/>
                <w:lang w:val="sk-SK"/>
              </w:rPr>
              <w:t xml:space="preserve"> ná</w:t>
            </w:r>
            <w:r w:rsidRPr="00812649" w:rsidR="00261AB5">
              <w:rPr>
                <w:rFonts w:hint="default"/>
                <w:lang w:val="sk-SK"/>
              </w:rPr>
              <w:t>klady.</w:t>
            </w:r>
          </w:p>
          <w:p w:rsidR="005418B4" w:rsidRPr="007B5A99" w:rsidP="007B5A99">
            <w:pPr>
              <w:numPr>
                <w:numId w:val="2"/>
              </w:numPr>
              <w:bidi w:val="0"/>
              <w:rPr>
                <w:lang w:val="sk-SK"/>
              </w:rPr>
            </w:pPr>
            <w:r w:rsidRPr="00812649" w:rsidR="00F40EF4">
              <w:rPr>
                <w:rFonts w:hint="default"/>
                <w:lang w:val="sk-SK"/>
              </w:rPr>
              <w:t>Zvýš</w:t>
            </w:r>
            <w:r w:rsidRPr="00812649" w:rsidR="00F40EF4">
              <w:rPr>
                <w:rFonts w:hint="default"/>
                <w:lang w:val="sk-SK"/>
              </w:rPr>
              <w:t>ený</w:t>
            </w:r>
            <w:r w:rsidRPr="00812649" w:rsidR="00F40EF4">
              <w:rPr>
                <w:rFonts w:hint="default"/>
                <w:lang w:val="sk-SK"/>
              </w:rPr>
              <w:t>mi ná</w:t>
            </w:r>
            <w:r w:rsidRPr="00812649" w:rsidR="00F40EF4">
              <w:rPr>
                <w:rFonts w:hint="default"/>
                <w:lang w:val="sk-SK"/>
              </w:rPr>
              <w:t>kladmi budú</w:t>
            </w:r>
            <w:r w:rsidRPr="00812649" w:rsidR="00F40EF4">
              <w:rPr>
                <w:rFonts w:hint="default"/>
                <w:lang w:val="sk-SK"/>
              </w:rPr>
              <w:t xml:space="preserve"> postihnutí</w:t>
            </w:r>
            <w:r w:rsidRPr="00812649" w:rsidR="00F40EF4">
              <w:rPr>
                <w:rFonts w:hint="default"/>
                <w:lang w:val="sk-SK"/>
              </w:rPr>
              <w:t xml:space="preserve"> tí</w:t>
            </w:r>
            <w:r w:rsidRPr="00812649" w:rsidR="00F40EF4">
              <w:rPr>
                <w:rFonts w:hint="default"/>
                <w:lang w:val="sk-SK"/>
              </w:rPr>
              <w:t xml:space="preserve"> poskytovatelia zdravotnej starostlivosti, ktorí</w:t>
            </w:r>
            <w:r w:rsidRPr="00812649" w:rsidR="00F40EF4">
              <w:rPr>
                <w:rFonts w:hint="default"/>
                <w:lang w:val="sk-SK"/>
              </w:rPr>
              <w:t xml:space="preserve"> doposiaľ</w:t>
            </w:r>
            <w:r w:rsidRPr="00812649" w:rsidR="00F40EF4">
              <w:rPr>
                <w:rFonts w:hint="default"/>
                <w:lang w:val="sk-SK"/>
              </w:rPr>
              <w:t xml:space="preserve"> neprevá</w:t>
            </w:r>
            <w:r w:rsidRPr="00812649" w:rsidR="00F40EF4">
              <w:rPr>
                <w:rFonts w:hint="default"/>
                <w:lang w:val="sk-SK"/>
              </w:rPr>
              <w:t>dzkujú</w:t>
            </w:r>
            <w:r w:rsidRPr="00812649" w:rsidR="00F40EF4">
              <w:rPr>
                <w:rFonts w:hint="default"/>
                <w:lang w:val="sk-SK"/>
              </w:rPr>
              <w:t xml:space="preserve"> ž</w:t>
            </w:r>
            <w:r w:rsidRPr="00812649" w:rsidR="00F40EF4">
              <w:rPr>
                <w:rFonts w:hint="default"/>
                <w:lang w:val="sk-SK"/>
              </w:rPr>
              <w:t>iaden zdrav</w:t>
            </w:r>
            <w:r w:rsidRPr="00812649" w:rsidR="00F40EF4">
              <w:rPr>
                <w:rFonts w:hint="default"/>
                <w:lang w:val="sk-SK"/>
              </w:rPr>
              <w:t>otní</w:t>
            </w:r>
            <w:r w:rsidRPr="00812649" w:rsidR="00F40EF4">
              <w:rPr>
                <w:rFonts w:hint="default"/>
                <w:lang w:val="sk-SK"/>
              </w:rPr>
              <w:t>cky informač</w:t>
            </w:r>
            <w:r w:rsidRPr="00812649" w:rsidR="00F40EF4">
              <w:rPr>
                <w:rFonts w:hint="default"/>
                <w:lang w:val="sk-SK"/>
              </w:rPr>
              <w:t>ný</w:t>
            </w:r>
            <w:r w:rsidRPr="00812649" w:rsidR="00F40EF4">
              <w:rPr>
                <w:rFonts w:hint="default"/>
                <w:lang w:val="sk-SK"/>
              </w:rPr>
              <w:t xml:space="preserve"> systé</w:t>
            </w:r>
            <w:r w:rsidRPr="00812649" w:rsidR="00F40EF4">
              <w:rPr>
                <w:rFonts w:hint="default"/>
                <w:lang w:val="sk-SK"/>
              </w:rPr>
              <w:t>m</w:t>
            </w:r>
            <w:r w:rsidR="001C2A4E">
              <w:rPr>
                <w:lang w:val="sk-SK"/>
              </w:rPr>
              <w:t>.</w:t>
            </w:r>
            <w:r w:rsidRPr="00812649" w:rsidR="00F40EF4">
              <w:rPr>
                <w:lang w:val="sk-SK"/>
              </w:rPr>
              <w:t xml:space="preserve"> </w:t>
            </w:r>
            <w:r w:rsidR="001C2A4E">
              <w:rPr>
                <w:lang w:val="sk-SK"/>
              </w:rPr>
              <w:t>J</w:t>
            </w:r>
            <w:r w:rsidRPr="00812649" w:rsidR="00F40EF4">
              <w:rPr>
                <w:lang w:val="sk-SK"/>
              </w:rPr>
              <w:t>edn</w:t>
            </w:r>
            <w:r w:rsidR="001C2A4E">
              <w:rPr>
                <w:rFonts w:hint="default"/>
                <w:lang w:val="sk-SK"/>
              </w:rPr>
              <w:t>á</w:t>
            </w:r>
            <w:r w:rsidR="001C2A4E">
              <w:rPr>
                <w:rFonts w:hint="default"/>
                <w:lang w:val="sk-SK"/>
              </w:rPr>
              <w:t xml:space="preserve"> sa</w:t>
            </w:r>
            <w:r w:rsidRPr="00812649" w:rsidR="00F40EF4">
              <w:rPr>
                <w:rFonts w:hint="default"/>
                <w:lang w:val="sk-SK"/>
              </w:rPr>
              <w:t xml:space="preserve"> predovš</w:t>
            </w:r>
            <w:r w:rsidRPr="00812649" w:rsidR="00F40EF4">
              <w:rPr>
                <w:rFonts w:hint="default"/>
                <w:lang w:val="sk-SK"/>
              </w:rPr>
              <w:t>etký</w:t>
            </w:r>
            <w:r w:rsidRPr="00812649" w:rsidR="00F40EF4">
              <w:rPr>
                <w:rFonts w:hint="default"/>
                <w:lang w:val="sk-SK"/>
              </w:rPr>
              <w:t>m o </w:t>
            </w:r>
            <w:r w:rsidRPr="00812649" w:rsidR="00F40EF4">
              <w:rPr>
                <w:rFonts w:hint="default"/>
                <w:lang w:val="sk-SK"/>
              </w:rPr>
              <w:t>ambulancie vš</w:t>
            </w:r>
            <w:r w:rsidRPr="00812649" w:rsidR="00F40EF4">
              <w:rPr>
                <w:rFonts w:hint="default"/>
                <w:lang w:val="sk-SK"/>
              </w:rPr>
              <w:t>eobecný</w:t>
            </w:r>
            <w:r w:rsidRPr="00812649" w:rsidR="00F40EF4">
              <w:rPr>
                <w:rFonts w:hint="default"/>
                <w:lang w:val="sk-SK"/>
              </w:rPr>
              <w:t>ch leká</w:t>
            </w:r>
            <w:r w:rsidRPr="00812649" w:rsidR="00F40EF4">
              <w:rPr>
                <w:rFonts w:hint="default"/>
                <w:lang w:val="sk-SK"/>
              </w:rPr>
              <w:t>rov a </w:t>
            </w:r>
            <w:r w:rsidRPr="00812649" w:rsidR="00F40EF4">
              <w:rPr>
                <w:rFonts w:hint="default"/>
                <w:lang w:val="sk-SK"/>
              </w:rPr>
              <w:t>š</w:t>
            </w:r>
            <w:r w:rsidRPr="00812649" w:rsidR="00F40EF4">
              <w:rPr>
                <w:rFonts w:hint="default"/>
                <w:lang w:val="sk-SK"/>
              </w:rPr>
              <w:t xml:space="preserve">pecialistov. </w:t>
            </w:r>
            <w:r w:rsidR="00812649">
              <w:rPr>
                <w:rFonts w:hint="default"/>
                <w:lang w:val="sk-SK"/>
              </w:rPr>
              <w:t>Predkladateľ</w:t>
            </w:r>
            <w:r w:rsidR="00812649">
              <w:rPr>
                <w:rFonts w:hint="default"/>
                <w:lang w:val="sk-SK"/>
              </w:rPr>
              <w:t xml:space="preserve"> nedisponuje informá</w:t>
            </w:r>
            <w:r w:rsidR="00812649">
              <w:rPr>
                <w:rFonts w:hint="default"/>
                <w:lang w:val="sk-SK"/>
              </w:rPr>
              <w:t>ciou o poč</w:t>
            </w:r>
            <w:r w:rsidR="00812649">
              <w:rPr>
                <w:rFonts w:hint="default"/>
                <w:lang w:val="sk-SK"/>
              </w:rPr>
              <w:t>te taký</w:t>
            </w:r>
            <w:r w:rsidR="00812649">
              <w:rPr>
                <w:rFonts w:hint="default"/>
                <w:lang w:val="sk-SK"/>
              </w:rPr>
              <w:t>ch to poskytovateľ</w:t>
            </w:r>
            <w:r w:rsidR="00812649">
              <w:rPr>
                <w:rFonts w:hint="default"/>
                <w:lang w:val="sk-SK"/>
              </w:rPr>
              <w:t>ov.</w:t>
            </w:r>
          </w:p>
          <w:p w:rsidR="00C72886" w:rsidRPr="00812649" w:rsidP="00A76810">
            <w:pPr>
              <w:bidi w:val="0"/>
              <w:rPr>
                <w:lang w:val="sk-SK"/>
              </w:rPr>
            </w:pPr>
          </w:p>
          <w:p w:rsidR="00085767" w:rsidRPr="00812649" w:rsidP="00A76810">
            <w:pPr>
              <w:bidi w:val="0"/>
              <w:rPr>
                <w:lang w:val="sk-SK"/>
              </w:rPr>
            </w:pPr>
            <w:r w:rsidRPr="00812649">
              <w:rPr>
                <w:rFonts w:hint="default"/>
                <w:lang w:val="sk-SK"/>
              </w:rPr>
              <w:t>Ná</w:t>
            </w:r>
            <w:r w:rsidRPr="00812649">
              <w:rPr>
                <w:rFonts w:hint="default"/>
                <w:lang w:val="sk-SK"/>
              </w:rPr>
              <w:t>klady</w:t>
            </w:r>
            <w:r w:rsidRPr="00812649" w:rsidR="00C72886">
              <w:rPr>
                <w:rFonts w:hint="default"/>
                <w:lang w:val="sk-SK"/>
              </w:rPr>
              <w:t xml:space="preserve"> zdravotný</w:t>
            </w:r>
            <w:r w:rsidRPr="00812649" w:rsidR="00C72886">
              <w:rPr>
                <w:rFonts w:hint="default"/>
                <w:lang w:val="sk-SK"/>
              </w:rPr>
              <w:t>ch poisť</w:t>
            </w:r>
            <w:r w:rsidRPr="00812649" w:rsidR="00C72886">
              <w:rPr>
                <w:rFonts w:hint="default"/>
                <w:lang w:val="sk-SK"/>
              </w:rPr>
              <w:t>ovní</w:t>
            </w:r>
            <w:r w:rsidRPr="00812649">
              <w:rPr>
                <w:lang w:val="sk-SK"/>
              </w:rPr>
              <w:t>:</w:t>
            </w:r>
          </w:p>
          <w:p w:rsidR="00085767" w:rsidRPr="00812649" w:rsidP="00A76810">
            <w:pPr>
              <w:numPr>
                <w:numId w:val="2"/>
              </w:numPr>
              <w:bidi w:val="0"/>
              <w:rPr>
                <w:lang w:val="sk-SK"/>
              </w:rPr>
            </w:pPr>
            <w:r w:rsidRPr="00812649" w:rsidR="00F40EF4">
              <w:rPr>
                <w:rFonts w:hint="default"/>
                <w:lang w:val="sk-SK"/>
              </w:rPr>
              <w:t>Implementá</w:t>
            </w:r>
            <w:r w:rsidRPr="00812649" w:rsidR="00F40EF4">
              <w:rPr>
                <w:rFonts w:hint="default"/>
                <w:lang w:val="sk-SK"/>
              </w:rPr>
              <w:t>cia</w:t>
            </w:r>
            <w:r w:rsidRPr="00812649">
              <w:rPr>
                <w:lang w:val="sk-SK"/>
              </w:rPr>
              <w:t xml:space="preserve"> NZIS </w:t>
            </w:r>
            <w:r w:rsidRPr="00812649" w:rsidR="00C72886">
              <w:rPr>
                <w:lang w:val="sk-SK"/>
              </w:rPr>
              <w:t xml:space="preserve">v roku 2013 </w:t>
            </w:r>
            <w:r w:rsidRPr="00812649" w:rsidR="00474D5D">
              <w:rPr>
                <w:lang w:val="sk-SK"/>
              </w:rPr>
              <w:t xml:space="preserve">- </w:t>
            </w:r>
            <w:r w:rsidRPr="00812649">
              <w:rPr>
                <w:lang w:val="sk-SK"/>
              </w:rPr>
              <w:t xml:space="preserve">cca. </w:t>
            </w:r>
            <w:r w:rsidRPr="00812649" w:rsidR="00C72886">
              <w:rPr>
                <w:lang w:val="sk-SK"/>
              </w:rPr>
              <w:t>3,9 mil. EUR z pr</w:t>
            </w:r>
            <w:r w:rsidRPr="00812649" w:rsidR="00C72886">
              <w:rPr>
                <w:rFonts w:hint="default"/>
                <w:lang w:val="sk-SK"/>
              </w:rPr>
              <w:t>í</w:t>
            </w:r>
            <w:r w:rsidRPr="00812649" w:rsidR="00C72886">
              <w:rPr>
                <w:rFonts w:hint="default"/>
                <w:lang w:val="sk-SK"/>
              </w:rPr>
              <w:t>spevku poisť</w:t>
            </w:r>
            <w:r w:rsidRPr="00812649" w:rsidR="00C72886">
              <w:rPr>
                <w:rFonts w:hint="default"/>
                <w:lang w:val="sk-SK"/>
              </w:rPr>
              <w:t>ovní</w:t>
            </w:r>
            <w:r w:rsidRPr="00812649" w:rsidR="00C72886">
              <w:rPr>
                <w:rFonts w:hint="default"/>
                <w:lang w:val="sk-SK"/>
              </w:rPr>
              <w:t xml:space="preserve"> (zvyš</w:t>
            </w:r>
            <w:r w:rsidRPr="00812649" w:rsidR="00C72886">
              <w:rPr>
                <w:rFonts w:hint="default"/>
                <w:lang w:val="sk-SK"/>
              </w:rPr>
              <w:t xml:space="preserve">ok </w:t>
            </w:r>
            <w:r w:rsidRPr="006215FE" w:rsidR="00C72886">
              <w:rPr>
                <w:lang w:val="sk-SK"/>
              </w:rPr>
              <w:t xml:space="preserve">cca. </w:t>
            </w:r>
            <w:r w:rsidRPr="006215FE" w:rsidR="006215FE">
              <w:rPr>
                <w:lang w:val="sk-SK"/>
              </w:rPr>
              <w:t>1,</w:t>
            </w:r>
            <w:r w:rsidR="006215FE">
              <w:rPr>
                <w:lang w:val="sk-SK"/>
              </w:rPr>
              <w:t>2</w:t>
            </w:r>
            <w:r w:rsidRPr="006215FE" w:rsidR="006215FE">
              <w:rPr>
                <w:lang w:val="sk-SK"/>
              </w:rPr>
              <w:t xml:space="preserve"> </w:t>
            </w:r>
            <w:r w:rsidRPr="006215FE" w:rsidR="00C72886">
              <w:rPr>
                <w:rFonts w:hint="default"/>
                <w:lang w:val="sk-SK"/>
              </w:rPr>
              <w:t>mil. €</w:t>
            </w:r>
            <w:r w:rsidRPr="006215FE" w:rsidR="00C72886">
              <w:rPr>
                <w:rFonts w:hint="default"/>
                <w:lang w:val="sk-SK"/>
              </w:rPr>
              <w:t xml:space="preserve"> kryté</w:t>
            </w:r>
            <w:r w:rsidRPr="006215FE" w:rsidR="00C72886">
              <w:rPr>
                <w:rFonts w:hint="default"/>
                <w:lang w:val="sk-SK"/>
              </w:rPr>
              <w:t xml:space="preserve"> z rozpoč</w:t>
            </w:r>
            <w:r w:rsidRPr="006215FE" w:rsidR="00C72886">
              <w:rPr>
                <w:rFonts w:hint="default"/>
                <w:lang w:val="sk-SK"/>
              </w:rPr>
              <w:t>tu).</w:t>
            </w:r>
            <w:r w:rsidRPr="00812649">
              <w:rPr>
                <w:lang w:val="sk-SK"/>
              </w:rPr>
              <w:t xml:space="preserve"> </w:t>
            </w:r>
          </w:p>
          <w:p w:rsidR="00C72886" w:rsidRPr="00812649" w:rsidP="00A76810">
            <w:pPr>
              <w:numPr>
                <w:numId w:val="2"/>
              </w:numPr>
              <w:bidi w:val="0"/>
              <w:rPr>
                <w:lang w:val="sk-SK"/>
              </w:rPr>
            </w:pPr>
            <w:r w:rsidRPr="00812649" w:rsidR="00085767">
              <w:rPr>
                <w:rFonts w:hint="default"/>
                <w:lang w:val="sk-SK"/>
              </w:rPr>
              <w:t>Prevá</w:t>
            </w:r>
            <w:r w:rsidRPr="00812649" w:rsidR="00085767">
              <w:rPr>
                <w:rFonts w:hint="default"/>
                <w:lang w:val="sk-SK"/>
              </w:rPr>
              <w:t xml:space="preserve">dzka NZIS </w:t>
            </w:r>
            <w:r w:rsidRPr="00812649">
              <w:rPr>
                <w:rFonts w:hint="default"/>
                <w:lang w:val="sk-SK"/>
              </w:rPr>
              <w:t>kaž</w:t>
            </w:r>
            <w:r w:rsidRPr="00812649">
              <w:rPr>
                <w:rFonts w:hint="default"/>
                <w:lang w:val="sk-SK"/>
              </w:rPr>
              <w:t>doroč</w:t>
            </w:r>
            <w:r w:rsidRPr="00812649">
              <w:rPr>
                <w:rFonts w:hint="default"/>
                <w:lang w:val="sk-SK"/>
              </w:rPr>
              <w:t xml:space="preserve">ne </w:t>
            </w:r>
            <w:r w:rsidRPr="00812649" w:rsidR="00474D5D">
              <w:rPr>
                <w:lang w:val="sk-SK"/>
              </w:rPr>
              <w:t xml:space="preserve">- </w:t>
            </w:r>
            <w:r w:rsidRPr="00812649" w:rsidR="00085767">
              <w:rPr>
                <w:lang w:val="sk-SK"/>
              </w:rPr>
              <w:t>cca. 9,5</w:t>
            </w:r>
            <w:r w:rsidRPr="00812649">
              <w:rPr>
                <w:lang w:val="sk-SK"/>
              </w:rPr>
              <w:t xml:space="preserve"> mil. EUR.</w:t>
            </w:r>
          </w:p>
          <w:p w:rsidR="00474D5D" w:rsidRPr="00812649" w:rsidP="00474D5D">
            <w:pPr>
              <w:numPr>
                <w:numId w:val="2"/>
              </w:numPr>
              <w:bidi w:val="0"/>
              <w:rPr>
                <w:lang w:val="sk-SK"/>
              </w:rPr>
            </w:pPr>
            <w:r w:rsidRPr="00812649">
              <w:rPr>
                <w:rFonts w:hint="default"/>
                <w:lang w:val="sk-SK"/>
              </w:rPr>
              <w:t>Vydanie elektronický</w:t>
            </w:r>
            <w:r w:rsidRPr="00812649">
              <w:rPr>
                <w:rFonts w:hint="default"/>
                <w:lang w:val="sk-SK"/>
              </w:rPr>
              <w:t xml:space="preserve">ch preukazov poistenca </w:t>
            </w:r>
            <w:r w:rsidRPr="00812649" w:rsidR="00F40EF4">
              <w:rPr>
                <w:lang w:val="sk-SK"/>
              </w:rPr>
              <w:t>do</w:t>
            </w:r>
            <w:r w:rsidRPr="00812649">
              <w:rPr>
                <w:lang w:val="sk-SK"/>
              </w:rPr>
              <w:t> </w:t>
            </w:r>
            <w:r w:rsidRPr="00812649">
              <w:rPr>
                <w:lang w:val="sk-SK"/>
              </w:rPr>
              <w:t>roku 2015</w:t>
            </w:r>
            <w:r w:rsidRPr="00812649" w:rsidR="00C72886">
              <w:rPr>
                <w:lang w:val="sk-SK"/>
              </w:rPr>
              <w:t xml:space="preserve"> </w:t>
            </w:r>
            <w:r w:rsidRPr="00812649" w:rsidR="00C72886">
              <w:rPr>
                <w:rFonts w:hint="default"/>
                <w:lang w:val="sk-SK"/>
              </w:rPr>
              <w:t>–</w:t>
            </w:r>
            <w:r w:rsidRPr="00812649" w:rsidR="00C72886">
              <w:rPr>
                <w:rFonts w:hint="default"/>
                <w:lang w:val="sk-SK"/>
              </w:rPr>
              <w:t xml:space="preserve"> cca 10 mil. €.</w:t>
            </w:r>
          </w:p>
          <w:p w:rsidR="002D793F" w:rsidRPr="00812649" w:rsidP="002D793F">
            <w:pPr>
              <w:bidi w:val="0"/>
              <w:rPr>
                <w:lang w:val="sk-SK"/>
              </w:rPr>
            </w:pPr>
          </w:p>
        </w:tc>
      </w:tr>
    </w:tbl>
    <w:p w:rsidR="00085767" w:rsidRPr="00812649" w:rsidP="00085767">
      <w:pPr>
        <w:bidi w:val="0"/>
        <w:rPr>
          <w:lang w:val="sk-SK"/>
        </w:rPr>
      </w:pPr>
    </w:p>
    <w:p w:rsidR="00D92308" w:rsidP="00D92308">
      <w:pPr>
        <w:bidi w:val="0"/>
        <w:jc w:val="center"/>
        <w:rPr>
          <w:b/>
          <w:bCs/>
          <w:sz w:val="28"/>
          <w:szCs w:val="28"/>
          <w:lang w:val="sk-SK"/>
        </w:rPr>
      </w:pPr>
    </w:p>
    <w:p w:rsidR="00085767" w:rsidP="00D92308">
      <w:pPr>
        <w:bidi w:val="0"/>
        <w:jc w:val="center"/>
        <w:rPr>
          <w:b/>
          <w:bCs/>
          <w:sz w:val="28"/>
          <w:szCs w:val="28"/>
          <w:lang w:val="sk-SK"/>
        </w:rPr>
      </w:pPr>
      <w:r w:rsidRPr="00D92308">
        <w:rPr>
          <w:rFonts w:hint="default"/>
          <w:b/>
          <w:bCs/>
          <w:sz w:val="28"/>
          <w:szCs w:val="28"/>
          <w:lang w:val="sk-SK"/>
        </w:rPr>
        <w:t>Vplyvy na informatizá</w:t>
      </w:r>
      <w:r w:rsidRPr="00D92308">
        <w:rPr>
          <w:rFonts w:hint="default"/>
          <w:b/>
          <w:bCs/>
          <w:sz w:val="28"/>
          <w:szCs w:val="28"/>
          <w:lang w:val="sk-SK"/>
        </w:rPr>
        <w:t>ciu spoloč</w:t>
      </w:r>
      <w:r w:rsidRPr="00D92308">
        <w:rPr>
          <w:rFonts w:hint="default"/>
          <w:b/>
          <w:bCs/>
          <w:sz w:val="28"/>
          <w:szCs w:val="28"/>
          <w:lang w:val="sk-SK"/>
        </w:rPr>
        <w:t>nosti</w:t>
      </w:r>
    </w:p>
    <w:p w:rsidR="00D92308" w:rsidRPr="00D92308" w:rsidP="00D92308">
      <w:pPr>
        <w:bidi w:val="0"/>
        <w:jc w:val="center"/>
        <w:rPr>
          <w:b/>
          <w:bCs/>
          <w:sz w:val="28"/>
          <w:szCs w:val="28"/>
          <w:lang w:val="sk-SK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85767" w:rsidRPr="00812649" w:rsidP="00A76810">
            <w:pPr>
              <w:bidi w:val="0"/>
              <w:spacing w:line="20" w:lineRule="atLeast"/>
              <w:jc w:val="both"/>
              <w:rPr>
                <w:rFonts w:hint="default"/>
                <w:b/>
                <w:lang w:val="sk-SK"/>
              </w:rPr>
            </w:pPr>
            <w:r w:rsidRPr="00812649">
              <w:rPr>
                <w:rFonts w:hint="default"/>
                <w:b/>
                <w:lang w:val="sk-SK"/>
              </w:rPr>
              <w:t>Budovanie zá</w:t>
            </w:r>
            <w:r w:rsidRPr="00812649">
              <w:rPr>
                <w:rFonts w:hint="default"/>
                <w:b/>
                <w:lang w:val="sk-SK"/>
              </w:rPr>
              <w:t>kladný</w:t>
            </w:r>
            <w:r w:rsidRPr="00812649">
              <w:rPr>
                <w:rFonts w:hint="default"/>
                <w:b/>
                <w:lang w:val="sk-SK"/>
              </w:rPr>
              <w:t>ch pilierov in</w:t>
            </w:r>
            <w:r w:rsidRPr="00812649">
              <w:rPr>
                <w:rFonts w:hint="default"/>
                <w:b/>
                <w:lang w:val="sk-SK"/>
              </w:rPr>
              <w:t>formatizá</w:t>
            </w:r>
            <w:r w:rsidRPr="00812649">
              <w:rPr>
                <w:rFonts w:hint="default"/>
                <w:b/>
                <w:lang w:val="sk-SK"/>
              </w:rPr>
              <w:t>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85767" w:rsidRPr="00812649" w:rsidP="00A76810">
            <w:pPr>
              <w:bidi w:val="0"/>
              <w:rPr>
                <w:b/>
                <w:i/>
                <w:iCs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85767" w:rsidRPr="00812649" w:rsidP="00A76810">
            <w:pPr>
              <w:bidi w:val="0"/>
              <w:spacing w:line="20" w:lineRule="atLeast"/>
              <w:jc w:val="both"/>
              <w:rPr>
                <w:b/>
                <w:lang w:val="sk-SK"/>
              </w:rPr>
            </w:pPr>
            <w:r w:rsidRPr="00812649">
              <w:rPr>
                <w:b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85767" w:rsidRPr="00812649" w:rsidP="00A76810">
            <w:pPr>
              <w:bidi w:val="0"/>
              <w:rPr>
                <w:i/>
                <w:iCs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6.1.</w:t>
            </w:r>
            <w:r w:rsidRPr="00812649">
              <w:rPr>
                <w:rFonts w:hint="default"/>
                <w:lang w:val="sk-SK"/>
              </w:rPr>
              <w:t xml:space="preserve"> Rozš</w:t>
            </w:r>
            <w:r w:rsidRPr="00812649">
              <w:rPr>
                <w:rFonts w:hint="default"/>
                <w:lang w:val="sk-SK"/>
              </w:rPr>
              <w:t>irujú</w:t>
            </w:r>
            <w:r w:rsidRPr="00812649">
              <w:rPr>
                <w:rFonts w:hint="default"/>
                <w:lang w:val="sk-SK"/>
              </w:rPr>
              <w:t xml:space="preserve"> alebo inovujú</w:t>
            </w:r>
            <w:r w:rsidRPr="00812649">
              <w:rPr>
                <w:rFonts w:hint="default"/>
                <w:lang w:val="sk-SK"/>
              </w:rPr>
              <w:t xml:space="preserve">  sa existujú</w:t>
            </w:r>
            <w:r w:rsidRPr="00812649">
              <w:rPr>
                <w:rFonts w:hint="default"/>
                <w:lang w:val="sk-SK"/>
              </w:rPr>
              <w:t>ce alebo vytvá</w:t>
            </w:r>
            <w:r w:rsidRPr="00812649">
              <w:rPr>
                <w:rFonts w:hint="default"/>
                <w:lang w:val="sk-SK"/>
              </w:rPr>
              <w:t>rajú</w:t>
            </w:r>
            <w:r w:rsidRPr="00812649">
              <w:rPr>
                <w:rFonts w:hint="default"/>
                <w:lang w:val="sk-SK"/>
              </w:rPr>
              <w:t xml:space="preserve"> sa č</w:t>
            </w:r>
            <w:r w:rsidRPr="00812649">
              <w:rPr>
                <w:rFonts w:hint="default"/>
                <w:lang w:val="sk-SK"/>
              </w:rPr>
              <w:t>i zavá</w:t>
            </w:r>
            <w:r w:rsidRPr="00812649">
              <w:rPr>
                <w:rFonts w:hint="default"/>
                <w:lang w:val="sk-SK"/>
              </w:rPr>
              <w:t>dzajú</w:t>
            </w:r>
            <w:r w:rsidRPr="00812649">
              <w:rPr>
                <w:rFonts w:hint="default"/>
                <w:lang w:val="sk-SK"/>
              </w:rPr>
              <w:t xml:space="preserve">  sa nové</w:t>
            </w:r>
            <w:r w:rsidRPr="00812649">
              <w:rPr>
                <w:rFonts w:hint="default"/>
                <w:lang w:val="sk-SK"/>
              </w:rPr>
              <w:t xml:space="preserve"> elektronické</w:t>
            </w:r>
            <w:r w:rsidRPr="00812649">
              <w:rPr>
                <w:rFonts w:hint="default"/>
                <w:lang w:val="sk-SK"/>
              </w:rPr>
              <w:t xml:space="preserve"> služ</w:t>
            </w:r>
            <w:r w:rsidRPr="00812649">
              <w:rPr>
                <w:rFonts w:hint="default"/>
                <w:lang w:val="sk-SK"/>
              </w:rPr>
              <w:t>by?</w:t>
            </w:r>
          </w:p>
          <w:p w:rsidR="00085767" w:rsidRPr="00812649" w:rsidP="00A76810">
            <w:pPr>
              <w:bidi w:val="0"/>
              <w:spacing w:line="20" w:lineRule="atLeast"/>
              <w:jc w:val="both"/>
              <w:rPr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color w:val="000000"/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>Zá</w:t>
            </w:r>
            <w:r w:rsidRPr="00812649">
              <w:rPr>
                <w:rFonts w:hint="default"/>
                <w:color w:val="000000"/>
                <w:lang w:val="sk-SK"/>
              </w:rPr>
              <w:t>kon zavá</w:t>
            </w:r>
            <w:r w:rsidRPr="00812649">
              <w:rPr>
                <w:rFonts w:hint="default"/>
                <w:color w:val="000000"/>
                <w:lang w:val="sk-SK"/>
              </w:rPr>
              <w:t>dza služ</w:t>
            </w:r>
            <w:r w:rsidRPr="00812649">
              <w:rPr>
                <w:rFonts w:hint="default"/>
                <w:color w:val="000000"/>
                <w:lang w:val="sk-SK"/>
              </w:rPr>
              <w:t>by elektronické</w:t>
            </w:r>
            <w:r w:rsidRPr="00812649">
              <w:rPr>
                <w:rFonts w:hint="default"/>
                <w:color w:val="000000"/>
                <w:lang w:val="sk-SK"/>
              </w:rPr>
              <w:t>ho zdravotní</w:t>
            </w:r>
            <w:r w:rsidRPr="00812649">
              <w:rPr>
                <w:rFonts w:hint="default"/>
                <w:color w:val="000000"/>
                <w:lang w:val="sk-SK"/>
              </w:rPr>
              <w:t>ctva e-Health.</w:t>
            </w:r>
          </w:p>
          <w:p w:rsidR="00085767" w:rsidRPr="00812649" w:rsidP="00A76810">
            <w:pPr>
              <w:bidi w:val="0"/>
              <w:rPr>
                <w:rFonts w:hint="default"/>
                <w:color w:val="000000"/>
                <w:lang w:val="sk-SK"/>
              </w:rPr>
            </w:pPr>
          </w:p>
          <w:p w:rsidR="00085767" w:rsidRPr="00812649" w:rsidP="00A76810">
            <w:pPr>
              <w:bidi w:val="0"/>
              <w:rPr>
                <w:rFonts w:hint="default"/>
                <w:color w:val="000000"/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>Ná</w:t>
            </w:r>
            <w:r w:rsidRPr="00812649">
              <w:rPr>
                <w:rFonts w:hint="default"/>
                <w:color w:val="000000"/>
                <w:lang w:val="sk-SK"/>
              </w:rPr>
              <w:t>rodný</w:t>
            </w:r>
            <w:r w:rsidRPr="00812649">
              <w:rPr>
                <w:rFonts w:hint="default"/>
                <w:color w:val="000000"/>
                <w:lang w:val="sk-SK"/>
              </w:rPr>
              <w:t xml:space="preserve"> zdravotní</w:t>
            </w:r>
            <w:r w:rsidRPr="00812649">
              <w:rPr>
                <w:rFonts w:hint="default"/>
                <w:color w:val="000000"/>
                <w:lang w:val="sk-SK"/>
              </w:rPr>
              <w:t>cky informač</w:t>
            </w:r>
            <w:r w:rsidRPr="00812649">
              <w:rPr>
                <w:rFonts w:hint="default"/>
                <w:color w:val="000000"/>
                <w:lang w:val="sk-SK"/>
              </w:rPr>
              <w:t>ný</w:t>
            </w:r>
            <w:r w:rsidRPr="00812649">
              <w:rPr>
                <w:rFonts w:hint="default"/>
                <w:color w:val="000000"/>
                <w:lang w:val="sk-SK"/>
              </w:rPr>
              <w:t xml:space="preserve"> systé</w:t>
            </w:r>
            <w:r w:rsidRPr="00812649">
              <w:rPr>
                <w:rFonts w:hint="default"/>
                <w:color w:val="000000"/>
                <w:lang w:val="sk-SK"/>
              </w:rPr>
              <w:t>m zavá</w:t>
            </w:r>
            <w:r w:rsidRPr="00812649">
              <w:rPr>
                <w:rFonts w:hint="default"/>
                <w:color w:val="000000"/>
                <w:lang w:val="sk-SK"/>
              </w:rPr>
              <w:t>dza ú</w:t>
            </w:r>
            <w:r w:rsidRPr="00812649">
              <w:rPr>
                <w:rFonts w:hint="default"/>
                <w:color w:val="000000"/>
                <w:lang w:val="sk-SK"/>
              </w:rPr>
              <w:t>roveň</w:t>
            </w:r>
            <w:r w:rsidRPr="00812649">
              <w:rPr>
                <w:rFonts w:hint="default"/>
                <w:color w:val="000000"/>
                <w:lang w:val="sk-SK"/>
              </w:rPr>
              <w:t xml:space="preserve"> III. inform</w:t>
            </w:r>
            <w:r w:rsidRPr="00812649">
              <w:rPr>
                <w:rFonts w:hint="default"/>
                <w:color w:val="000000"/>
                <w:lang w:val="sk-SK"/>
              </w:rPr>
              <w:t>atizá</w:t>
            </w:r>
            <w:r w:rsidRPr="00812649">
              <w:rPr>
                <w:rFonts w:hint="default"/>
                <w:color w:val="000000"/>
                <w:lang w:val="sk-SK"/>
              </w:rPr>
              <w:t>cie.</w:t>
            </w:r>
          </w:p>
          <w:p w:rsidR="00085767" w:rsidRPr="00812649" w:rsidP="00A76810">
            <w:pPr>
              <w:bidi w:val="0"/>
              <w:rPr>
                <w:rFonts w:hint="default"/>
                <w:color w:val="000000"/>
                <w:lang w:val="sk-SK"/>
              </w:rPr>
            </w:pPr>
          </w:p>
          <w:p w:rsidR="00085767" w:rsidRPr="00812649" w:rsidP="00A76810">
            <w:pPr>
              <w:bidi w:val="0"/>
              <w:rPr>
                <w:rFonts w:hint="default"/>
                <w:color w:val="000000"/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>Ná</w:t>
            </w:r>
            <w:r w:rsidRPr="00812649">
              <w:rPr>
                <w:rFonts w:hint="default"/>
                <w:color w:val="000000"/>
                <w:lang w:val="sk-SK"/>
              </w:rPr>
              <w:t>rodný</w:t>
            </w:r>
            <w:r w:rsidRPr="00812649">
              <w:rPr>
                <w:rFonts w:hint="default"/>
                <w:color w:val="000000"/>
                <w:lang w:val="sk-SK"/>
              </w:rPr>
              <w:t xml:space="preserve"> portá</w:t>
            </w:r>
            <w:r w:rsidRPr="00812649">
              <w:rPr>
                <w:rFonts w:hint="default"/>
                <w:color w:val="000000"/>
                <w:lang w:val="sk-SK"/>
              </w:rPr>
              <w:t>l zdravia zavá</w:t>
            </w:r>
            <w:r w:rsidRPr="00812649">
              <w:rPr>
                <w:rFonts w:hint="default"/>
                <w:color w:val="000000"/>
                <w:lang w:val="sk-SK"/>
              </w:rPr>
              <w:t>dza ú</w:t>
            </w:r>
            <w:r w:rsidRPr="00812649">
              <w:rPr>
                <w:rFonts w:hint="default"/>
                <w:color w:val="000000"/>
                <w:lang w:val="sk-SK"/>
              </w:rPr>
              <w:t>roveň</w:t>
            </w:r>
            <w:r w:rsidRPr="00812649">
              <w:rPr>
                <w:rFonts w:hint="default"/>
                <w:color w:val="000000"/>
                <w:lang w:val="sk-SK"/>
              </w:rPr>
              <w:t xml:space="preserve"> I. informatizá</w:t>
            </w:r>
            <w:r w:rsidRPr="00812649">
              <w:rPr>
                <w:rFonts w:hint="default"/>
                <w:color w:val="000000"/>
                <w:lang w:val="sk-SK"/>
              </w:rPr>
              <w:t>cie.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6.2.</w:t>
            </w:r>
            <w:r w:rsidRPr="00812649">
              <w:rPr>
                <w:rFonts w:hint="default"/>
                <w:lang w:val="sk-SK"/>
              </w:rPr>
              <w:t xml:space="preserve"> Vytvá</w:t>
            </w:r>
            <w:r w:rsidRPr="00812649">
              <w:rPr>
                <w:rFonts w:hint="default"/>
                <w:lang w:val="sk-SK"/>
              </w:rPr>
              <w:t>rajú</w:t>
            </w:r>
            <w:r w:rsidRPr="00812649">
              <w:rPr>
                <w:rFonts w:hint="default"/>
                <w:lang w:val="sk-SK"/>
              </w:rPr>
              <w:t xml:space="preserve"> sa podmienky pre sé</w:t>
            </w:r>
            <w:r w:rsidRPr="00812649">
              <w:rPr>
                <w:rFonts w:hint="default"/>
                <w:lang w:val="sk-SK"/>
              </w:rPr>
              <w:t>mantickú</w:t>
            </w:r>
            <w:r w:rsidRPr="00812649">
              <w:rPr>
                <w:rFonts w:hint="default"/>
                <w:lang w:val="sk-SK"/>
              </w:rPr>
              <w:t xml:space="preserve"> interoperabilitu?</w:t>
            </w:r>
          </w:p>
          <w:p w:rsidR="00085767" w:rsidRPr="00812649" w:rsidP="00A76810">
            <w:pPr>
              <w:bidi w:val="0"/>
              <w:spacing w:line="20" w:lineRule="atLeast"/>
              <w:jc w:val="both"/>
              <w:rPr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color w:val="000000"/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>Predkladaný</w:t>
            </w:r>
            <w:r w:rsidRPr="00812649">
              <w:rPr>
                <w:rFonts w:hint="default"/>
                <w:color w:val="000000"/>
                <w:lang w:val="sk-SK"/>
              </w:rPr>
              <w:t xml:space="preserve"> materiá</w:t>
            </w:r>
            <w:r w:rsidRPr="00812649">
              <w:rPr>
                <w:rFonts w:hint="default"/>
                <w:color w:val="000000"/>
                <w:lang w:val="sk-SK"/>
              </w:rPr>
              <w:t>l vytvá</w:t>
            </w:r>
            <w:r w:rsidRPr="00812649">
              <w:rPr>
                <w:rFonts w:hint="default"/>
                <w:color w:val="000000"/>
                <w:lang w:val="sk-SK"/>
              </w:rPr>
              <w:t>ra podmienky pre sé</w:t>
            </w:r>
            <w:r w:rsidRPr="00812649">
              <w:rPr>
                <w:rFonts w:hint="default"/>
                <w:color w:val="000000"/>
                <w:lang w:val="sk-SK"/>
              </w:rPr>
              <w:t>mantickú</w:t>
            </w:r>
            <w:r w:rsidRPr="00812649">
              <w:rPr>
                <w:rFonts w:hint="default"/>
                <w:color w:val="000000"/>
                <w:lang w:val="sk-SK"/>
              </w:rPr>
              <w:t xml:space="preserve"> interoperabilitu medzi: </w:t>
            </w:r>
          </w:p>
          <w:p w:rsidR="00085767" w:rsidRPr="00812649" w:rsidP="00A76810">
            <w:pPr>
              <w:tabs>
                <w:tab w:val="left" w:pos="380"/>
              </w:tabs>
              <w:bidi w:val="0"/>
              <w:ind w:left="380" w:hanging="283"/>
              <w:rPr>
                <w:rFonts w:hint="default"/>
                <w:color w:val="000000"/>
                <w:lang w:val="sk-SK"/>
              </w:rPr>
            </w:pPr>
            <w:r w:rsidRPr="00812649">
              <w:rPr>
                <w:color w:val="000000"/>
                <w:lang w:val="sk-SK"/>
              </w:rPr>
              <w:t xml:space="preserve">- </w:t>
              <w:tab/>
            </w:r>
            <w:r w:rsidRPr="00812649">
              <w:rPr>
                <w:rFonts w:hint="default"/>
                <w:color w:val="000000"/>
                <w:lang w:val="sk-SK"/>
              </w:rPr>
              <w:t>zdravotní</w:t>
            </w:r>
            <w:r w:rsidRPr="00812649">
              <w:rPr>
                <w:rFonts w:hint="default"/>
                <w:color w:val="000000"/>
                <w:lang w:val="sk-SK"/>
              </w:rPr>
              <w:t>ckymi informač</w:t>
            </w:r>
            <w:r w:rsidRPr="00812649">
              <w:rPr>
                <w:rFonts w:hint="default"/>
                <w:color w:val="000000"/>
                <w:lang w:val="sk-SK"/>
              </w:rPr>
              <w:t>ný</w:t>
            </w:r>
            <w:r w:rsidRPr="00812649">
              <w:rPr>
                <w:rFonts w:hint="default"/>
                <w:color w:val="000000"/>
                <w:lang w:val="sk-SK"/>
              </w:rPr>
              <w:t>mi systé</w:t>
            </w:r>
            <w:r w:rsidRPr="00812649">
              <w:rPr>
                <w:rFonts w:hint="default"/>
                <w:color w:val="000000"/>
                <w:lang w:val="sk-SK"/>
              </w:rPr>
              <w:t>mami pomoc</w:t>
            </w:r>
            <w:r w:rsidRPr="00812649">
              <w:rPr>
                <w:rFonts w:hint="default"/>
                <w:color w:val="000000"/>
                <w:lang w:val="sk-SK"/>
              </w:rPr>
              <w:t>ou stanovenia terminologický</w:t>
            </w:r>
            <w:r w:rsidRPr="00812649">
              <w:rPr>
                <w:rFonts w:hint="default"/>
                <w:color w:val="000000"/>
                <w:lang w:val="sk-SK"/>
              </w:rPr>
              <w:t>ch š</w:t>
            </w:r>
            <w:r w:rsidRPr="00812649">
              <w:rPr>
                <w:rFonts w:hint="default"/>
                <w:color w:val="000000"/>
                <w:lang w:val="sk-SK"/>
              </w:rPr>
              <w:t>tandardov a </w:t>
            </w:r>
            <w:r w:rsidRPr="00812649">
              <w:rPr>
                <w:rFonts w:hint="default"/>
                <w:color w:val="000000"/>
                <w:lang w:val="sk-SK"/>
              </w:rPr>
              <w:t>podmienok integrá</w:t>
            </w:r>
            <w:r w:rsidRPr="00812649">
              <w:rPr>
                <w:rFonts w:hint="default"/>
                <w:color w:val="000000"/>
                <w:lang w:val="sk-SK"/>
              </w:rPr>
              <w:t>cie loká</w:t>
            </w:r>
            <w:r w:rsidRPr="00812649">
              <w:rPr>
                <w:rFonts w:hint="default"/>
                <w:color w:val="000000"/>
                <w:lang w:val="sk-SK"/>
              </w:rPr>
              <w:t>lnych informač</w:t>
            </w:r>
            <w:r w:rsidRPr="00812649">
              <w:rPr>
                <w:rFonts w:hint="default"/>
                <w:color w:val="000000"/>
                <w:lang w:val="sk-SK"/>
              </w:rPr>
              <w:t>ný</w:t>
            </w:r>
            <w:r w:rsidRPr="00812649">
              <w:rPr>
                <w:rFonts w:hint="default"/>
                <w:color w:val="000000"/>
                <w:lang w:val="sk-SK"/>
              </w:rPr>
              <w:t>ch systé</w:t>
            </w:r>
            <w:r w:rsidRPr="00812649">
              <w:rPr>
                <w:rFonts w:hint="default"/>
                <w:color w:val="000000"/>
                <w:lang w:val="sk-SK"/>
              </w:rPr>
              <w:t>mov s </w:t>
            </w:r>
            <w:r w:rsidRPr="00812649">
              <w:rPr>
                <w:rFonts w:hint="default"/>
                <w:color w:val="000000"/>
                <w:lang w:val="sk-SK"/>
              </w:rPr>
              <w:t>ná</w:t>
            </w:r>
            <w:r w:rsidRPr="00812649">
              <w:rPr>
                <w:rFonts w:hint="default"/>
                <w:color w:val="000000"/>
                <w:lang w:val="sk-SK"/>
              </w:rPr>
              <w:t>rodný</w:t>
            </w:r>
            <w:r w:rsidRPr="00812649">
              <w:rPr>
                <w:rFonts w:hint="default"/>
                <w:color w:val="000000"/>
                <w:lang w:val="sk-SK"/>
              </w:rPr>
              <w:t>m zdravotní</w:t>
            </w:r>
            <w:r w:rsidRPr="00812649">
              <w:rPr>
                <w:rFonts w:hint="default"/>
                <w:color w:val="000000"/>
                <w:lang w:val="sk-SK"/>
              </w:rPr>
              <w:t>ckym informač</w:t>
            </w:r>
            <w:r w:rsidRPr="00812649">
              <w:rPr>
                <w:rFonts w:hint="default"/>
                <w:color w:val="000000"/>
                <w:lang w:val="sk-SK"/>
              </w:rPr>
              <w:t>ný</w:t>
            </w:r>
            <w:r w:rsidRPr="00812649">
              <w:rPr>
                <w:rFonts w:hint="default"/>
                <w:color w:val="000000"/>
                <w:lang w:val="sk-SK"/>
              </w:rPr>
              <w:t>m systé</w:t>
            </w:r>
            <w:r w:rsidRPr="00812649">
              <w:rPr>
                <w:rFonts w:hint="default"/>
                <w:color w:val="000000"/>
                <w:lang w:val="sk-SK"/>
              </w:rPr>
              <w:t>mom,</w:t>
            </w:r>
          </w:p>
          <w:p w:rsidR="00085767" w:rsidRPr="00812649" w:rsidP="00A76810">
            <w:pPr>
              <w:tabs>
                <w:tab w:val="left" w:pos="380"/>
              </w:tabs>
              <w:bidi w:val="0"/>
              <w:ind w:left="380" w:hanging="283"/>
              <w:rPr>
                <w:color w:val="000000"/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 xml:space="preserve">- </w:t>
              <w:tab/>
            </w:r>
            <w:r w:rsidRPr="00812649">
              <w:rPr>
                <w:rFonts w:hint="default"/>
                <w:color w:val="000000"/>
                <w:lang w:val="sk-SK"/>
              </w:rPr>
              <w:t>euró</w:t>
            </w:r>
            <w:r w:rsidRPr="00812649">
              <w:rPr>
                <w:rFonts w:hint="default"/>
                <w:color w:val="000000"/>
                <w:lang w:val="sk-SK"/>
              </w:rPr>
              <w:t>pskymi zdravotní</w:t>
            </w:r>
            <w:r w:rsidRPr="00812649">
              <w:rPr>
                <w:rFonts w:hint="default"/>
                <w:color w:val="000000"/>
                <w:lang w:val="sk-SK"/>
              </w:rPr>
              <w:t>ckymi informač</w:t>
            </w:r>
            <w:r w:rsidRPr="00812649">
              <w:rPr>
                <w:rFonts w:hint="default"/>
                <w:color w:val="000000"/>
                <w:lang w:val="sk-SK"/>
              </w:rPr>
              <w:t>ný</w:t>
            </w:r>
            <w:r w:rsidRPr="00812649">
              <w:rPr>
                <w:rFonts w:hint="default"/>
                <w:color w:val="000000"/>
                <w:lang w:val="sk-SK"/>
              </w:rPr>
              <w:t>mi systé</w:t>
            </w:r>
            <w:r w:rsidRPr="00812649">
              <w:rPr>
                <w:rFonts w:hint="default"/>
                <w:color w:val="000000"/>
                <w:lang w:val="sk-SK"/>
              </w:rPr>
              <w:t xml:space="preserve">mami </w:t>
            </w:r>
            <w:r w:rsidRPr="00812649">
              <w:rPr>
                <w:rFonts w:hint="default"/>
                <w:lang w:val="sk-SK"/>
              </w:rPr>
              <w:t>integrá</w:t>
            </w:r>
            <w:r w:rsidRPr="00812649">
              <w:rPr>
                <w:rFonts w:hint="default"/>
                <w:lang w:val="sk-SK"/>
              </w:rPr>
              <w:t>ciou s euró</w:t>
            </w:r>
            <w:r w:rsidRPr="00812649">
              <w:rPr>
                <w:rFonts w:hint="default"/>
                <w:lang w:val="sk-SK"/>
              </w:rPr>
              <w:t>pskou eHealth infraš</w:t>
            </w:r>
            <w:r w:rsidRPr="00812649">
              <w:rPr>
                <w:rFonts w:hint="default"/>
                <w:lang w:val="sk-SK"/>
              </w:rPr>
              <w:t>truktú</w:t>
            </w:r>
            <w:r w:rsidRPr="00812649">
              <w:rPr>
                <w:rFonts w:hint="default"/>
                <w:lang w:val="sk-SK"/>
              </w:rPr>
              <w:t xml:space="preserve">rou vybudovanou </w:t>
            </w:r>
            <w:r w:rsidRPr="00812649">
              <w:rPr>
                <w:rFonts w:hint="default"/>
                <w:lang w:val="sk-SK"/>
              </w:rPr>
              <w:t>projektom epSOS</w:t>
            </w:r>
            <w:r w:rsidRPr="00812649">
              <w:rPr>
                <w:color w:val="000000"/>
                <w:lang w:val="sk-SK"/>
              </w:rPr>
              <w:t>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85767" w:rsidRPr="00812649" w:rsidP="00A76810">
            <w:pPr>
              <w:bidi w:val="0"/>
              <w:spacing w:line="20" w:lineRule="atLeast"/>
              <w:jc w:val="both"/>
              <w:rPr>
                <w:b/>
                <w:color w:val="FFFFFF"/>
                <w:lang w:val="sk-SK"/>
              </w:rPr>
            </w:pPr>
            <w:r w:rsidRPr="00812649">
              <w:rPr>
                <w:rFonts w:hint="default"/>
                <w:b/>
                <w:lang w:val="sk-SK"/>
              </w:rPr>
              <w:t>Ľ</w:t>
            </w:r>
            <w:r w:rsidRPr="00812649">
              <w:rPr>
                <w:rFonts w:hint="default"/>
                <w:b/>
                <w:lang w:val="sk-SK"/>
              </w:rPr>
              <w:t>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085767" w:rsidRPr="00812649" w:rsidP="00A76810">
            <w:pPr>
              <w:bidi w:val="0"/>
              <w:rPr>
                <w:b/>
                <w:i/>
                <w:iCs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6.3.</w:t>
            </w:r>
            <w:r w:rsidRPr="00812649">
              <w:rPr>
                <w:rFonts w:hint="default"/>
                <w:lang w:val="sk-SK"/>
              </w:rPr>
              <w:t xml:space="preserve"> Zabezpeč</w:t>
            </w:r>
            <w:r w:rsidRPr="00812649">
              <w:rPr>
                <w:rFonts w:hint="default"/>
                <w:lang w:val="sk-SK"/>
              </w:rPr>
              <w:t>uje sa vzdelá</w:t>
            </w:r>
            <w:r w:rsidRPr="00812649">
              <w:rPr>
                <w:rFonts w:hint="default"/>
                <w:lang w:val="sk-SK"/>
              </w:rPr>
              <w:t>vanie v </w:t>
            </w:r>
            <w:r w:rsidRPr="00812649">
              <w:rPr>
                <w:rFonts w:hint="default"/>
                <w:lang w:val="sk-SK"/>
              </w:rPr>
              <w:t>oblasti počí</w:t>
            </w:r>
            <w:r w:rsidRPr="00812649">
              <w:rPr>
                <w:rFonts w:hint="default"/>
                <w:lang w:val="sk-SK"/>
              </w:rPr>
              <w:t>tač</w:t>
            </w:r>
            <w:r w:rsidRPr="00812649">
              <w:rPr>
                <w:rFonts w:hint="default"/>
                <w:lang w:val="sk-SK"/>
              </w:rPr>
              <w:t>ovej gramotnosti a </w:t>
            </w:r>
            <w:r w:rsidRPr="00812649">
              <w:rPr>
                <w:rFonts w:hint="default"/>
                <w:lang w:val="sk-SK"/>
              </w:rPr>
              <w:t>rozš</w:t>
            </w:r>
            <w:r w:rsidRPr="00812649">
              <w:rPr>
                <w:rFonts w:hint="default"/>
                <w:lang w:val="sk-SK"/>
              </w:rPr>
              <w:t>irovanie vedomostí</w:t>
            </w:r>
            <w:r w:rsidRPr="00812649">
              <w:rPr>
                <w:rFonts w:hint="default"/>
                <w:lang w:val="sk-SK"/>
              </w:rPr>
              <w:t xml:space="preserve"> o IKT?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color w:val="000000"/>
                <w:lang w:val="sk-SK"/>
              </w:rPr>
            </w:pPr>
            <w:r w:rsidRPr="00812649" w:rsidR="00226462">
              <w:rPr>
                <w:color w:val="000000"/>
                <w:lang w:val="sk-SK"/>
              </w:rPr>
              <w:t>N</w:t>
            </w:r>
            <w:r w:rsidRPr="00812649">
              <w:rPr>
                <w:color w:val="000000"/>
                <w:lang w:val="sk-SK"/>
              </w:rPr>
              <w:t>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6.4.</w:t>
            </w:r>
            <w:r w:rsidRPr="00812649">
              <w:rPr>
                <w:rFonts w:hint="default"/>
                <w:lang w:val="sk-SK"/>
              </w:rPr>
              <w:t xml:space="preserve"> Zabezpeč</w:t>
            </w:r>
            <w:r w:rsidRPr="00812649">
              <w:rPr>
                <w:rFonts w:hint="default"/>
                <w:lang w:val="sk-SK"/>
              </w:rPr>
              <w:t>uje sa rozvoj elektronické</w:t>
            </w:r>
            <w:r w:rsidRPr="00812649">
              <w:rPr>
                <w:rFonts w:hint="default"/>
                <w:lang w:val="sk-SK"/>
              </w:rPr>
              <w:t>ho vzdelá</w:t>
            </w:r>
            <w:r w:rsidRPr="00812649">
              <w:rPr>
                <w:rFonts w:hint="default"/>
                <w:lang w:val="sk-SK"/>
              </w:rPr>
              <w:t>vania?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color w:val="000000"/>
                <w:lang w:val="sk-SK"/>
              </w:rPr>
            </w:pPr>
            <w:r w:rsidRPr="00812649" w:rsidR="00226462">
              <w:rPr>
                <w:color w:val="000000"/>
                <w:lang w:val="sk-SK"/>
              </w:rPr>
              <w:t>N</w:t>
            </w:r>
            <w:r w:rsidRPr="00812649">
              <w:rPr>
                <w:color w:val="000000"/>
                <w:lang w:val="sk-SK"/>
              </w:rPr>
              <w:t>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6.5.</w:t>
            </w:r>
            <w:r w:rsidRPr="00812649">
              <w:rPr>
                <w:rFonts w:hint="default"/>
                <w:lang w:val="sk-SK"/>
              </w:rPr>
              <w:t xml:space="preserve"> Zabezpeč</w:t>
            </w:r>
            <w:r w:rsidRPr="00812649">
              <w:rPr>
                <w:rFonts w:hint="default"/>
                <w:lang w:val="sk-SK"/>
              </w:rPr>
              <w:t>uje sa podporná</w:t>
            </w:r>
            <w:r w:rsidRPr="00812649">
              <w:rPr>
                <w:rFonts w:hint="default"/>
                <w:lang w:val="sk-SK"/>
              </w:rPr>
              <w:t xml:space="preserve"> a </w:t>
            </w:r>
            <w:r w:rsidRPr="00812649">
              <w:rPr>
                <w:rFonts w:hint="default"/>
                <w:lang w:val="sk-SK"/>
              </w:rPr>
              <w:t>propagač</w:t>
            </w:r>
            <w:r w:rsidRPr="00812649">
              <w:rPr>
                <w:rFonts w:hint="default"/>
                <w:lang w:val="sk-SK"/>
              </w:rPr>
              <w:t>ná</w:t>
            </w:r>
            <w:r w:rsidRPr="00812649">
              <w:rPr>
                <w:rFonts w:hint="default"/>
                <w:lang w:val="sk-SK"/>
              </w:rPr>
              <w:t xml:space="preserve"> aktivita zameraná</w:t>
            </w:r>
            <w:r w:rsidRPr="00812649">
              <w:rPr>
                <w:rFonts w:hint="default"/>
                <w:lang w:val="sk-SK"/>
              </w:rPr>
              <w:t xml:space="preserve"> na zvyš</w:t>
            </w:r>
            <w:r w:rsidRPr="00812649">
              <w:rPr>
                <w:rFonts w:hint="default"/>
                <w:lang w:val="sk-SK"/>
              </w:rPr>
              <w:t>ovanie povedomia o </w:t>
            </w:r>
            <w:r w:rsidRPr="00812649">
              <w:rPr>
                <w:rFonts w:hint="default"/>
                <w:lang w:val="sk-SK"/>
              </w:rPr>
              <w:t>informatizá</w:t>
            </w:r>
            <w:r w:rsidRPr="00812649">
              <w:rPr>
                <w:rFonts w:hint="default"/>
                <w:lang w:val="sk-SK"/>
              </w:rPr>
              <w:t>cii a IKT?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color w:val="000000"/>
                <w:lang w:val="sk-SK"/>
              </w:rPr>
            </w:pPr>
            <w:r w:rsidRPr="00812649" w:rsidR="00226462">
              <w:rPr>
                <w:color w:val="000000"/>
                <w:lang w:val="sk-SK"/>
              </w:rPr>
              <w:t>N</w:t>
            </w:r>
            <w:r w:rsidRPr="00812649">
              <w:rPr>
                <w:color w:val="000000"/>
                <w:lang w:val="sk-SK"/>
              </w:rPr>
              <w:t>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6.6.</w:t>
            </w:r>
            <w:r w:rsidRPr="00812649">
              <w:rPr>
                <w:rFonts w:hint="default"/>
                <w:lang w:val="sk-SK"/>
              </w:rPr>
              <w:t xml:space="preserve"> Zabezpeč</w:t>
            </w:r>
            <w:r w:rsidRPr="00812649">
              <w:rPr>
                <w:rFonts w:hint="default"/>
                <w:lang w:val="sk-SK"/>
              </w:rPr>
              <w:t>uje/zohľ</w:t>
            </w:r>
            <w:r w:rsidRPr="00812649">
              <w:rPr>
                <w:rFonts w:hint="default"/>
                <w:lang w:val="sk-SK"/>
              </w:rPr>
              <w:t>adň</w:t>
            </w:r>
            <w:r w:rsidRPr="00812649">
              <w:rPr>
                <w:rFonts w:hint="default"/>
                <w:lang w:val="sk-SK"/>
              </w:rPr>
              <w:t>uje/zlepš</w:t>
            </w:r>
            <w:r w:rsidRPr="00812649">
              <w:rPr>
                <w:rFonts w:hint="default"/>
                <w:lang w:val="sk-SK"/>
              </w:rPr>
              <w:t>uje sa prí</w:t>
            </w:r>
            <w:r w:rsidRPr="00812649">
              <w:rPr>
                <w:rFonts w:hint="default"/>
                <w:lang w:val="sk-SK"/>
              </w:rPr>
              <w:t>stup znevý</w:t>
            </w:r>
            <w:r w:rsidRPr="00812649">
              <w:rPr>
                <w:rFonts w:hint="default"/>
                <w:lang w:val="sk-SK"/>
              </w:rPr>
              <w:t>hodnený</w:t>
            </w:r>
            <w:r w:rsidRPr="00812649">
              <w:rPr>
                <w:rFonts w:hint="default"/>
                <w:lang w:val="sk-SK"/>
              </w:rPr>
              <w:t>ch osô</w:t>
            </w:r>
            <w:r w:rsidRPr="00812649">
              <w:rPr>
                <w:rFonts w:hint="default"/>
                <w:lang w:val="sk-SK"/>
              </w:rPr>
              <w:t>b k služ</w:t>
            </w:r>
            <w:r w:rsidRPr="00812649">
              <w:rPr>
                <w:rFonts w:hint="default"/>
                <w:lang w:val="sk-SK"/>
              </w:rPr>
              <w:t>bá</w:t>
            </w:r>
            <w:r w:rsidRPr="00812649">
              <w:rPr>
                <w:rFonts w:hint="default"/>
                <w:lang w:val="sk-SK"/>
              </w:rPr>
              <w:t>m informač</w:t>
            </w:r>
            <w:r w:rsidRPr="00812649">
              <w:rPr>
                <w:rFonts w:hint="default"/>
                <w:lang w:val="sk-SK"/>
              </w:rPr>
              <w:t>nej spoloč</w:t>
            </w:r>
            <w:r w:rsidRPr="00812649">
              <w:rPr>
                <w:rFonts w:hint="default"/>
                <w:lang w:val="sk-SK"/>
              </w:rPr>
              <w:t>nosti?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color w:val="000000"/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>Ná</w:t>
            </w:r>
            <w:r w:rsidRPr="00812649">
              <w:rPr>
                <w:rFonts w:hint="default"/>
                <w:color w:val="000000"/>
                <w:lang w:val="sk-SK"/>
              </w:rPr>
              <w:t>vrh ná</w:t>
            </w:r>
            <w:r w:rsidRPr="00812649">
              <w:rPr>
                <w:rFonts w:hint="default"/>
                <w:color w:val="000000"/>
                <w:lang w:val="sk-SK"/>
              </w:rPr>
              <w:t>rodné</w:t>
            </w:r>
            <w:r w:rsidRPr="00812649">
              <w:rPr>
                <w:rFonts w:hint="default"/>
                <w:color w:val="000000"/>
                <w:lang w:val="sk-SK"/>
              </w:rPr>
              <w:t>ho portá</w:t>
            </w:r>
            <w:r w:rsidRPr="00812649">
              <w:rPr>
                <w:rFonts w:hint="default"/>
                <w:color w:val="000000"/>
                <w:lang w:val="sk-SK"/>
              </w:rPr>
              <w:t>lu zdravia spĺň</w:t>
            </w:r>
            <w:r w:rsidRPr="00812649">
              <w:rPr>
                <w:rFonts w:hint="default"/>
                <w:color w:val="000000"/>
                <w:lang w:val="sk-SK"/>
              </w:rPr>
              <w:t>a pož</w:t>
            </w:r>
            <w:r w:rsidRPr="00812649">
              <w:rPr>
                <w:rFonts w:hint="default"/>
                <w:color w:val="000000"/>
                <w:lang w:val="sk-SK"/>
              </w:rPr>
              <w:t>iadavky prí</w:t>
            </w:r>
            <w:r w:rsidRPr="00812649">
              <w:rPr>
                <w:rFonts w:hint="default"/>
                <w:color w:val="000000"/>
                <w:lang w:val="sk-SK"/>
              </w:rPr>
              <w:t>stupnosti podľ</w:t>
            </w:r>
            <w:r w:rsidRPr="00812649">
              <w:rPr>
                <w:rFonts w:hint="default"/>
                <w:color w:val="000000"/>
                <w:lang w:val="sk-SK"/>
              </w:rPr>
              <w:t>a zá</w:t>
            </w:r>
            <w:r w:rsidRPr="00812649">
              <w:rPr>
                <w:rFonts w:hint="default"/>
                <w:color w:val="000000"/>
                <w:lang w:val="sk-SK"/>
              </w:rPr>
              <w:t>kona č</w:t>
            </w:r>
            <w:r w:rsidRPr="00812649">
              <w:rPr>
                <w:rFonts w:hint="default"/>
                <w:color w:val="000000"/>
                <w:lang w:val="sk-SK"/>
              </w:rPr>
              <w:t>. 275/2006 Z. z. o </w:t>
            </w:r>
            <w:r w:rsidRPr="00812649">
              <w:rPr>
                <w:rFonts w:hint="default"/>
                <w:color w:val="000000"/>
                <w:lang w:val="sk-SK"/>
              </w:rPr>
              <w:t>informač</w:t>
            </w:r>
            <w:r w:rsidRPr="00812649">
              <w:rPr>
                <w:rFonts w:hint="default"/>
                <w:color w:val="000000"/>
                <w:lang w:val="sk-SK"/>
              </w:rPr>
              <w:t>ný</w:t>
            </w:r>
            <w:r w:rsidRPr="00812649">
              <w:rPr>
                <w:rFonts w:hint="default"/>
                <w:color w:val="000000"/>
                <w:lang w:val="sk-SK"/>
              </w:rPr>
              <w:t>ch</w:t>
            </w:r>
            <w:r w:rsidRPr="00812649">
              <w:rPr>
                <w:rFonts w:hint="default"/>
                <w:color w:val="000000"/>
                <w:lang w:val="sk-SK"/>
              </w:rPr>
              <w:t xml:space="preserve"> systé</w:t>
            </w:r>
            <w:r w:rsidRPr="00812649">
              <w:rPr>
                <w:rFonts w:hint="default"/>
                <w:color w:val="000000"/>
                <w:lang w:val="sk-SK"/>
              </w:rPr>
              <w:t>moch verejnej sprá</w:t>
            </w:r>
            <w:r w:rsidRPr="00812649">
              <w:rPr>
                <w:rFonts w:hint="default"/>
                <w:color w:val="000000"/>
                <w:lang w:val="sk-SK"/>
              </w:rPr>
              <w:t>vy.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85767" w:rsidRPr="00812649" w:rsidP="00A76810">
            <w:pPr>
              <w:bidi w:val="0"/>
              <w:spacing w:line="20" w:lineRule="atLeast"/>
              <w:jc w:val="both"/>
              <w:rPr>
                <w:rFonts w:hint="default"/>
                <w:b/>
                <w:lang w:val="sk-SK"/>
              </w:rPr>
            </w:pPr>
            <w:r w:rsidRPr="00812649">
              <w:rPr>
                <w:rFonts w:hint="default"/>
                <w:b/>
                <w:lang w:val="sk-SK"/>
              </w:rPr>
              <w:t>Infraš</w:t>
            </w:r>
            <w:r w:rsidRPr="00812649">
              <w:rPr>
                <w:rFonts w:hint="default"/>
                <w:b/>
                <w:lang w:val="sk-SK"/>
              </w:rPr>
              <w:t>truktú</w:t>
            </w:r>
            <w:r w:rsidRPr="00812649">
              <w:rPr>
                <w:rFonts w:hint="default"/>
                <w:b/>
                <w:lang w:val="sk-SK"/>
              </w:rPr>
              <w:t>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085767" w:rsidRPr="00812649" w:rsidP="00A76810">
            <w:pPr>
              <w:bidi w:val="0"/>
              <w:rPr>
                <w:b/>
                <w:i/>
                <w:iCs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6.7.</w:t>
            </w:r>
            <w:r w:rsidRPr="00812649">
              <w:rPr>
                <w:rFonts w:hint="default"/>
                <w:lang w:val="sk-SK"/>
              </w:rPr>
              <w:t xml:space="preserve"> Rozš</w:t>
            </w:r>
            <w:r w:rsidRPr="00812649">
              <w:rPr>
                <w:rFonts w:hint="default"/>
                <w:lang w:val="sk-SK"/>
              </w:rPr>
              <w:t>iruje, inovuje, vytvá</w:t>
            </w:r>
            <w:r w:rsidRPr="00812649">
              <w:rPr>
                <w:rFonts w:hint="default"/>
                <w:lang w:val="sk-SK"/>
              </w:rPr>
              <w:t>ra alebo zavá</w:t>
            </w:r>
            <w:r w:rsidRPr="00812649">
              <w:rPr>
                <w:rFonts w:hint="default"/>
                <w:lang w:val="sk-SK"/>
              </w:rPr>
              <w:t>dza sa nový</w:t>
            </w:r>
            <w:r w:rsidRPr="00812649">
              <w:rPr>
                <w:rFonts w:hint="default"/>
                <w:lang w:val="sk-SK"/>
              </w:rPr>
              <w:t xml:space="preserve"> informač</w:t>
            </w:r>
            <w:r w:rsidRPr="00812649">
              <w:rPr>
                <w:rFonts w:hint="default"/>
                <w:lang w:val="sk-SK"/>
              </w:rPr>
              <w:t>ný</w:t>
            </w:r>
            <w:r w:rsidRPr="00812649">
              <w:rPr>
                <w:rFonts w:hint="default"/>
                <w:lang w:val="sk-SK"/>
              </w:rPr>
              <w:t xml:space="preserve"> systé</w:t>
            </w:r>
            <w:r w:rsidRPr="00812649">
              <w:rPr>
                <w:rFonts w:hint="default"/>
                <w:lang w:val="sk-SK"/>
              </w:rPr>
              <w:t>m?</w:t>
            </w:r>
          </w:p>
          <w:p w:rsidR="00085767" w:rsidRPr="00812649" w:rsidP="00A76810">
            <w:pPr>
              <w:bidi w:val="0"/>
              <w:spacing w:line="20" w:lineRule="atLeast"/>
              <w:jc w:val="both"/>
              <w:rPr>
                <w:lang w:val="sk-SK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color w:val="000000"/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>Zá</w:t>
            </w:r>
            <w:r w:rsidRPr="00812649">
              <w:rPr>
                <w:rFonts w:hint="default"/>
                <w:color w:val="000000"/>
                <w:lang w:val="sk-SK"/>
              </w:rPr>
              <w:t>kon umožň</w:t>
            </w:r>
            <w:r w:rsidRPr="00812649">
              <w:rPr>
                <w:rFonts w:hint="default"/>
                <w:color w:val="000000"/>
                <w:lang w:val="sk-SK"/>
              </w:rPr>
              <w:t>uje vytvorenie ná</w:t>
            </w:r>
            <w:r w:rsidRPr="00812649">
              <w:rPr>
                <w:rFonts w:hint="default"/>
                <w:color w:val="000000"/>
                <w:lang w:val="sk-SK"/>
              </w:rPr>
              <w:t>rodné</w:t>
            </w:r>
            <w:r w:rsidRPr="00812649">
              <w:rPr>
                <w:rFonts w:hint="default"/>
                <w:color w:val="000000"/>
                <w:lang w:val="sk-SK"/>
              </w:rPr>
              <w:t>ho zdravotní</w:t>
            </w:r>
            <w:r w:rsidRPr="00812649">
              <w:rPr>
                <w:rFonts w:hint="default"/>
                <w:color w:val="000000"/>
                <w:lang w:val="sk-SK"/>
              </w:rPr>
              <w:t>ckeho informač</w:t>
            </w:r>
            <w:r w:rsidRPr="00812649">
              <w:rPr>
                <w:rFonts w:hint="default"/>
                <w:color w:val="000000"/>
                <w:lang w:val="sk-SK"/>
              </w:rPr>
              <w:t>né</w:t>
            </w:r>
            <w:r w:rsidRPr="00812649">
              <w:rPr>
                <w:rFonts w:hint="default"/>
                <w:color w:val="000000"/>
                <w:lang w:val="sk-SK"/>
              </w:rPr>
              <w:t>ho systé</w:t>
            </w:r>
            <w:r w:rsidRPr="00812649">
              <w:rPr>
                <w:rFonts w:hint="default"/>
                <w:color w:val="000000"/>
                <w:lang w:val="sk-SK"/>
              </w:rPr>
              <w:t>mu, ktorý</w:t>
            </w:r>
            <w:r w:rsidRPr="00812649">
              <w:rPr>
                <w:rFonts w:hint="default"/>
                <w:color w:val="000000"/>
                <w:lang w:val="sk-SK"/>
              </w:rPr>
              <w:t xml:space="preserve"> zabezpeč</w:t>
            </w:r>
            <w:r w:rsidRPr="00812649">
              <w:rPr>
                <w:rFonts w:hint="default"/>
                <w:color w:val="000000"/>
                <w:lang w:val="sk-SK"/>
              </w:rPr>
              <w:t>uje služ</w:t>
            </w:r>
            <w:r w:rsidRPr="00812649">
              <w:rPr>
                <w:rFonts w:hint="default"/>
                <w:color w:val="000000"/>
                <w:lang w:val="sk-SK"/>
              </w:rPr>
              <w:t>by elektronické</w:t>
            </w:r>
            <w:r w:rsidRPr="00812649">
              <w:rPr>
                <w:rFonts w:hint="default"/>
                <w:color w:val="000000"/>
                <w:lang w:val="sk-SK"/>
              </w:rPr>
              <w:t>ho zdravotní</w:t>
            </w:r>
            <w:r w:rsidRPr="00812649">
              <w:rPr>
                <w:rFonts w:hint="default"/>
                <w:color w:val="000000"/>
                <w:lang w:val="sk-SK"/>
              </w:rPr>
              <w:t>ctva e-health</w:t>
            </w:r>
            <w:r w:rsidRPr="00812649">
              <w:rPr>
                <w:rFonts w:hint="default"/>
                <w:color w:val="000000"/>
                <w:lang w:val="sk-SK"/>
              </w:rPr>
              <w:t xml:space="preserve"> na Slovensku.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6.8.</w:t>
            </w:r>
            <w:r w:rsidRPr="00812649">
              <w:rPr>
                <w:rFonts w:hint="default"/>
                <w:lang w:val="sk-SK"/>
              </w:rPr>
              <w:t xml:space="preserve"> Rozš</w:t>
            </w:r>
            <w:r w:rsidRPr="00812649">
              <w:rPr>
                <w:rFonts w:hint="default"/>
                <w:lang w:val="sk-SK"/>
              </w:rPr>
              <w:t>iruje sa prí</w:t>
            </w:r>
            <w:r w:rsidRPr="00812649">
              <w:rPr>
                <w:rFonts w:hint="default"/>
                <w:lang w:val="sk-SK"/>
              </w:rPr>
              <w:t>stupnosť</w:t>
            </w:r>
            <w:r w:rsidRPr="00812649">
              <w:rPr>
                <w:rFonts w:hint="default"/>
                <w:lang w:val="sk-SK"/>
              </w:rPr>
              <w:t xml:space="preserve"> k internetu?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color w:val="000000"/>
                <w:lang w:val="sk-SK"/>
              </w:rPr>
            </w:pPr>
            <w:r w:rsidRPr="00812649" w:rsidR="009A2F82">
              <w:rPr>
                <w:color w:val="000000"/>
                <w:lang w:val="sk-SK"/>
              </w:rPr>
              <w:t>N</w:t>
            </w:r>
            <w:r w:rsidRPr="00812649">
              <w:rPr>
                <w:color w:val="000000"/>
                <w:lang w:val="sk-SK"/>
              </w:rPr>
              <w:t>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6.9.</w:t>
            </w:r>
            <w:r w:rsidRPr="00812649">
              <w:rPr>
                <w:rFonts w:hint="default"/>
                <w:lang w:val="sk-SK"/>
              </w:rPr>
              <w:t xml:space="preserve"> Rozš</w:t>
            </w:r>
            <w:r w:rsidRPr="00812649">
              <w:rPr>
                <w:rFonts w:hint="default"/>
                <w:lang w:val="sk-SK"/>
              </w:rPr>
              <w:t>iruje sa prí</w:t>
            </w:r>
            <w:r w:rsidRPr="00812649">
              <w:rPr>
                <w:rFonts w:hint="default"/>
                <w:lang w:val="sk-SK"/>
              </w:rPr>
              <w:t>stupnosť</w:t>
            </w:r>
            <w:r w:rsidRPr="00812649">
              <w:rPr>
                <w:rFonts w:hint="default"/>
                <w:lang w:val="sk-SK"/>
              </w:rPr>
              <w:t xml:space="preserve"> k </w:t>
            </w:r>
            <w:r w:rsidRPr="00812649">
              <w:rPr>
                <w:rFonts w:hint="default"/>
                <w:lang w:val="sk-SK"/>
              </w:rPr>
              <w:t>elektronický</w:t>
            </w:r>
            <w:r w:rsidRPr="00812649">
              <w:rPr>
                <w:rFonts w:hint="default"/>
                <w:lang w:val="sk-SK"/>
              </w:rPr>
              <w:t>m služ</w:t>
            </w:r>
            <w:r w:rsidRPr="00812649">
              <w:rPr>
                <w:rFonts w:hint="default"/>
                <w:lang w:val="sk-SK"/>
              </w:rPr>
              <w:t>bá</w:t>
            </w:r>
            <w:r w:rsidRPr="00812649">
              <w:rPr>
                <w:rFonts w:hint="default"/>
                <w:lang w:val="sk-SK"/>
              </w:rPr>
              <w:t>m?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color w:val="000000"/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>Navrhovaný</w:t>
            </w:r>
            <w:r w:rsidRPr="00812649">
              <w:rPr>
                <w:rFonts w:hint="default"/>
                <w:color w:val="000000"/>
                <w:lang w:val="sk-SK"/>
              </w:rPr>
              <w:t xml:space="preserve"> materiá</w:t>
            </w:r>
            <w:r w:rsidRPr="00812649">
              <w:rPr>
                <w:rFonts w:hint="default"/>
                <w:color w:val="000000"/>
                <w:lang w:val="sk-SK"/>
              </w:rPr>
              <w:t>l predpokladá</w:t>
            </w:r>
            <w:r w:rsidRPr="00812649">
              <w:rPr>
                <w:rFonts w:hint="default"/>
                <w:color w:val="000000"/>
                <w:lang w:val="sk-SK"/>
              </w:rPr>
              <w:t xml:space="preserve"> vytvorenie a </w:t>
            </w:r>
            <w:r w:rsidRPr="00812649">
              <w:rPr>
                <w:rFonts w:hint="default"/>
                <w:color w:val="000000"/>
                <w:lang w:val="sk-SK"/>
              </w:rPr>
              <w:t>prí</w:t>
            </w:r>
            <w:r w:rsidRPr="00812649">
              <w:rPr>
                <w:rFonts w:hint="default"/>
                <w:color w:val="000000"/>
                <w:lang w:val="sk-SK"/>
              </w:rPr>
              <w:t>stupnosť</w:t>
            </w:r>
            <w:r w:rsidRPr="00812649">
              <w:rPr>
                <w:rFonts w:hint="default"/>
                <w:color w:val="000000"/>
                <w:lang w:val="sk-SK"/>
              </w:rPr>
              <w:t xml:space="preserve"> elektronický</w:t>
            </w:r>
            <w:r w:rsidRPr="00812649">
              <w:rPr>
                <w:rFonts w:hint="default"/>
                <w:color w:val="000000"/>
                <w:lang w:val="sk-SK"/>
              </w:rPr>
              <w:t>ch služ</w:t>
            </w:r>
            <w:r w:rsidRPr="00812649">
              <w:rPr>
                <w:rFonts w:hint="default"/>
                <w:color w:val="000000"/>
                <w:lang w:val="sk-SK"/>
              </w:rPr>
              <w:t>ieb zdravotní</w:t>
            </w:r>
            <w:r w:rsidRPr="00812649">
              <w:rPr>
                <w:rFonts w:hint="default"/>
                <w:color w:val="000000"/>
                <w:lang w:val="sk-SK"/>
              </w:rPr>
              <w:t>ctva.</w:t>
            </w:r>
          </w:p>
          <w:p w:rsidR="00085767" w:rsidRPr="00812649" w:rsidP="007B5A99">
            <w:pPr>
              <w:bidi w:val="0"/>
              <w:rPr>
                <w:rFonts w:hint="default"/>
                <w:color w:val="000000"/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>Prí</w:t>
            </w:r>
            <w:r w:rsidRPr="00812649">
              <w:rPr>
                <w:rFonts w:hint="default"/>
                <w:color w:val="000000"/>
                <w:lang w:val="sk-SK"/>
              </w:rPr>
              <w:t>stup k </w:t>
            </w:r>
            <w:r w:rsidRPr="00812649">
              <w:rPr>
                <w:rFonts w:hint="default"/>
                <w:color w:val="000000"/>
                <w:lang w:val="sk-SK"/>
              </w:rPr>
              <w:t>elektronický</w:t>
            </w:r>
            <w:r w:rsidRPr="00812649">
              <w:rPr>
                <w:rFonts w:hint="default"/>
                <w:color w:val="000000"/>
                <w:lang w:val="sk-SK"/>
              </w:rPr>
              <w:t>m služ</w:t>
            </w:r>
            <w:r w:rsidRPr="00812649">
              <w:rPr>
                <w:rFonts w:hint="default"/>
                <w:color w:val="000000"/>
                <w:lang w:val="sk-SK"/>
              </w:rPr>
              <w:t>bá</w:t>
            </w:r>
            <w:r w:rsidRPr="00812649">
              <w:rPr>
                <w:rFonts w:hint="default"/>
                <w:color w:val="000000"/>
                <w:lang w:val="sk-SK"/>
              </w:rPr>
              <w:t>m bude posky</w:t>
            </w:r>
            <w:r w:rsidRPr="00812649">
              <w:rPr>
                <w:rFonts w:hint="default"/>
                <w:color w:val="000000"/>
                <w:lang w:val="sk-SK"/>
              </w:rPr>
              <w:t>tnutý</w:t>
            </w:r>
            <w:r w:rsidRPr="00812649">
              <w:rPr>
                <w:rFonts w:hint="default"/>
                <w:color w:val="000000"/>
                <w:lang w:val="sk-SK"/>
              </w:rPr>
              <w:t xml:space="preserve"> poskytovateľ</w:t>
            </w:r>
            <w:r w:rsidRPr="00812649">
              <w:rPr>
                <w:rFonts w:hint="default"/>
                <w:color w:val="000000"/>
                <w:lang w:val="sk-SK"/>
              </w:rPr>
              <w:t>om zdravotnej starostlivosti priamo pomocou ich informač</w:t>
            </w:r>
            <w:r w:rsidRPr="00812649">
              <w:rPr>
                <w:rFonts w:hint="default"/>
                <w:color w:val="000000"/>
                <w:lang w:val="sk-SK"/>
              </w:rPr>
              <w:t>ný</w:t>
            </w:r>
            <w:r w:rsidRPr="00812649">
              <w:rPr>
                <w:rFonts w:hint="default"/>
                <w:color w:val="000000"/>
                <w:lang w:val="sk-SK"/>
              </w:rPr>
              <w:t>ch systé</w:t>
            </w:r>
            <w:r w:rsidRPr="00812649">
              <w:rPr>
                <w:rFonts w:hint="default"/>
                <w:color w:val="000000"/>
                <w:lang w:val="sk-SK"/>
              </w:rPr>
              <w:t>mov. Obč</w:t>
            </w:r>
            <w:r w:rsidRPr="00812649">
              <w:rPr>
                <w:rFonts w:hint="default"/>
                <w:color w:val="000000"/>
                <w:lang w:val="sk-SK"/>
              </w:rPr>
              <w:t>ania budú</w:t>
            </w:r>
            <w:r w:rsidRPr="00812649">
              <w:rPr>
                <w:rFonts w:hint="default"/>
                <w:color w:val="000000"/>
                <w:lang w:val="sk-SK"/>
              </w:rPr>
              <w:t xml:space="preserve"> </w:t>
            </w:r>
            <w:r w:rsidRPr="00812649" w:rsidR="007B5A99">
              <w:rPr>
                <w:rFonts w:hint="default"/>
                <w:color w:val="000000"/>
                <w:lang w:val="sk-SK"/>
              </w:rPr>
              <w:t>mať</w:t>
            </w:r>
            <w:r w:rsidRPr="00812649" w:rsidR="007B5A99">
              <w:rPr>
                <w:rFonts w:hint="default"/>
                <w:color w:val="000000"/>
                <w:lang w:val="sk-SK"/>
              </w:rPr>
              <w:t xml:space="preserve"> </w:t>
            </w:r>
            <w:r w:rsidRPr="00812649">
              <w:rPr>
                <w:rFonts w:hint="default"/>
                <w:color w:val="000000"/>
                <w:lang w:val="sk-SK"/>
              </w:rPr>
              <w:t>prí</w:t>
            </w:r>
            <w:r w:rsidRPr="00812649">
              <w:rPr>
                <w:rFonts w:hint="default"/>
                <w:color w:val="000000"/>
                <w:lang w:val="sk-SK"/>
              </w:rPr>
              <w:t>stup k </w:t>
            </w:r>
            <w:r w:rsidRPr="00812649">
              <w:rPr>
                <w:rFonts w:hint="default"/>
                <w:color w:val="000000"/>
                <w:lang w:val="sk-SK"/>
              </w:rPr>
              <w:t>elektronický</w:t>
            </w:r>
            <w:r w:rsidRPr="00812649">
              <w:rPr>
                <w:rFonts w:hint="default"/>
                <w:color w:val="000000"/>
                <w:lang w:val="sk-SK"/>
              </w:rPr>
              <w:t>m služ</w:t>
            </w:r>
            <w:r w:rsidRPr="00812649">
              <w:rPr>
                <w:rFonts w:hint="default"/>
                <w:color w:val="000000"/>
                <w:lang w:val="sk-SK"/>
              </w:rPr>
              <w:t>bá</w:t>
            </w:r>
            <w:r w:rsidRPr="00812649">
              <w:rPr>
                <w:rFonts w:hint="default"/>
                <w:color w:val="000000"/>
                <w:lang w:val="sk-SK"/>
              </w:rPr>
              <w:t>m cez Ná</w:t>
            </w:r>
            <w:r w:rsidRPr="00812649">
              <w:rPr>
                <w:rFonts w:hint="default"/>
                <w:color w:val="000000"/>
                <w:lang w:val="sk-SK"/>
              </w:rPr>
              <w:t>rodný</w:t>
            </w:r>
            <w:r w:rsidRPr="00812649">
              <w:rPr>
                <w:rFonts w:hint="default"/>
                <w:color w:val="000000"/>
                <w:lang w:val="sk-SK"/>
              </w:rPr>
              <w:t xml:space="preserve"> portá</w:t>
            </w:r>
            <w:r w:rsidRPr="00812649">
              <w:rPr>
                <w:rFonts w:hint="default"/>
                <w:color w:val="000000"/>
                <w:lang w:val="sk-SK"/>
              </w:rPr>
              <w:t>l zdravia</w:t>
            </w:r>
            <w:r w:rsidRPr="00812649" w:rsidR="009A2F82">
              <w:rPr>
                <w:color w:val="000000"/>
                <w:lang w:val="sk-SK"/>
              </w:rPr>
              <w:t xml:space="preserve"> (NPZ)</w:t>
            </w:r>
            <w:r w:rsidRPr="00812649">
              <w:rPr>
                <w:rFonts w:hint="default"/>
                <w:color w:val="000000"/>
                <w:lang w:val="sk-SK"/>
              </w:rPr>
              <w:t>, alebo ich osobnú</w:t>
            </w:r>
            <w:r w:rsidRPr="00812649">
              <w:rPr>
                <w:rFonts w:hint="default"/>
                <w:color w:val="000000"/>
                <w:lang w:val="sk-SK"/>
              </w:rPr>
              <w:t xml:space="preserve"> elektronickú</w:t>
            </w:r>
            <w:r w:rsidRPr="00812649">
              <w:rPr>
                <w:rFonts w:hint="default"/>
                <w:color w:val="000000"/>
                <w:lang w:val="sk-SK"/>
              </w:rPr>
              <w:t xml:space="preserve"> zdravotnú</w:t>
            </w:r>
            <w:r w:rsidRPr="00812649">
              <w:rPr>
                <w:rFonts w:hint="default"/>
                <w:color w:val="000000"/>
                <w:lang w:val="sk-SK"/>
              </w:rPr>
              <w:t xml:space="preserve"> kniž</w:t>
            </w:r>
            <w:r w:rsidRPr="00812649">
              <w:rPr>
                <w:rFonts w:hint="default"/>
                <w:color w:val="000000"/>
                <w:lang w:val="sk-SK"/>
              </w:rPr>
              <w:t>ku (dostupnú</w:t>
            </w:r>
            <w:r w:rsidRPr="00812649">
              <w:rPr>
                <w:rFonts w:hint="default"/>
                <w:color w:val="000000"/>
                <w:lang w:val="sk-SK"/>
              </w:rPr>
              <w:t xml:space="preserve"> cez NPZ)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6.10.</w:t>
            </w:r>
            <w:r w:rsidRPr="00812649">
              <w:rPr>
                <w:rFonts w:hint="default"/>
                <w:lang w:val="sk-SK"/>
              </w:rPr>
              <w:t xml:space="preserve"> Zabezpeč</w:t>
            </w:r>
            <w:r w:rsidRPr="00812649">
              <w:rPr>
                <w:rFonts w:hint="default"/>
                <w:lang w:val="sk-SK"/>
              </w:rPr>
              <w:t>uje</w:t>
            </w:r>
            <w:r w:rsidRPr="00812649">
              <w:rPr>
                <w:rFonts w:hint="default"/>
                <w:lang w:val="sk-SK"/>
              </w:rPr>
              <w:t xml:space="preserve"> sa technická</w:t>
            </w:r>
            <w:r w:rsidRPr="00812649">
              <w:rPr>
                <w:rFonts w:hint="default"/>
                <w:lang w:val="sk-SK"/>
              </w:rPr>
              <w:t xml:space="preserve"> interoperabilita?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color w:val="000000"/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>Ná</w:t>
            </w:r>
            <w:r w:rsidRPr="00812649">
              <w:rPr>
                <w:rFonts w:hint="default"/>
                <w:color w:val="000000"/>
                <w:lang w:val="sk-SK"/>
              </w:rPr>
              <w:t>rodný</w:t>
            </w:r>
            <w:r w:rsidRPr="00812649">
              <w:rPr>
                <w:rFonts w:hint="default"/>
                <w:color w:val="000000"/>
                <w:lang w:val="sk-SK"/>
              </w:rPr>
              <w:t xml:space="preserve"> zdravotní</w:t>
            </w:r>
            <w:r w:rsidRPr="00812649">
              <w:rPr>
                <w:rFonts w:hint="default"/>
                <w:color w:val="000000"/>
                <w:lang w:val="sk-SK"/>
              </w:rPr>
              <w:t>cky informač</w:t>
            </w:r>
            <w:r w:rsidRPr="00812649">
              <w:rPr>
                <w:rFonts w:hint="default"/>
                <w:color w:val="000000"/>
                <w:lang w:val="sk-SK"/>
              </w:rPr>
              <w:t>ný</w:t>
            </w:r>
            <w:r w:rsidRPr="00812649">
              <w:rPr>
                <w:rFonts w:hint="default"/>
                <w:color w:val="000000"/>
                <w:lang w:val="sk-SK"/>
              </w:rPr>
              <w:t xml:space="preserve"> systé</w:t>
            </w:r>
            <w:r w:rsidRPr="00812649">
              <w:rPr>
                <w:rFonts w:hint="default"/>
                <w:color w:val="000000"/>
                <w:lang w:val="sk-SK"/>
              </w:rPr>
              <w:t>m zohľ</w:t>
            </w:r>
            <w:r w:rsidRPr="00812649">
              <w:rPr>
                <w:rFonts w:hint="default"/>
                <w:color w:val="000000"/>
                <w:lang w:val="sk-SK"/>
              </w:rPr>
              <w:t>adň</w:t>
            </w:r>
            <w:r w:rsidRPr="00812649">
              <w:rPr>
                <w:rFonts w:hint="default"/>
                <w:color w:val="000000"/>
                <w:lang w:val="sk-SK"/>
              </w:rPr>
              <w:t>uje technickú</w:t>
            </w:r>
            <w:r w:rsidRPr="00812649">
              <w:rPr>
                <w:rFonts w:hint="default"/>
                <w:color w:val="000000"/>
                <w:lang w:val="sk-SK"/>
              </w:rPr>
              <w:t xml:space="preserve"> interoperabilitu s </w:t>
            </w:r>
            <w:r w:rsidRPr="00812649">
              <w:rPr>
                <w:rFonts w:hint="default"/>
                <w:color w:val="000000"/>
                <w:lang w:val="sk-SK"/>
              </w:rPr>
              <w:t>ď</w:t>
            </w:r>
            <w:r w:rsidRPr="00812649">
              <w:rPr>
                <w:rFonts w:hint="default"/>
                <w:color w:val="000000"/>
                <w:lang w:val="sk-SK"/>
              </w:rPr>
              <w:t>alší</w:t>
            </w:r>
            <w:r w:rsidRPr="00812649">
              <w:rPr>
                <w:rFonts w:hint="default"/>
                <w:color w:val="000000"/>
                <w:lang w:val="sk-SK"/>
              </w:rPr>
              <w:t>mi informač</w:t>
            </w:r>
            <w:r w:rsidRPr="00812649">
              <w:rPr>
                <w:rFonts w:hint="default"/>
                <w:color w:val="000000"/>
                <w:lang w:val="sk-SK"/>
              </w:rPr>
              <w:t>ný</w:t>
            </w:r>
            <w:r w:rsidRPr="00812649">
              <w:rPr>
                <w:rFonts w:hint="default"/>
                <w:color w:val="000000"/>
                <w:lang w:val="sk-SK"/>
              </w:rPr>
              <w:t>mi systé</w:t>
            </w:r>
            <w:r w:rsidRPr="00812649">
              <w:rPr>
                <w:rFonts w:hint="default"/>
                <w:color w:val="000000"/>
                <w:lang w:val="sk-SK"/>
              </w:rPr>
              <w:t>mami verejnej sprá</w:t>
            </w:r>
            <w:r w:rsidRPr="00812649">
              <w:rPr>
                <w:rFonts w:hint="default"/>
                <w:color w:val="000000"/>
                <w:lang w:val="sk-SK"/>
              </w:rPr>
              <w:t>vy a eGovernmentu.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6.11.</w:t>
            </w:r>
            <w:r w:rsidRPr="00812649">
              <w:rPr>
                <w:rFonts w:hint="default"/>
                <w:lang w:val="sk-SK"/>
              </w:rPr>
              <w:t xml:space="preserve"> Zvyš</w:t>
            </w:r>
            <w:r w:rsidRPr="00812649">
              <w:rPr>
                <w:rFonts w:hint="default"/>
                <w:lang w:val="sk-SK"/>
              </w:rPr>
              <w:t>uje sa bezpeč</w:t>
            </w:r>
            <w:r w:rsidRPr="00812649">
              <w:rPr>
                <w:rFonts w:hint="default"/>
                <w:lang w:val="sk-SK"/>
              </w:rPr>
              <w:t>nosť</w:t>
            </w:r>
            <w:r w:rsidRPr="00812649">
              <w:rPr>
                <w:rFonts w:hint="default"/>
                <w:lang w:val="sk-SK"/>
              </w:rPr>
              <w:t xml:space="preserve"> IT?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P="00A76810">
            <w:pPr>
              <w:bidi w:val="0"/>
              <w:rPr>
                <w:color w:val="000000"/>
                <w:lang w:val="sk-SK"/>
              </w:rPr>
            </w:pPr>
            <w:r w:rsidRPr="00812649" w:rsidR="009348FE">
              <w:rPr>
                <w:rFonts w:hint="default"/>
                <w:color w:val="000000"/>
                <w:lang w:val="sk-SK"/>
              </w:rPr>
              <w:t>Zavá</w:t>
            </w:r>
            <w:r w:rsidRPr="00812649" w:rsidR="009348FE">
              <w:rPr>
                <w:rFonts w:hint="default"/>
                <w:color w:val="000000"/>
                <w:lang w:val="sk-SK"/>
              </w:rPr>
              <w:t>dza pr</w:t>
            </w:r>
            <w:r w:rsidR="007B5A99">
              <w:rPr>
                <w:rFonts w:hint="default"/>
                <w:color w:val="000000"/>
                <w:lang w:val="sk-SK"/>
              </w:rPr>
              <w:t>í</w:t>
            </w:r>
            <w:r w:rsidR="007B5A99">
              <w:rPr>
                <w:rFonts w:hint="default"/>
                <w:color w:val="000000"/>
                <w:lang w:val="sk-SK"/>
              </w:rPr>
              <w:t>stup k </w:t>
            </w:r>
            <w:r w:rsidR="007B5A99">
              <w:rPr>
                <w:rFonts w:hint="default"/>
                <w:color w:val="000000"/>
                <w:lang w:val="sk-SK"/>
              </w:rPr>
              <w:t>informá</w:t>
            </w:r>
            <w:r w:rsidR="007B5A99">
              <w:rPr>
                <w:rFonts w:hint="default"/>
                <w:color w:val="000000"/>
                <w:lang w:val="sk-SK"/>
              </w:rPr>
              <w:t>ciá</w:t>
            </w:r>
            <w:r w:rsidRPr="00812649" w:rsidR="009348FE">
              <w:rPr>
                <w:color w:val="000000"/>
                <w:lang w:val="sk-SK"/>
              </w:rPr>
              <w:t>m v </w:t>
            </w:r>
            <w:r w:rsidRPr="00812649" w:rsidR="009348FE">
              <w:rPr>
                <w:rFonts w:hint="default"/>
                <w:color w:val="000000"/>
                <w:lang w:val="sk-SK"/>
              </w:rPr>
              <w:t>NZIS pre obč</w:t>
            </w:r>
            <w:r w:rsidRPr="00812649" w:rsidR="009348FE">
              <w:rPr>
                <w:rFonts w:hint="default"/>
                <w:color w:val="000000"/>
                <w:lang w:val="sk-SK"/>
              </w:rPr>
              <w:t>ana a </w:t>
            </w:r>
            <w:r w:rsidRPr="00812649" w:rsidR="009348FE">
              <w:rPr>
                <w:rFonts w:hint="default"/>
                <w:color w:val="000000"/>
                <w:lang w:val="sk-SK"/>
              </w:rPr>
              <w:t>zdravotní</w:t>
            </w:r>
            <w:r w:rsidRPr="00812649" w:rsidR="009348FE">
              <w:rPr>
                <w:rFonts w:hint="default"/>
                <w:color w:val="000000"/>
                <w:lang w:val="sk-SK"/>
              </w:rPr>
              <w:t>ckeho pracovní</w:t>
            </w:r>
            <w:r w:rsidRPr="00812649" w:rsidR="009348FE">
              <w:rPr>
                <w:rFonts w:hint="default"/>
                <w:color w:val="000000"/>
                <w:lang w:val="sk-SK"/>
              </w:rPr>
              <w:t>ka prostrední</w:t>
            </w:r>
            <w:r w:rsidRPr="00812649" w:rsidR="009348FE">
              <w:rPr>
                <w:rFonts w:hint="default"/>
                <w:color w:val="000000"/>
                <w:lang w:val="sk-SK"/>
              </w:rPr>
              <w:t>ctvom elektronický</w:t>
            </w:r>
            <w:r w:rsidRPr="00812649" w:rsidR="009348FE">
              <w:rPr>
                <w:rFonts w:hint="default"/>
                <w:color w:val="000000"/>
                <w:lang w:val="sk-SK"/>
              </w:rPr>
              <w:t>ch č</w:t>
            </w:r>
            <w:r w:rsidRPr="00812649" w:rsidR="009348FE">
              <w:rPr>
                <w:rFonts w:hint="default"/>
                <w:color w:val="000000"/>
                <w:lang w:val="sk-SK"/>
              </w:rPr>
              <w:t>ipový</w:t>
            </w:r>
            <w:r w:rsidRPr="00812649" w:rsidR="009348FE">
              <w:rPr>
                <w:rFonts w:hint="default"/>
                <w:color w:val="000000"/>
                <w:lang w:val="sk-SK"/>
              </w:rPr>
              <w:t>ch kariet.</w:t>
            </w:r>
          </w:p>
          <w:p w:rsidR="009E2ADE" w:rsidRPr="00812649" w:rsidP="003B532A">
            <w:pPr>
              <w:bidi w:val="0"/>
              <w:rPr>
                <w:color w:val="000000"/>
                <w:lang w:val="sk-SK"/>
              </w:rPr>
            </w:pPr>
            <w:r w:rsidRPr="003B532A">
              <w:rPr>
                <w:rFonts w:hint="default"/>
                <w:color w:val="000000"/>
                <w:lang w:val="sk-SK"/>
              </w:rPr>
              <w:t>Ná</w:t>
            </w:r>
            <w:r w:rsidRPr="003B532A">
              <w:rPr>
                <w:rFonts w:hint="default"/>
                <w:color w:val="000000"/>
                <w:lang w:val="sk-SK"/>
              </w:rPr>
              <w:t>vrh zá</w:t>
            </w:r>
            <w:r w:rsidRPr="003B532A">
              <w:rPr>
                <w:rFonts w:hint="default"/>
                <w:color w:val="000000"/>
                <w:lang w:val="sk-SK"/>
              </w:rPr>
              <w:t>kona reš</w:t>
            </w:r>
            <w:r w:rsidRPr="003B532A">
              <w:rPr>
                <w:rFonts w:hint="default"/>
                <w:color w:val="000000"/>
                <w:lang w:val="sk-SK"/>
              </w:rPr>
              <w:t>pektuje domá</w:t>
            </w:r>
            <w:r w:rsidRPr="003B532A">
              <w:rPr>
                <w:rFonts w:hint="default"/>
                <w:color w:val="000000"/>
                <w:lang w:val="sk-SK"/>
              </w:rPr>
              <w:t>cu legislatí</w:t>
            </w:r>
            <w:r w:rsidRPr="003B532A">
              <w:rPr>
                <w:rFonts w:hint="default"/>
                <w:color w:val="000000"/>
                <w:lang w:val="sk-SK"/>
              </w:rPr>
              <w:t>vu upravujú</w:t>
            </w:r>
            <w:r w:rsidRPr="003B532A">
              <w:rPr>
                <w:rFonts w:hint="default"/>
                <w:color w:val="000000"/>
                <w:lang w:val="sk-SK"/>
              </w:rPr>
              <w:t>cu ochranu osobný</w:t>
            </w:r>
            <w:r w:rsidRPr="003B532A">
              <w:rPr>
                <w:rFonts w:hint="default"/>
                <w:color w:val="000000"/>
                <w:lang w:val="sk-SK"/>
              </w:rPr>
              <w:t>ch ú</w:t>
            </w:r>
            <w:r w:rsidRPr="003B532A">
              <w:rPr>
                <w:rFonts w:hint="default"/>
                <w:color w:val="000000"/>
                <w:lang w:val="sk-SK"/>
              </w:rPr>
              <w:t>dajov</w:t>
            </w:r>
            <w:r w:rsidRPr="003B532A" w:rsidR="003B532A">
              <w:rPr>
                <w:color w:val="000000"/>
                <w:lang w:val="sk-SK"/>
              </w:rPr>
              <w:t>, ako aj</w:t>
            </w:r>
            <w:r w:rsidRPr="003B532A">
              <w:rPr>
                <w:color w:val="000000"/>
                <w:lang w:val="sk-SK"/>
              </w:rPr>
              <w:t xml:space="preserve"> </w:t>
            </w:r>
            <w:r w:rsidRPr="003B532A" w:rsidR="003B532A">
              <w:rPr>
                <w:color w:val="000000"/>
                <w:lang w:val="sk-SK"/>
              </w:rPr>
              <w:t>smernicu</w:t>
            </w:r>
            <w:r w:rsidRPr="003B532A">
              <w:rPr>
                <w:rFonts w:hint="default"/>
                <w:color w:val="000000"/>
                <w:lang w:val="sk-SK"/>
              </w:rPr>
              <w:t xml:space="preserve"> Euró</w:t>
            </w:r>
            <w:r w:rsidRPr="003B532A">
              <w:rPr>
                <w:rFonts w:hint="default"/>
                <w:color w:val="000000"/>
                <w:lang w:val="sk-SK"/>
              </w:rPr>
              <w:t>pskeho parlamentu a Rady 95/46/EHS z 24. októ</w:t>
            </w:r>
            <w:r w:rsidRPr="003B532A">
              <w:rPr>
                <w:rFonts w:hint="default"/>
                <w:color w:val="000000"/>
                <w:lang w:val="sk-SK"/>
              </w:rPr>
              <w:t>bra 1995 o ochrane fyzický</w:t>
            </w:r>
            <w:r w:rsidRPr="003B532A">
              <w:rPr>
                <w:rFonts w:hint="default"/>
                <w:color w:val="000000"/>
                <w:lang w:val="sk-SK"/>
              </w:rPr>
              <w:t>ch osô</w:t>
            </w:r>
            <w:r w:rsidRPr="003B532A">
              <w:rPr>
                <w:rFonts w:hint="default"/>
                <w:color w:val="000000"/>
                <w:lang w:val="sk-SK"/>
              </w:rPr>
              <w:t>b pri</w:t>
            </w:r>
            <w:r w:rsidRPr="003B532A">
              <w:rPr>
                <w:rFonts w:hint="default"/>
                <w:color w:val="000000"/>
                <w:lang w:val="sk-SK"/>
              </w:rPr>
              <w:t xml:space="preserve"> spracovaní</w:t>
            </w:r>
            <w:r w:rsidRPr="003B532A">
              <w:rPr>
                <w:rFonts w:hint="default"/>
                <w:color w:val="000000"/>
                <w:lang w:val="sk-SK"/>
              </w:rPr>
              <w:t xml:space="preserve"> osobný</w:t>
            </w:r>
            <w:r w:rsidRPr="003B532A">
              <w:rPr>
                <w:rFonts w:hint="default"/>
                <w:color w:val="000000"/>
                <w:lang w:val="sk-SK"/>
              </w:rPr>
              <w:t>ch ú</w:t>
            </w:r>
            <w:r w:rsidRPr="003B532A">
              <w:rPr>
                <w:rFonts w:hint="default"/>
                <w:color w:val="000000"/>
                <w:lang w:val="sk-SK"/>
              </w:rPr>
              <w:t>dajov a voľ</w:t>
            </w:r>
            <w:r w:rsidRPr="003B532A">
              <w:rPr>
                <w:rFonts w:hint="default"/>
                <w:color w:val="000000"/>
                <w:lang w:val="sk-SK"/>
              </w:rPr>
              <w:t>nom pohybe tý</w:t>
            </w:r>
            <w:r w:rsidRPr="003B532A">
              <w:rPr>
                <w:rFonts w:hint="default"/>
                <w:color w:val="000000"/>
                <w:lang w:val="sk-SK"/>
              </w:rPr>
              <w:t>chto ú</w:t>
            </w:r>
            <w:r w:rsidRPr="003B532A">
              <w:rPr>
                <w:rFonts w:hint="default"/>
                <w:color w:val="000000"/>
                <w:lang w:val="sk-SK"/>
              </w:rPr>
              <w:t>dajov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6.12.</w:t>
            </w:r>
            <w:r w:rsidRPr="00812649">
              <w:rPr>
                <w:rFonts w:hint="default"/>
                <w:lang w:val="sk-SK"/>
              </w:rPr>
              <w:t xml:space="preserve"> Rozš</w:t>
            </w:r>
            <w:r w:rsidRPr="00812649">
              <w:rPr>
                <w:rFonts w:hint="default"/>
                <w:lang w:val="sk-SK"/>
              </w:rPr>
              <w:t>iruje sa technická</w:t>
            </w:r>
            <w:r w:rsidRPr="00812649">
              <w:rPr>
                <w:rFonts w:hint="default"/>
                <w:lang w:val="sk-SK"/>
              </w:rPr>
              <w:t xml:space="preserve"> infraš</w:t>
            </w:r>
            <w:r w:rsidRPr="00812649">
              <w:rPr>
                <w:rFonts w:hint="default"/>
                <w:lang w:val="sk-SK"/>
              </w:rPr>
              <w:t>truktú</w:t>
            </w:r>
            <w:r w:rsidRPr="00812649">
              <w:rPr>
                <w:rFonts w:hint="default"/>
                <w:lang w:val="sk-SK"/>
              </w:rPr>
              <w:t>ra?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color w:val="000000"/>
                <w:lang w:val="sk-SK"/>
              </w:rPr>
            </w:pPr>
            <w:r w:rsidRPr="00812649">
              <w:rPr>
                <w:rFonts w:hint="default"/>
                <w:color w:val="000000"/>
                <w:lang w:val="sk-SK"/>
              </w:rPr>
              <w:t>Ná</w:t>
            </w:r>
            <w:r w:rsidRPr="00812649">
              <w:rPr>
                <w:rFonts w:hint="default"/>
                <w:color w:val="000000"/>
                <w:lang w:val="sk-SK"/>
              </w:rPr>
              <w:t>vrh predpokladá</w:t>
            </w:r>
            <w:r w:rsidRPr="00812649">
              <w:rPr>
                <w:rFonts w:hint="default"/>
                <w:color w:val="000000"/>
                <w:lang w:val="sk-SK"/>
              </w:rPr>
              <w:t xml:space="preserve"> vytvorenie dá</w:t>
            </w:r>
            <w:r w:rsidRPr="00812649">
              <w:rPr>
                <w:rFonts w:hint="default"/>
                <w:color w:val="000000"/>
                <w:lang w:val="sk-SK"/>
              </w:rPr>
              <w:t>tové</w:t>
            </w:r>
            <w:r w:rsidRPr="00812649">
              <w:rPr>
                <w:rFonts w:hint="default"/>
                <w:color w:val="000000"/>
                <w:lang w:val="sk-SK"/>
              </w:rPr>
              <w:t>ho centra pre ná</w:t>
            </w:r>
            <w:r w:rsidRPr="00812649">
              <w:rPr>
                <w:rFonts w:hint="default"/>
                <w:color w:val="000000"/>
                <w:lang w:val="sk-SK"/>
              </w:rPr>
              <w:t>rodný</w:t>
            </w:r>
            <w:r w:rsidRPr="00812649">
              <w:rPr>
                <w:rFonts w:hint="default"/>
                <w:color w:val="000000"/>
                <w:lang w:val="sk-SK"/>
              </w:rPr>
              <w:t xml:space="preserve"> zdravotní</w:t>
            </w:r>
            <w:r w:rsidRPr="00812649">
              <w:rPr>
                <w:rFonts w:hint="default"/>
                <w:color w:val="000000"/>
                <w:lang w:val="sk-SK"/>
              </w:rPr>
              <w:t>cky informač</w:t>
            </w:r>
            <w:r w:rsidRPr="00812649">
              <w:rPr>
                <w:rFonts w:hint="default"/>
                <w:color w:val="000000"/>
                <w:lang w:val="sk-SK"/>
              </w:rPr>
              <w:t>ný</w:t>
            </w:r>
            <w:r w:rsidRPr="00812649">
              <w:rPr>
                <w:rFonts w:hint="default"/>
                <w:color w:val="000000"/>
                <w:lang w:val="sk-SK"/>
              </w:rPr>
              <w:t xml:space="preserve"> systé</w:t>
            </w:r>
            <w:r w:rsidRPr="00812649">
              <w:rPr>
                <w:rFonts w:hint="default"/>
                <w:color w:val="000000"/>
                <w:lang w:val="sk-SK"/>
              </w:rPr>
              <w:t>m (predpokladá</w:t>
            </w:r>
            <w:r w:rsidRPr="00812649">
              <w:rPr>
                <w:rFonts w:hint="default"/>
                <w:color w:val="000000"/>
                <w:lang w:val="sk-SK"/>
              </w:rPr>
              <w:t xml:space="preserve"> sa prená</w:t>
            </w:r>
            <w:r w:rsidRPr="00812649">
              <w:rPr>
                <w:rFonts w:hint="default"/>
                <w:color w:val="000000"/>
                <w:lang w:val="sk-SK"/>
              </w:rPr>
              <w:t>jom existujú</w:t>
            </w:r>
            <w:r w:rsidRPr="00812649">
              <w:rPr>
                <w:rFonts w:hint="default"/>
                <w:color w:val="000000"/>
                <w:lang w:val="sk-SK"/>
              </w:rPr>
              <w:t>ceho DC</w:t>
            </w:r>
            <w:r w:rsidRPr="00812649" w:rsidR="008404A7">
              <w:rPr>
                <w:color w:val="000000"/>
                <w:lang w:val="sk-SK"/>
              </w:rPr>
              <w:t>).</w:t>
            </w:r>
          </w:p>
          <w:p w:rsidR="00085767" w:rsidRPr="00812649" w:rsidP="00A76810">
            <w:pPr>
              <w:bidi w:val="0"/>
              <w:rPr>
                <w:color w:val="000000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85767" w:rsidRPr="00812649" w:rsidP="00A76810">
            <w:pPr>
              <w:bidi w:val="0"/>
              <w:spacing w:line="20" w:lineRule="atLeast"/>
              <w:rPr>
                <w:rFonts w:hint="default"/>
                <w:b/>
                <w:lang w:val="sk-SK"/>
              </w:rPr>
            </w:pPr>
            <w:r w:rsidRPr="00812649">
              <w:rPr>
                <w:b/>
                <w:lang w:val="sk-SK"/>
              </w:rPr>
              <w:t>Riadenie procesu in</w:t>
            </w:r>
            <w:r w:rsidRPr="00812649">
              <w:rPr>
                <w:rFonts w:hint="default"/>
                <w:b/>
                <w:lang w:val="sk-SK"/>
              </w:rPr>
              <w:t>formatizá</w:t>
            </w:r>
            <w:r w:rsidRPr="00812649">
              <w:rPr>
                <w:rFonts w:hint="default"/>
                <w:b/>
                <w:lang w:val="sk-SK"/>
              </w:rPr>
              <w:t>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85767" w:rsidRPr="00812649" w:rsidP="00A76810">
            <w:pPr>
              <w:bidi w:val="0"/>
              <w:jc w:val="center"/>
              <w:rPr>
                <w:b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jc w:val="both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6.13.</w:t>
            </w:r>
            <w:r w:rsidRPr="00812649">
              <w:rPr>
                <w:rFonts w:hint="default"/>
                <w:lang w:val="sk-SK"/>
              </w:rPr>
              <w:t xml:space="preserve"> Predpokladajú</w:t>
            </w:r>
            <w:r w:rsidRPr="00812649">
              <w:rPr>
                <w:rFonts w:hint="default"/>
                <w:lang w:val="sk-SK"/>
              </w:rPr>
              <w:t xml:space="preserve"> sa zmeny v </w:t>
            </w:r>
            <w:r w:rsidRPr="00812649">
              <w:rPr>
                <w:rFonts w:hint="default"/>
                <w:lang w:val="sk-SK"/>
              </w:rPr>
              <w:t>riadení</w:t>
            </w:r>
            <w:r w:rsidRPr="00812649">
              <w:rPr>
                <w:rFonts w:hint="default"/>
                <w:lang w:val="sk-SK"/>
              </w:rPr>
              <w:t xml:space="preserve"> procesu informatizá</w:t>
            </w:r>
            <w:r w:rsidRPr="00812649">
              <w:rPr>
                <w:rFonts w:hint="default"/>
                <w:lang w:val="sk-SK"/>
              </w:rPr>
              <w:t>cie?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color w:val="000000"/>
                <w:lang w:val="sk-SK"/>
              </w:rPr>
            </w:pPr>
            <w:r w:rsidRPr="00812649" w:rsidR="0089108A">
              <w:rPr>
                <w:color w:val="000000"/>
                <w:lang w:val="sk-SK"/>
              </w:rPr>
              <w:t>N</w:t>
            </w:r>
            <w:r w:rsidRPr="00812649">
              <w:rPr>
                <w:color w:val="000000"/>
                <w:lang w:val="sk-SK"/>
              </w:rPr>
              <w:t>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85767" w:rsidRPr="00812649" w:rsidP="00A76810">
            <w:pPr>
              <w:bidi w:val="0"/>
              <w:spacing w:line="20" w:lineRule="atLeast"/>
              <w:jc w:val="both"/>
              <w:rPr>
                <w:rFonts w:hint="default"/>
                <w:b/>
                <w:lang w:val="sk-SK"/>
              </w:rPr>
            </w:pPr>
            <w:r w:rsidRPr="00812649">
              <w:rPr>
                <w:rFonts w:hint="default"/>
                <w:b/>
                <w:lang w:val="sk-SK"/>
              </w:rPr>
              <w:t>Financovanie procesu informatizá</w:t>
            </w:r>
            <w:r w:rsidRPr="00812649">
              <w:rPr>
                <w:rFonts w:hint="default"/>
                <w:b/>
                <w:lang w:val="sk-SK"/>
              </w:rPr>
              <w:t>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85767" w:rsidRPr="00812649" w:rsidP="00A76810">
            <w:pPr>
              <w:bidi w:val="0"/>
              <w:rPr>
                <w:b/>
                <w:i/>
                <w:iCs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6.14.</w:t>
            </w:r>
            <w:r w:rsidRPr="00812649">
              <w:rPr>
                <w:rFonts w:hint="default"/>
                <w:lang w:val="sk-SK"/>
              </w:rPr>
              <w:t xml:space="preserve"> Vyž</w:t>
            </w:r>
            <w:r w:rsidRPr="00812649">
              <w:rPr>
                <w:rFonts w:hint="default"/>
                <w:lang w:val="sk-SK"/>
              </w:rPr>
              <w:t>aduje si proces informatizá</w:t>
            </w:r>
            <w:r w:rsidRPr="00812649">
              <w:rPr>
                <w:rFonts w:hint="default"/>
                <w:lang w:val="sk-SK"/>
              </w:rPr>
              <w:t>cie  finanč</w:t>
            </w:r>
            <w:r w:rsidRPr="00812649">
              <w:rPr>
                <w:rFonts w:hint="default"/>
                <w:lang w:val="sk-SK"/>
              </w:rPr>
              <w:t>né</w:t>
            </w:r>
            <w:r w:rsidRPr="00812649">
              <w:rPr>
                <w:rFonts w:hint="default"/>
                <w:lang w:val="sk-SK"/>
              </w:rPr>
              <w:t xml:space="preserve"> investí</w:t>
            </w:r>
            <w:r w:rsidRPr="00812649">
              <w:rPr>
                <w:rFonts w:hint="default"/>
                <w:lang w:val="sk-SK"/>
              </w:rPr>
              <w:t>cie?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i/>
                <w:iCs/>
                <w:sz w:val="2"/>
                <w:szCs w:val="22"/>
                <w:lang w:val="sk-SK"/>
              </w:rPr>
            </w:pPr>
            <w:r w:rsidRPr="00812649">
              <w:rPr>
                <w:rFonts w:hint="default"/>
                <w:lang w:val="sk-SK"/>
              </w:rPr>
              <w:t>Operač</w:t>
            </w:r>
            <w:r w:rsidRPr="00812649">
              <w:rPr>
                <w:rFonts w:hint="default"/>
                <w:lang w:val="sk-SK"/>
              </w:rPr>
              <w:t>ný</w:t>
            </w:r>
            <w:r w:rsidRPr="00812649">
              <w:rPr>
                <w:rFonts w:hint="default"/>
                <w:lang w:val="sk-SK"/>
              </w:rPr>
              <w:t xml:space="preserve"> program Informatizá</w:t>
            </w:r>
            <w:r w:rsidRPr="00812649">
              <w:rPr>
                <w:rFonts w:hint="default"/>
                <w:lang w:val="sk-SK"/>
              </w:rPr>
              <w:t>cie spoloč</w:t>
            </w:r>
            <w:r w:rsidRPr="00812649">
              <w:rPr>
                <w:rFonts w:hint="default"/>
                <w:lang w:val="sk-SK"/>
              </w:rPr>
              <w:t>nosti, minimá</w:t>
            </w:r>
            <w:r w:rsidRPr="00812649">
              <w:rPr>
                <w:rFonts w:hint="default"/>
                <w:lang w:val="sk-SK"/>
              </w:rPr>
              <w:t>lne zdroje zo strany š</w:t>
            </w:r>
            <w:r w:rsidRPr="00812649">
              <w:rPr>
                <w:rFonts w:hint="default"/>
                <w:lang w:val="sk-SK"/>
              </w:rPr>
              <w:t>tá</w:t>
            </w:r>
            <w:r w:rsidRPr="00812649">
              <w:rPr>
                <w:rFonts w:hint="default"/>
                <w:lang w:val="sk-SK"/>
              </w:rPr>
              <w:t>tneho rozpoč</w:t>
            </w:r>
            <w:r w:rsidRPr="00812649">
              <w:rPr>
                <w:rFonts w:hint="default"/>
                <w:lang w:val="sk-SK"/>
              </w:rPr>
              <w:t>tu.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85767" w:rsidRPr="00812649" w:rsidP="00A76810">
            <w:pPr>
              <w:bidi w:val="0"/>
              <w:spacing w:line="20" w:lineRule="atLeast"/>
              <w:jc w:val="both"/>
              <w:rPr>
                <w:rFonts w:hint="default"/>
                <w:b/>
                <w:lang w:val="sk-SK"/>
              </w:rPr>
            </w:pPr>
            <w:r w:rsidRPr="00812649">
              <w:rPr>
                <w:rFonts w:hint="default"/>
                <w:b/>
                <w:lang w:val="sk-SK"/>
              </w:rPr>
              <w:t>Legislatí</w:t>
            </w:r>
            <w:r w:rsidRPr="00812649">
              <w:rPr>
                <w:rFonts w:hint="default"/>
                <w:b/>
                <w:lang w:val="sk-SK"/>
              </w:rPr>
              <w:t>vne prostredie procesu informatizá</w:t>
            </w:r>
            <w:r w:rsidRPr="00812649">
              <w:rPr>
                <w:rFonts w:hint="default"/>
                <w:b/>
                <w:lang w:val="sk-SK"/>
              </w:rPr>
              <w:t>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085767" w:rsidRPr="00812649" w:rsidP="00A76810">
            <w:pPr>
              <w:bidi w:val="0"/>
              <w:rPr>
                <w:b/>
                <w:i/>
                <w:iCs/>
                <w:sz w:val="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rFonts w:hint="default"/>
                <w:lang w:val="sk-SK"/>
              </w:rPr>
            </w:pPr>
            <w:r w:rsidRPr="00812649">
              <w:rPr>
                <w:b/>
                <w:lang w:val="sk-SK"/>
              </w:rPr>
              <w:t>6.15.</w:t>
            </w:r>
            <w:r w:rsidRPr="00812649">
              <w:rPr>
                <w:rFonts w:hint="default"/>
                <w:lang w:val="sk-SK"/>
              </w:rPr>
              <w:t xml:space="preserve"> Predpokladá</w:t>
            </w:r>
            <w:r w:rsidRPr="00812649">
              <w:rPr>
                <w:rFonts w:hint="default"/>
                <w:lang w:val="sk-SK"/>
              </w:rPr>
              <w:t xml:space="preserve"> nelegislatí</w:t>
            </w:r>
            <w:r w:rsidRPr="00812649">
              <w:rPr>
                <w:rFonts w:hint="default"/>
                <w:lang w:val="sk-SK"/>
              </w:rPr>
              <w:t>vny materiá</w:t>
            </w:r>
            <w:r w:rsidRPr="00812649">
              <w:rPr>
                <w:rFonts w:hint="default"/>
                <w:lang w:val="sk-SK"/>
              </w:rPr>
              <w:t>l potrebu ú</w:t>
            </w:r>
            <w:r w:rsidRPr="00812649">
              <w:rPr>
                <w:rFonts w:hint="default"/>
                <w:lang w:val="sk-SK"/>
              </w:rPr>
              <w:t>pravy legislatí</w:t>
            </w:r>
            <w:r w:rsidRPr="00812649">
              <w:rPr>
                <w:rFonts w:hint="default"/>
                <w:lang w:val="sk-SK"/>
              </w:rPr>
              <w:t>vneho prostredia  procesu informatizá</w:t>
            </w:r>
            <w:r w:rsidRPr="00812649">
              <w:rPr>
                <w:rFonts w:hint="default"/>
                <w:lang w:val="sk-SK"/>
              </w:rPr>
              <w:t>cie?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5767" w:rsidRPr="00812649" w:rsidP="00A76810">
            <w:pPr>
              <w:bidi w:val="0"/>
              <w:rPr>
                <w:color w:val="000000"/>
                <w:lang w:val="sk-SK"/>
              </w:rPr>
            </w:pPr>
            <w:r w:rsidRPr="00812649" w:rsidR="00161000">
              <w:rPr>
                <w:color w:val="000000"/>
                <w:lang w:val="sk-SK"/>
              </w:rPr>
              <w:t>N</w:t>
            </w:r>
            <w:r w:rsidRPr="00812649">
              <w:rPr>
                <w:color w:val="000000"/>
                <w:lang w:val="sk-SK"/>
              </w:rPr>
              <w:t>ie</w:t>
            </w:r>
          </w:p>
        </w:tc>
      </w:tr>
    </w:tbl>
    <w:p w:rsidR="00D77875" w:rsidRPr="00812649" w:rsidP="002746E0">
      <w:pPr>
        <w:bidi w:val="0"/>
        <w:rPr>
          <w:b/>
          <w:sz w:val="28"/>
          <w:szCs w:val="28"/>
          <w:lang w:val="sk-SK"/>
        </w:rPr>
      </w:pPr>
    </w:p>
    <w:sectPr w:rsidSect="00085767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09C">
    <w:pPr>
      <w:pStyle w:val="Footer"/>
      <w:bidi w:val="0"/>
      <w:jc w:val="center"/>
    </w:pPr>
    <w:r>
      <w:rPr>
        <w:lang w:val="sk-SK"/>
      </w:rPr>
      <w:t xml:space="preserve">Strana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D0D3E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sk-SK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D0D3E">
      <w:rPr>
        <w:b/>
        <w:bCs/>
        <w:noProof/>
      </w:rPr>
      <w:t>13</w:t>
    </w:r>
    <w:r>
      <w:rPr>
        <w:b/>
        <w:bCs/>
      </w:rPr>
      <w:fldChar w:fldCharType="end"/>
    </w:r>
  </w:p>
  <w:p w:rsidR="004D209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4B73"/>
    <w:multiLevelType w:val="hybridMultilevel"/>
    <w:tmpl w:val="92541EC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42AF7640"/>
    <w:multiLevelType w:val="hybridMultilevel"/>
    <w:tmpl w:val="84F07E58"/>
    <w:lvl w:ilvl="0">
      <w:start w:val="9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  <w:i w:val="0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437B08F7"/>
    <w:multiLevelType w:val="hybridMultilevel"/>
    <w:tmpl w:val="B5B8F3C6"/>
    <w:lvl w:ilvl="0">
      <w:start w:val="0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">
    <w:nsid w:val="5CB4391E"/>
    <w:multiLevelType w:val="hybridMultilevel"/>
    <w:tmpl w:val="5CA0F93E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154165"/>
    <w:multiLevelType w:val="hybridMultilevel"/>
    <w:tmpl w:val="C20CB95A"/>
    <w:lvl w:ilvl="0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  <w:rtl w:val="0"/>
        <w:cs w:val="0"/>
      </w:rPr>
    </w:lvl>
  </w:abstractNum>
  <w:abstractNum w:abstractNumId="5">
    <w:nsid w:val="7513355E"/>
    <w:multiLevelType w:val="hybridMultilevel"/>
    <w:tmpl w:val="BC324A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B585F"/>
    <w:rsid w:val="000113AF"/>
    <w:rsid w:val="0001335C"/>
    <w:rsid w:val="00040F16"/>
    <w:rsid w:val="00077791"/>
    <w:rsid w:val="00083FB1"/>
    <w:rsid w:val="00085767"/>
    <w:rsid w:val="000B7BFB"/>
    <w:rsid w:val="000C50D3"/>
    <w:rsid w:val="000D499D"/>
    <w:rsid w:val="000E0E1F"/>
    <w:rsid w:val="000F3D4F"/>
    <w:rsid w:val="000F7701"/>
    <w:rsid w:val="00105D5F"/>
    <w:rsid w:val="00130F01"/>
    <w:rsid w:val="00132303"/>
    <w:rsid w:val="00151216"/>
    <w:rsid w:val="00161000"/>
    <w:rsid w:val="00184F3D"/>
    <w:rsid w:val="001B24DA"/>
    <w:rsid w:val="001C2A4E"/>
    <w:rsid w:val="00226462"/>
    <w:rsid w:val="00231A9E"/>
    <w:rsid w:val="00261AB5"/>
    <w:rsid w:val="002746E0"/>
    <w:rsid w:val="00275752"/>
    <w:rsid w:val="002852D1"/>
    <w:rsid w:val="00290D80"/>
    <w:rsid w:val="002928FE"/>
    <w:rsid w:val="002A6154"/>
    <w:rsid w:val="002A7C43"/>
    <w:rsid w:val="002D793F"/>
    <w:rsid w:val="00342F8C"/>
    <w:rsid w:val="003A2439"/>
    <w:rsid w:val="003B532A"/>
    <w:rsid w:val="003B585F"/>
    <w:rsid w:val="003C1803"/>
    <w:rsid w:val="003E6591"/>
    <w:rsid w:val="0040045D"/>
    <w:rsid w:val="00410AA7"/>
    <w:rsid w:val="004145F6"/>
    <w:rsid w:val="00451D27"/>
    <w:rsid w:val="00453694"/>
    <w:rsid w:val="00474D5D"/>
    <w:rsid w:val="00484A36"/>
    <w:rsid w:val="00497B9E"/>
    <w:rsid w:val="004C462C"/>
    <w:rsid w:val="004D209C"/>
    <w:rsid w:val="004D30D7"/>
    <w:rsid w:val="004F23AA"/>
    <w:rsid w:val="005418B4"/>
    <w:rsid w:val="00541F77"/>
    <w:rsid w:val="00543E70"/>
    <w:rsid w:val="00551E0C"/>
    <w:rsid w:val="0056260A"/>
    <w:rsid w:val="00562613"/>
    <w:rsid w:val="00584B7A"/>
    <w:rsid w:val="005939C9"/>
    <w:rsid w:val="005A0315"/>
    <w:rsid w:val="005F2F76"/>
    <w:rsid w:val="005F4614"/>
    <w:rsid w:val="00603AD0"/>
    <w:rsid w:val="0061064C"/>
    <w:rsid w:val="006165D2"/>
    <w:rsid w:val="006215FE"/>
    <w:rsid w:val="00662C1F"/>
    <w:rsid w:val="00663C71"/>
    <w:rsid w:val="006A3D60"/>
    <w:rsid w:val="006A74C4"/>
    <w:rsid w:val="00722B3B"/>
    <w:rsid w:val="0077427B"/>
    <w:rsid w:val="007A653A"/>
    <w:rsid w:val="007B5A99"/>
    <w:rsid w:val="007D7B6E"/>
    <w:rsid w:val="00812649"/>
    <w:rsid w:val="00814BFB"/>
    <w:rsid w:val="00834A28"/>
    <w:rsid w:val="008404A7"/>
    <w:rsid w:val="00846C6D"/>
    <w:rsid w:val="00862C9A"/>
    <w:rsid w:val="00864FAB"/>
    <w:rsid w:val="008761DE"/>
    <w:rsid w:val="0089108A"/>
    <w:rsid w:val="00891460"/>
    <w:rsid w:val="008958C9"/>
    <w:rsid w:val="008A7A88"/>
    <w:rsid w:val="008A7DBA"/>
    <w:rsid w:val="008C3068"/>
    <w:rsid w:val="008C38A2"/>
    <w:rsid w:val="008D0D3E"/>
    <w:rsid w:val="008D12B1"/>
    <w:rsid w:val="008E032F"/>
    <w:rsid w:val="008E4D96"/>
    <w:rsid w:val="0093402B"/>
    <w:rsid w:val="009348FE"/>
    <w:rsid w:val="0097234F"/>
    <w:rsid w:val="009A2F82"/>
    <w:rsid w:val="009A3D3C"/>
    <w:rsid w:val="009A74F2"/>
    <w:rsid w:val="009C3699"/>
    <w:rsid w:val="009C69EA"/>
    <w:rsid w:val="009C7B07"/>
    <w:rsid w:val="009D7293"/>
    <w:rsid w:val="009E2ADE"/>
    <w:rsid w:val="00A12482"/>
    <w:rsid w:val="00A34332"/>
    <w:rsid w:val="00A3528E"/>
    <w:rsid w:val="00A76810"/>
    <w:rsid w:val="00A903BF"/>
    <w:rsid w:val="00A97D30"/>
    <w:rsid w:val="00AB32B4"/>
    <w:rsid w:val="00AD0B54"/>
    <w:rsid w:val="00AE0058"/>
    <w:rsid w:val="00AE36C8"/>
    <w:rsid w:val="00B02002"/>
    <w:rsid w:val="00B02A20"/>
    <w:rsid w:val="00B1062C"/>
    <w:rsid w:val="00B65075"/>
    <w:rsid w:val="00B73493"/>
    <w:rsid w:val="00BD301F"/>
    <w:rsid w:val="00C12C54"/>
    <w:rsid w:val="00C35BB7"/>
    <w:rsid w:val="00C46756"/>
    <w:rsid w:val="00C72563"/>
    <w:rsid w:val="00C72886"/>
    <w:rsid w:val="00C97575"/>
    <w:rsid w:val="00CC429E"/>
    <w:rsid w:val="00CD0A69"/>
    <w:rsid w:val="00D03AAC"/>
    <w:rsid w:val="00D208D5"/>
    <w:rsid w:val="00D32306"/>
    <w:rsid w:val="00D41C01"/>
    <w:rsid w:val="00D42AC1"/>
    <w:rsid w:val="00D75F27"/>
    <w:rsid w:val="00D77875"/>
    <w:rsid w:val="00D92308"/>
    <w:rsid w:val="00DA7679"/>
    <w:rsid w:val="00DD5D8C"/>
    <w:rsid w:val="00DF6710"/>
    <w:rsid w:val="00E01653"/>
    <w:rsid w:val="00E078CB"/>
    <w:rsid w:val="00E3448D"/>
    <w:rsid w:val="00E45A79"/>
    <w:rsid w:val="00E750FC"/>
    <w:rsid w:val="00E93E9D"/>
    <w:rsid w:val="00EB0830"/>
    <w:rsid w:val="00EB10F0"/>
    <w:rsid w:val="00ED2ABC"/>
    <w:rsid w:val="00EF7756"/>
    <w:rsid w:val="00F20DC1"/>
    <w:rsid w:val="00F26D4E"/>
    <w:rsid w:val="00F279B6"/>
    <w:rsid w:val="00F354F0"/>
    <w:rsid w:val="00F40EF4"/>
    <w:rsid w:val="00F55FDE"/>
    <w:rsid w:val="00F65B9C"/>
    <w:rsid w:val="00F86720"/>
    <w:rsid w:val="00F960EB"/>
    <w:rsid w:val="00FC6A9F"/>
    <w:rsid w:val="00FD0D2B"/>
    <w:rsid w:val="00FD371D"/>
    <w:rsid w:val="00FE1CDB"/>
    <w:rsid w:val="00FE5E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585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rsid w:val="003B585F"/>
    <w:pPr>
      <w:suppressAutoHyphens/>
      <w:spacing w:before="280" w:after="280"/>
      <w:jc w:val="left"/>
    </w:pPr>
    <w:rPr>
      <w:lang w:val="sk-SK" w:eastAsia="ar-SA"/>
    </w:rPr>
  </w:style>
  <w:style w:type="paragraph" w:styleId="BodyText">
    <w:name w:val="Body Text"/>
    <w:basedOn w:val="Normal"/>
    <w:link w:val="BodyTextChar"/>
    <w:rsid w:val="003B585F"/>
    <w:pPr>
      <w:spacing w:after="120"/>
      <w:jc w:val="left"/>
    </w:pPr>
    <w:rPr>
      <w:lang w:val="en-US" w:eastAsia="sk-SK"/>
    </w:rPr>
  </w:style>
  <w:style w:type="character" w:customStyle="1" w:styleId="BodyTextChar">
    <w:name w:val="Body Text Char"/>
    <w:link w:val="BodyText"/>
    <w:locked/>
    <w:rsid w:val="003B585F"/>
    <w:rPr>
      <w:rFonts w:eastAsia="Calibri"/>
      <w:sz w:val="24"/>
      <w:lang w:val="en-US" w:eastAsia="sk-SK"/>
    </w:rPr>
  </w:style>
  <w:style w:type="paragraph" w:styleId="ListParagraph">
    <w:name w:val="List Paragraph"/>
    <w:basedOn w:val="Normal"/>
    <w:qFormat/>
    <w:rsid w:val="003B585F"/>
    <w:pPr>
      <w:ind w:left="720"/>
      <w:contextualSpacing/>
      <w:jc w:val="left"/>
    </w:pPr>
  </w:style>
  <w:style w:type="paragraph" w:styleId="Footer">
    <w:name w:val="footer"/>
    <w:basedOn w:val="Normal"/>
    <w:link w:val="FooterChar"/>
    <w:rsid w:val="003B585F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locked/>
    <w:rsid w:val="003B585F"/>
    <w:rPr>
      <w:rFonts w:eastAsia="Calibri"/>
      <w:sz w:val="24"/>
      <w:lang w:val="cs-CZ" w:eastAsia="cs-CZ"/>
    </w:rPr>
  </w:style>
  <w:style w:type="paragraph" w:styleId="BalloonText">
    <w:name w:val="Balloon Text"/>
    <w:basedOn w:val="Normal"/>
    <w:link w:val="BalloonTextChar"/>
    <w:rsid w:val="00B0200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B02002"/>
    <w:rPr>
      <w:rFonts w:ascii="Tahoma" w:eastAsia="Calibri" w:hAnsi="Tahoma"/>
      <w:sz w:val="16"/>
      <w:lang w:val="cs-CZ" w:eastAsia="cs-CZ"/>
    </w:rPr>
  </w:style>
  <w:style w:type="character" w:styleId="CommentReference">
    <w:name w:val="annotation reference"/>
    <w:rsid w:val="00F86720"/>
    <w:rPr>
      <w:sz w:val="16"/>
    </w:rPr>
  </w:style>
  <w:style w:type="paragraph" w:styleId="CommentText">
    <w:name w:val="annotation text"/>
    <w:basedOn w:val="Normal"/>
    <w:link w:val="CommentTextChar"/>
    <w:rsid w:val="00F86720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F86720"/>
    <w:rPr>
      <w:rFonts w:eastAsia="Calibri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rsid w:val="00F86720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F86720"/>
    <w:rPr>
      <w:rFonts w:eastAsia="Calibri"/>
      <w:b/>
      <w:lang w:val="cs-CZ" w:eastAsia="cs-CZ"/>
    </w:rPr>
  </w:style>
  <w:style w:type="paragraph" w:customStyle="1" w:styleId="Odsekzoznamu">
    <w:name w:val="Odsek zoznamu"/>
    <w:basedOn w:val="Normal"/>
    <w:uiPriority w:val="34"/>
    <w:qFormat/>
    <w:rsid w:val="005418B4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13</Pages>
  <Words>3501</Words>
  <Characters>19960</Characters>
  <Application>Microsoft Office Word</Application>
  <DocSecurity>0</DocSecurity>
  <Lines>0</Lines>
  <Paragraphs>0</Paragraphs>
  <ScaleCrop>false</ScaleCrop>
  <Company>MZ SR</Company>
  <LinksUpToDate>false</LinksUpToDate>
  <CharactersWithSpaces>23415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Martina Verešová</dc:creator>
  <cp:lastModifiedBy>Gašparíková, Jarmila</cp:lastModifiedBy>
  <cp:revision>2</cp:revision>
  <cp:lastPrinted>2013-02-05T07:51:00Z</cp:lastPrinted>
  <dcterms:created xsi:type="dcterms:W3CDTF">2013-03-14T16:36:00Z</dcterms:created>
  <dcterms:modified xsi:type="dcterms:W3CDTF">2013-03-14T16:36:00Z</dcterms:modified>
</cp:coreProperties>
</file>