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4CCF" w:rsidRPr="00875A32" w:rsidP="00AF53D5">
      <w:pPr>
        <w:bidi w:val="0"/>
        <w:jc w:val="center"/>
        <w:rPr>
          <w:rFonts w:ascii="Times New Roman" w:hAnsi="Times New Roman"/>
          <w:b/>
        </w:rPr>
      </w:pPr>
      <w:r w:rsidRPr="00875A32">
        <w:rPr>
          <w:rFonts w:ascii="Times New Roman" w:hAnsi="Times New Roman"/>
          <w:b/>
        </w:rPr>
        <w:t>Sociálne vplyvy -  vplyvy na hospodárenie obyvateľstva, sociálnu exklúziu, rovnosť príležitostí a rodovú rovnosť  a na zamestnanosť</w:t>
      </w:r>
    </w:p>
    <w:p w:rsidR="00624CCF" w:rsidRPr="00875A32" w:rsidP="00624CCF">
      <w:pPr>
        <w:bidi w:val="0"/>
        <w:rPr>
          <w:rFonts w:ascii="Times New Roman" w:hAnsi="Times New Roman"/>
          <w:b/>
          <w:bCs/>
        </w:rPr>
      </w:pPr>
    </w:p>
    <w:p w:rsidR="00624CCF" w:rsidRPr="00875A32" w:rsidP="00624CCF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24CCF" w:rsidRPr="00875A32" w:rsidP="005038E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75A32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  <w:b/>
              </w:rPr>
              <w:t>4.1.</w:t>
            </w:r>
            <w:r w:rsidRPr="00875A32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53D5" w:rsidRPr="00875A32" w:rsidP="00215D27">
            <w:pPr>
              <w:bidi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75A32">
              <w:rPr>
                <w:rFonts w:ascii="Times New Roman" w:hAnsi="Times New Roman"/>
                <w:u w:val="single"/>
              </w:rPr>
              <w:t>Pozitívny vplyv</w:t>
            </w:r>
            <w:r w:rsidRPr="00875A32" w:rsidR="00215D27">
              <w:rPr>
                <w:rFonts w:ascii="Times New Roman" w:hAnsi="Times New Roman"/>
                <w:u w:val="single"/>
              </w:rPr>
              <w:t xml:space="preserve"> 1</w:t>
            </w:r>
            <w:r w:rsidRPr="00875A32">
              <w:rPr>
                <w:rFonts w:ascii="Times New Roman" w:hAnsi="Times New Roman"/>
                <w:u w:val="single"/>
              </w:rPr>
              <w:t>:</w:t>
            </w:r>
            <w:r w:rsidRPr="00875A32">
              <w:rPr>
                <w:rFonts w:ascii="Times New Roman" w:hAnsi="Times New Roman"/>
              </w:rPr>
              <w:t xml:space="preserve"> zákaz požadovať od spotrebiteľov, resp. stavebných sporiteľov, ktorí sú fyzickými osobami nepodnikateľmi, poplatky alebo odplat</w:t>
            </w:r>
            <w:r w:rsidRPr="00875A32" w:rsidR="00885A00">
              <w:rPr>
                <w:rFonts w:ascii="Times New Roman" w:hAnsi="Times New Roman"/>
              </w:rPr>
              <w:t>y</w:t>
            </w:r>
            <w:r w:rsidRPr="00875A32">
              <w:rPr>
                <w:rFonts w:ascii="Times New Roman" w:hAnsi="Times New Roman"/>
              </w:rPr>
              <w:t xml:space="preserve"> za vedenie, evidenciu alebo správu úveru alebo účtu, na ktorom je úver vedený a ktorého zriadenie alebo vedenie je podmienkou úverového vzťahu</w:t>
            </w:r>
            <w:r w:rsidR="00741D8D">
              <w:rPr>
                <w:rFonts w:ascii="Times New Roman" w:hAnsi="Times New Roman"/>
              </w:rPr>
              <w:t>.</w:t>
            </w:r>
          </w:p>
          <w:p w:rsidR="009A5CC5" w:rsidRPr="00875A32" w:rsidP="009A5CC5">
            <w:pPr>
              <w:bidi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75A32" w:rsidR="00AF53D5">
              <w:rPr>
                <w:rFonts w:ascii="Times New Roman" w:hAnsi="Times New Roman"/>
                <w:u w:val="single"/>
              </w:rPr>
              <w:t>Ovplyvnená skupina:</w:t>
            </w:r>
            <w:r w:rsidRPr="00875A32" w:rsidR="00AF53D5">
              <w:rPr>
                <w:rFonts w:ascii="Times New Roman" w:hAnsi="Times New Roman"/>
              </w:rPr>
              <w:t xml:space="preserve"> </w:t>
            </w:r>
            <w:r w:rsidRPr="00875A32" w:rsidR="00215D27">
              <w:rPr>
                <w:rFonts w:ascii="Times New Roman" w:hAnsi="Times New Roman"/>
              </w:rPr>
              <w:t>p</w:t>
            </w:r>
            <w:r w:rsidRPr="00875A32" w:rsidR="00AF53D5">
              <w:rPr>
                <w:rFonts w:ascii="Times New Roman" w:hAnsi="Times New Roman"/>
              </w:rPr>
              <w:t>oberatelia hypotekárnych, spotrebiteľských a stavebných úverov</w:t>
            </w:r>
            <w:r w:rsidRPr="00875A32">
              <w:rPr>
                <w:rFonts w:ascii="Times New Roman" w:hAnsi="Times New Roman"/>
              </w:rPr>
              <w:t>.</w:t>
            </w:r>
          </w:p>
          <w:p w:rsidR="00215D27" w:rsidRPr="00875A32" w:rsidP="00AF53D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15D27" w:rsidRPr="00875A32" w:rsidP="00AF53D5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  <w:u w:val="single"/>
              </w:rPr>
              <w:t>Pozitívny vplyv 2:</w:t>
            </w:r>
            <w:r w:rsidRPr="00875A32">
              <w:rPr>
                <w:rFonts w:ascii="Times New Roman" w:hAnsi="Times New Roman"/>
              </w:rPr>
              <w:t xml:space="preserve"> bezplatné čiastočné alebo úplné splatenie hypotekárneho úveru s variabilnou úrokovou sadzbou jedenkrát ročne bez poplatkov, ak nedošlo počas predchádzajúceho kalendárneho roka k zmene úrokovej sadzby.</w:t>
            </w:r>
          </w:p>
          <w:p w:rsidR="00215D27" w:rsidRPr="00875A32" w:rsidP="004873F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  <w:u w:val="single"/>
              </w:rPr>
              <w:t>Ovplyvnená skupina:</w:t>
            </w:r>
            <w:r w:rsidRPr="00875A32">
              <w:rPr>
                <w:rFonts w:ascii="Times New Roman" w:hAnsi="Times New Roman"/>
              </w:rPr>
              <w:t xml:space="preserve"> Poberatelia hypotekárnych úverov</w:t>
            </w:r>
            <w:r w:rsidRPr="00875A32" w:rsidR="004873F4">
              <w:rPr>
                <w:rFonts w:ascii="Times New Roman" w:hAnsi="Times New Roman"/>
              </w:rPr>
              <w:t xml:space="preserve"> s variabilnou úrokovou sadzbou.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875A32" w:rsidP="00875A32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875A32" w:rsidP="004873F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 w:rsidR="00215D27">
              <w:rPr>
                <w:rFonts w:ascii="Times New Roman" w:hAnsi="Times New Roman"/>
              </w:rPr>
              <w:t xml:space="preserve">Uvedené v tejto chvíli nie je možné </w:t>
            </w:r>
            <w:r w:rsidRPr="00875A32" w:rsidR="004873F4">
              <w:rPr>
                <w:rFonts w:ascii="Times New Roman" w:hAnsi="Times New Roman"/>
              </w:rPr>
              <w:t>kvantifikovať</w:t>
            </w:r>
            <w:r w:rsidRPr="00875A32" w:rsidR="00215D27">
              <w:rPr>
                <w:rFonts w:ascii="Times New Roman" w:hAnsi="Times New Roman"/>
              </w:rPr>
              <w:t>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875A32" w:rsidP="00875A32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875A32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875A32" w:rsidP="00875A32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624CCF" w:rsidRPr="00875A32" w:rsidP="00875A32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875A32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35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875A32" w:rsidP="00875A32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875A32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center"/>
          </w:tcPr>
          <w:p w:rsidR="009A5CC5" w:rsidRPr="00875A32" w:rsidP="005038E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  <w:b/>
              </w:rPr>
              <w:t>4.2.</w:t>
            </w:r>
            <w:r w:rsidRPr="00875A32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5D27" w:rsidRPr="00875A32" w:rsidP="00215D27">
            <w:pPr>
              <w:bidi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75A32">
              <w:rPr>
                <w:rFonts w:ascii="Times New Roman" w:hAnsi="Times New Roman"/>
                <w:u w:val="single"/>
              </w:rPr>
              <w:t>Pozitívny vplyv 1:</w:t>
            </w:r>
            <w:r w:rsidRPr="00875A32">
              <w:rPr>
                <w:rFonts w:ascii="Times New Roman" w:hAnsi="Times New Roman"/>
              </w:rPr>
              <w:t xml:space="preserve"> </w:t>
            </w:r>
            <w:r w:rsidRPr="00875A32" w:rsidR="00C77585">
              <w:rPr>
                <w:rFonts w:ascii="Times New Roman" w:hAnsi="Times New Roman"/>
              </w:rPr>
              <w:t>N/A</w:t>
            </w:r>
          </w:p>
          <w:p w:rsidR="00215D27" w:rsidRPr="00875A32" w:rsidP="00215D27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971C5F" w:rsidRPr="00875A32" w:rsidP="00971C5F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 w:rsidR="00215D27">
              <w:rPr>
                <w:rFonts w:ascii="Times New Roman" w:hAnsi="Times New Roman"/>
                <w:u w:val="single"/>
              </w:rPr>
              <w:t>Pozitívny vplyv 2:</w:t>
            </w:r>
            <w:r w:rsidRPr="00875A32" w:rsidR="00215D27">
              <w:rPr>
                <w:rFonts w:ascii="Times New Roman" w:hAnsi="Times New Roman"/>
              </w:rPr>
              <w:t xml:space="preserve"> </w:t>
            </w:r>
            <w:r w:rsidRPr="00875A32" w:rsidR="00C77585">
              <w:rPr>
                <w:rFonts w:ascii="Times New Roman" w:hAnsi="Times New Roman"/>
              </w:rPr>
              <w:t>možnosť splatenia hypotekárneho úveru úverom s priaznivejšími podmienkami.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  <w:b/>
              </w:rPr>
              <w:t>4.3.</w:t>
            </w:r>
            <w:r w:rsidRPr="00875A32">
              <w:rPr>
                <w:rFonts w:ascii="Times New Roman" w:hAnsi="Times New Roman"/>
              </w:rPr>
              <w:t xml:space="preserve">  Zhodnoťte vplyv na rovnosť príležitostí:</w:t>
            </w: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</w:rPr>
              <w:t>Zhodnoťte vplyv na rodovú rovnosť.</w:t>
            </w: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 w:rsidR="00AF53D5">
              <w:rPr>
                <w:rFonts w:ascii="Times New Roman" w:hAnsi="Times New Roman"/>
              </w:rPr>
              <w:t>N/A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  <w:b/>
              </w:rPr>
              <w:t xml:space="preserve">4.4. </w:t>
            </w:r>
            <w:r w:rsidRPr="00875A32">
              <w:rPr>
                <w:rFonts w:ascii="Times New Roman" w:hAnsi="Times New Roman"/>
              </w:rPr>
              <w:t>Zhodnoťte vplyvy na zamestnanosť.</w:t>
            </w: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A32">
              <w:rPr>
                <w:rFonts w:ascii="Times New Roman" w:hAnsi="Times New Roman"/>
                <w:bCs/>
              </w:rPr>
              <w:t>Aké sú  vplyvy na zamestnanosť ?</w:t>
            </w: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75A32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5A32" w:rsidR="00AF53D5">
              <w:rPr>
                <w:rFonts w:ascii="Times New Roman" w:hAnsi="Times New Roman"/>
              </w:rPr>
              <w:t>N/A</w:t>
            </w: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875A32" w:rsidP="005038E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24CCF" w:rsidRPr="00875A32" w:rsidP="00624CC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Cs/>
        </w:rPr>
      </w:pPr>
    </w:p>
    <w:p w:rsidR="00624CCF" w:rsidRPr="00875A32" w:rsidP="00624CCF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/>
          <w:bCs/>
        </w:rPr>
      </w:pPr>
    </w:p>
    <w:p w:rsidR="00624CCF" w:rsidRPr="00875A32" w:rsidP="00624CCF">
      <w:pPr>
        <w:bidi w:val="0"/>
        <w:rPr>
          <w:rFonts w:ascii="Times New Roman" w:hAnsi="Times New Roman"/>
          <w:b/>
        </w:rPr>
      </w:pPr>
    </w:p>
    <w:p w:rsidR="00624CCF" w:rsidRPr="00875A32" w:rsidP="00624CCF">
      <w:pPr>
        <w:bidi w:val="0"/>
        <w:rPr>
          <w:rFonts w:ascii="Times New Roman" w:hAnsi="Times New Roman"/>
          <w:b/>
        </w:rPr>
      </w:pPr>
    </w:p>
    <w:p w:rsidR="00624CCF" w:rsidRPr="00875A32" w:rsidP="00624CCF">
      <w:pPr>
        <w:bidi w:val="0"/>
        <w:rPr>
          <w:rFonts w:ascii="Times New Roman" w:hAnsi="Times New Roman"/>
          <w:b/>
        </w:rPr>
      </w:pPr>
    </w:p>
    <w:p w:rsidR="00624CCF" w:rsidRPr="00875A32" w:rsidP="00624CCF">
      <w:pPr>
        <w:bidi w:val="0"/>
        <w:rPr>
          <w:rFonts w:ascii="Times New Roman" w:hAnsi="Times New Roman"/>
          <w:b/>
        </w:rPr>
      </w:pPr>
    </w:p>
    <w:p w:rsidR="00624CCF" w:rsidRPr="00875A32" w:rsidP="00624CCF">
      <w:pPr>
        <w:bidi w:val="0"/>
        <w:rPr>
          <w:rFonts w:ascii="Times New Roman" w:hAnsi="Times New Roman"/>
          <w:b/>
        </w:rPr>
      </w:pPr>
    </w:p>
    <w:p w:rsidR="00624CCF" w:rsidRPr="00875A32" w:rsidP="00624CCF">
      <w:pPr>
        <w:bidi w:val="0"/>
        <w:rPr>
          <w:rFonts w:ascii="Times New Roman" w:hAnsi="Times New Roman"/>
          <w:b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27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15D27" w:rsidP="00C57DB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27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41D8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215D27" w:rsidP="00C57DB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2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4CCF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2787"/>
    <w:rsid w:val="000457DA"/>
    <w:rsid w:val="00050CD7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233E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8773C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5D27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716EE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0EB5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342"/>
    <w:rsid w:val="00395954"/>
    <w:rsid w:val="00396925"/>
    <w:rsid w:val="00396E19"/>
    <w:rsid w:val="00397131"/>
    <w:rsid w:val="003A0138"/>
    <w:rsid w:val="003A05AA"/>
    <w:rsid w:val="003A061B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3F4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38E8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D27"/>
    <w:rsid w:val="005D6F85"/>
    <w:rsid w:val="005E20EA"/>
    <w:rsid w:val="005E3070"/>
    <w:rsid w:val="005E5741"/>
    <w:rsid w:val="005E6925"/>
    <w:rsid w:val="005E7189"/>
    <w:rsid w:val="005E7269"/>
    <w:rsid w:val="005F1A92"/>
    <w:rsid w:val="005F3DF8"/>
    <w:rsid w:val="005F664A"/>
    <w:rsid w:val="006031C2"/>
    <w:rsid w:val="00605C59"/>
    <w:rsid w:val="006220BB"/>
    <w:rsid w:val="006228E8"/>
    <w:rsid w:val="00623418"/>
    <w:rsid w:val="00624CCF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41D8D"/>
    <w:rsid w:val="0075242C"/>
    <w:rsid w:val="007524C4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65737"/>
    <w:rsid w:val="008706B1"/>
    <w:rsid w:val="00872071"/>
    <w:rsid w:val="00872B40"/>
    <w:rsid w:val="00875A32"/>
    <w:rsid w:val="00875AC7"/>
    <w:rsid w:val="00876747"/>
    <w:rsid w:val="00876DE0"/>
    <w:rsid w:val="00877812"/>
    <w:rsid w:val="008804B9"/>
    <w:rsid w:val="008827AC"/>
    <w:rsid w:val="008840C2"/>
    <w:rsid w:val="00885A00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1C5F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5CC5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5C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63CE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3D5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193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DBE"/>
    <w:rsid w:val="00C62E34"/>
    <w:rsid w:val="00C71476"/>
    <w:rsid w:val="00C72B0B"/>
    <w:rsid w:val="00C75C67"/>
    <w:rsid w:val="00C75DD0"/>
    <w:rsid w:val="00C77585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A78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540C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01C8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1B9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4CCF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24CC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624CCF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624CC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624CC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57DB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57D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2</Pages>
  <Words>247</Words>
  <Characters>1815</Characters>
  <Application>Microsoft Office Word</Application>
  <DocSecurity>0</DocSecurity>
  <Lines>0</Lines>
  <Paragraphs>0</Paragraphs>
  <ScaleCrop>false</ScaleCrop>
  <Company>UVSR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grosjarova</dc:creator>
  <cp:lastModifiedBy>pmatyasovszky</cp:lastModifiedBy>
  <cp:revision>14</cp:revision>
  <cp:lastPrinted>2013-02-06T13:59:00Z</cp:lastPrinted>
  <dcterms:created xsi:type="dcterms:W3CDTF">2013-02-04T15:55:00Z</dcterms:created>
  <dcterms:modified xsi:type="dcterms:W3CDTF">2013-02-14T13:08:00Z</dcterms:modified>
</cp:coreProperties>
</file>