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6F91" w:rsidRPr="005F079B" w:rsidP="00ED6F91">
      <w:pPr>
        <w:pStyle w:val="Title"/>
        <w:bidi w:val="0"/>
        <w:rPr>
          <w:rFonts w:ascii="Times New Roman" w:hAnsi="Times New Roman"/>
        </w:rPr>
      </w:pPr>
      <w:r w:rsidRPr="005F079B">
        <w:rPr>
          <w:rFonts w:ascii="Times New Roman" w:hAnsi="Times New Roman"/>
        </w:rPr>
        <w:t>DOLOŽKA ZLUČITEĽNOSTI</w:t>
      </w:r>
    </w:p>
    <w:p w:rsidR="00ED6F91" w:rsidRPr="005F079B" w:rsidP="00484FCE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Cs/>
        </w:rPr>
      </w:pPr>
      <w:r w:rsidRPr="005F079B" w:rsidR="00963388">
        <w:rPr>
          <w:rFonts w:ascii="Times New Roman" w:hAnsi="Times New Roman" w:cs="Times New Roman"/>
        </w:rPr>
        <w:t>n</w:t>
      </w:r>
      <w:r w:rsidRPr="005F079B" w:rsidR="00403FCA">
        <w:rPr>
          <w:rFonts w:ascii="Times New Roman" w:hAnsi="Times New Roman" w:cs="Times New Roman"/>
        </w:rPr>
        <w:t>ávrhu</w:t>
      </w:r>
      <w:r w:rsidRPr="005F079B" w:rsidR="00B64526">
        <w:rPr>
          <w:rFonts w:ascii="Times New Roman" w:hAnsi="Times New Roman" w:cs="Times New Roman"/>
        </w:rPr>
        <w:t xml:space="preserve"> </w:t>
      </w:r>
      <w:r w:rsidRPr="005F079B" w:rsidR="00CF50BD">
        <w:rPr>
          <w:rFonts w:ascii="Times New Roman" w:hAnsi="Times New Roman" w:cs="Times New Roman"/>
        </w:rPr>
        <w:t>zákona, ktorým  sa mení a dopĺňa zákon č.</w:t>
      </w:r>
      <w:r w:rsidRPr="005F079B" w:rsidR="00CF50BD">
        <w:rPr>
          <w:rFonts w:ascii="Symbol" w:eastAsia="Times New Roman" w:hAnsi="Symbol" w:cs="Times New Roman"/>
          <w:rtl w:val="0"/>
        </w:rPr>
        <w:sym w:font="Symbol" w:char="F020"/>
      </w:r>
      <w:r w:rsidRPr="005F079B" w:rsidR="00CF50BD">
        <w:rPr>
          <w:rFonts w:ascii="Times New Roman" w:hAnsi="Times New Roman" w:cs="Times New Roman"/>
        </w:rPr>
        <w:t>483/2001</w:t>
      </w:r>
      <w:r w:rsidRPr="005F079B" w:rsidR="00CF50BD">
        <w:rPr>
          <w:rFonts w:ascii="Symbol" w:eastAsia="Times New Roman" w:hAnsi="Symbol" w:cs="Times New Roman"/>
          <w:rtl w:val="0"/>
        </w:rPr>
        <w:sym w:font="Symbol" w:char="F020"/>
      </w:r>
      <w:r w:rsidRPr="005F079B" w:rsidR="00CF50BD">
        <w:rPr>
          <w:rFonts w:ascii="Times New Roman" w:hAnsi="Times New Roman" w:cs="Times New Roman"/>
        </w:rPr>
        <w:t>Z.</w:t>
      </w:r>
      <w:r w:rsidRPr="005F079B" w:rsidR="00CF50BD">
        <w:rPr>
          <w:rFonts w:ascii="Symbol" w:eastAsia="Times New Roman" w:hAnsi="Symbol" w:cs="Times New Roman"/>
          <w:rtl w:val="0"/>
        </w:rPr>
        <w:sym w:font="Symbol" w:char="F020"/>
      </w:r>
      <w:r w:rsidRPr="005F079B" w:rsidR="00CF50BD">
        <w:rPr>
          <w:rFonts w:ascii="Times New Roman" w:hAnsi="Times New Roman" w:cs="Times New Roman"/>
        </w:rPr>
        <w:t xml:space="preserve">z. o bankách a o zmene a doplnení niektorých zákonov v znení neskorších predpisov </w:t>
      </w:r>
      <w:r w:rsidRPr="005F079B" w:rsidR="007110DD">
        <w:rPr>
          <w:rFonts w:ascii="Times New Roman" w:hAnsi="Times New Roman" w:cs="Times New Roman"/>
        </w:rPr>
        <w:t xml:space="preserve">a ktorým sa menia a dopĺňajú niektoré zákony </w:t>
      </w:r>
      <w:r w:rsidRPr="005F079B">
        <w:rPr>
          <w:rFonts w:ascii="Times New Roman" w:hAnsi="Times New Roman" w:cs="Times New Roman"/>
          <w:bCs/>
        </w:rPr>
        <w:t>s právom Európskej únie</w:t>
      </w:r>
    </w:p>
    <w:p w:rsidR="00484FCE" w:rsidRPr="005F079B" w:rsidP="00484FCE">
      <w:pPr>
        <w:bidi w:val="0"/>
        <w:jc w:val="center"/>
        <w:rPr>
          <w:rFonts w:ascii="Times New Roman" w:hAnsi="Times New Roman" w:cs="Times New Roman"/>
          <w:bCs/>
        </w:rPr>
      </w:pPr>
    </w:p>
    <w:p w:rsidR="00ED6F91" w:rsidRPr="005F079B" w:rsidP="00ED6F91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D6F91" w:rsidRPr="005F079B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</w:rPr>
      </w:pPr>
      <w:r w:rsidRPr="005F079B">
        <w:rPr>
          <w:rFonts w:ascii="Times New Roman" w:hAnsi="Times New Roman" w:cs="Times New Roman"/>
          <w:b/>
          <w:bCs/>
        </w:rPr>
        <w:t xml:space="preserve">Predkladateľ </w:t>
      </w:r>
      <w:r w:rsidRPr="005F079B" w:rsidR="00963388">
        <w:rPr>
          <w:rFonts w:ascii="Times New Roman" w:hAnsi="Times New Roman" w:cs="Times New Roman"/>
          <w:b/>
          <w:bCs/>
        </w:rPr>
        <w:t>zákona</w:t>
      </w:r>
      <w:r w:rsidRPr="005F079B">
        <w:rPr>
          <w:rFonts w:ascii="Times New Roman" w:hAnsi="Times New Roman" w:cs="Times New Roman"/>
          <w:b/>
          <w:bCs/>
        </w:rPr>
        <w:t>:</w:t>
      </w:r>
    </w:p>
    <w:p w:rsidR="00ED6F91" w:rsidRPr="005F079B" w:rsidP="00ED6F91">
      <w:pPr>
        <w:bidi w:val="0"/>
        <w:ind w:firstLine="425"/>
        <w:jc w:val="both"/>
        <w:rPr>
          <w:rFonts w:ascii="Times New Roman" w:hAnsi="Times New Roman" w:cs="Times New Roman"/>
        </w:rPr>
      </w:pPr>
      <w:r w:rsidRPr="005F079B" w:rsidR="00230BB4">
        <w:rPr>
          <w:rFonts w:ascii="Times New Roman" w:hAnsi="Times New Roman" w:cs="Times New Roman"/>
        </w:rPr>
        <w:t>Vláda</w:t>
      </w:r>
      <w:r w:rsidRPr="005F079B" w:rsidR="006A71BF">
        <w:rPr>
          <w:rFonts w:ascii="Times New Roman" w:hAnsi="Times New Roman" w:cs="Times New Roman"/>
        </w:rPr>
        <w:t xml:space="preserve"> Slovenskej republiky</w:t>
      </w:r>
      <w:r w:rsidRPr="005F079B" w:rsidR="00BD1184">
        <w:rPr>
          <w:rFonts w:ascii="Times New Roman" w:hAnsi="Times New Roman" w:cs="Times New Roman"/>
        </w:rPr>
        <w:t>.</w:t>
      </w:r>
    </w:p>
    <w:p w:rsidR="00ED6F91" w:rsidRPr="005F079B" w:rsidP="00ED6F91">
      <w:pPr>
        <w:bidi w:val="0"/>
        <w:jc w:val="both"/>
        <w:rPr>
          <w:rFonts w:ascii="Times New Roman" w:hAnsi="Times New Roman" w:cs="Times New Roman"/>
          <w:bCs/>
        </w:rPr>
      </w:pPr>
    </w:p>
    <w:p w:rsidR="00ED6F91" w:rsidRPr="005F079B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5F079B">
        <w:rPr>
          <w:rFonts w:ascii="Times New Roman" w:hAnsi="Times New Roman" w:cs="Times New Roman"/>
          <w:b/>
          <w:bCs/>
        </w:rPr>
        <w:t xml:space="preserve">Názov návrhu </w:t>
      </w:r>
      <w:r w:rsidRPr="005F079B" w:rsidR="00963388">
        <w:rPr>
          <w:rFonts w:ascii="Times New Roman" w:hAnsi="Times New Roman" w:cs="Times New Roman"/>
          <w:b/>
          <w:bCs/>
        </w:rPr>
        <w:t>zákona</w:t>
      </w:r>
      <w:r w:rsidRPr="005F079B">
        <w:rPr>
          <w:rFonts w:ascii="Times New Roman" w:hAnsi="Times New Roman" w:cs="Times New Roman"/>
          <w:b/>
          <w:bCs/>
        </w:rPr>
        <w:t>:</w:t>
      </w:r>
    </w:p>
    <w:p w:rsidR="009F6AEA" w:rsidRPr="005F079B" w:rsidP="00ED6F91">
      <w:pPr>
        <w:bidi w:val="0"/>
        <w:ind w:left="425"/>
        <w:jc w:val="both"/>
        <w:rPr>
          <w:rFonts w:ascii="Times New Roman" w:hAnsi="Times New Roman" w:cs="Times New Roman"/>
        </w:rPr>
      </w:pPr>
      <w:r w:rsidRPr="005F079B" w:rsidR="00F84AD1">
        <w:rPr>
          <w:rFonts w:ascii="Times New Roman" w:hAnsi="Times New Roman" w:cs="Times New Roman"/>
        </w:rPr>
        <w:t xml:space="preserve">Návrh </w:t>
      </w:r>
      <w:r w:rsidRPr="005F079B">
        <w:rPr>
          <w:rFonts w:ascii="Times New Roman" w:hAnsi="Times New Roman" w:cs="Times New Roman"/>
        </w:rPr>
        <w:t>zákona, ktorým sa mení a dopĺňa zákon č.</w:t>
      </w:r>
      <w:r w:rsidRPr="005F079B">
        <w:rPr>
          <w:rFonts w:ascii="Symbol" w:eastAsia="Times New Roman" w:hAnsi="Symbol" w:cs="Times New Roman"/>
          <w:rtl w:val="0"/>
        </w:rPr>
        <w:sym w:font="Symbol" w:char="F020"/>
      </w:r>
      <w:r w:rsidRPr="005F079B" w:rsidR="00230BB4">
        <w:rPr>
          <w:rFonts w:ascii="Times New Roman" w:hAnsi="Times New Roman" w:cs="Times New Roman"/>
        </w:rPr>
        <w:t>4</w:t>
      </w:r>
      <w:r w:rsidRPr="005F079B">
        <w:rPr>
          <w:rFonts w:ascii="Times New Roman" w:hAnsi="Times New Roman" w:cs="Times New Roman"/>
        </w:rPr>
        <w:t>8</w:t>
      </w:r>
      <w:r w:rsidRPr="005F079B" w:rsidR="00230BB4">
        <w:rPr>
          <w:rFonts w:ascii="Times New Roman" w:hAnsi="Times New Roman" w:cs="Times New Roman"/>
        </w:rPr>
        <w:t>3</w:t>
      </w:r>
      <w:r w:rsidRPr="005F079B">
        <w:rPr>
          <w:rFonts w:ascii="Times New Roman" w:hAnsi="Times New Roman" w:cs="Times New Roman"/>
        </w:rPr>
        <w:t>/</w:t>
      </w:r>
      <w:r w:rsidRPr="005F079B" w:rsidR="00230BB4">
        <w:rPr>
          <w:rFonts w:ascii="Times New Roman" w:hAnsi="Times New Roman" w:cs="Times New Roman"/>
        </w:rPr>
        <w:t>2001</w:t>
      </w:r>
      <w:r w:rsidRPr="005F079B">
        <w:rPr>
          <w:rFonts w:ascii="Symbol" w:eastAsia="Times New Roman" w:hAnsi="Symbol" w:cs="Times New Roman"/>
          <w:rtl w:val="0"/>
        </w:rPr>
        <w:sym w:font="Symbol" w:char="F020"/>
      </w:r>
      <w:r w:rsidRPr="005F079B">
        <w:rPr>
          <w:rFonts w:ascii="Times New Roman" w:hAnsi="Times New Roman" w:cs="Times New Roman"/>
        </w:rPr>
        <w:t>Z.</w:t>
      </w:r>
      <w:r w:rsidRPr="005F079B">
        <w:rPr>
          <w:rFonts w:ascii="Symbol" w:eastAsia="Times New Roman" w:hAnsi="Symbol" w:cs="Times New Roman"/>
          <w:rtl w:val="0"/>
        </w:rPr>
        <w:sym w:font="Symbol" w:char="F020"/>
      </w:r>
      <w:r w:rsidRPr="005F079B">
        <w:rPr>
          <w:rFonts w:ascii="Times New Roman" w:hAnsi="Times New Roman" w:cs="Times New Roman"/>
        </w:rPr>
        <w:t xml:space="preserve">z. o </w:t>
      </w:r>
      <w:r w:rsidRPr="005F079B" w:rsidR="00230BB4">
        <w:rPr>
          <w:rFonts w:ascii="Times New Roman" w:hAnsi="Times New Roman" w:cs="Times New Roman"/>
        </w:rPr>
        <w:t>bankách</w:t>
      </w:r>
      <w:r w:rsidRPr="005F079B">
        <w:rPr>
          <w:rFonts w:ascii="Times New Roman" w:hAnsi="Times New Roman" w:cs="Times New Roman"/>
        </w:rPr>
        <w:t xml:space="preserve"> a o zmene a doplnení niektorých zákonov v znení neskorších predpisov</w:t>
      </w:r>
      <w:r w:rsidRPr="005F079B" w:rsidR="007110DD">
        <w:rPr>
          <w:rFonts w:ascii="Times New Roman" w:hAnsi="Times New Roman" w:cs="Times New Roman"/>
        </w:rPr>
        <w:t xml:space="preserve"> a ktorým sa menia a dopĺňajú niektoré zákony</w:t>
      </w:r>
      <w:r w:rsidRPr="005F079B" w:rsidR="00230BB4">
        <w:rPr>
          <w:rFonts w:ascii="Times New Roman" w:hAnsi="Times New Roman" w:cs="Times New Roman"/>
        </w:rPr>
        <w:t>.</w:t>
      </w:r>
    </w:p>
    <w:p w:rsidR="009F6AEA" w:rsidRPr="005F079B" w:rsidP="00ED6F91">
      <w:pPr>
        <w:bidi w:val="0"/>
        <w:ind w:left="425"/>
        <w:jc w:val="both"/>
        <w:rPr>
          <w:rFonts w:ascii="Times New Roman" w:hAnsi="Times New Roman" w:cs="Times New Roman"/>
        </w:rPr>
      </w:pPr>
    </w:p>
    <w:p w:rsidR="00ED6F91" w:rsidRPr="005F079B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5F079B">
        <w:rPr>
          <w:rFonts w:ascii="Times New Roman" w:hAnsi="Times New Roman" w:cs="Times New Roman"/>
          <w:b/>
          <w:bCs/>
        </w:rPr>
        <w:t xml:space="preserve">Problematika návrhu </w:t>
      </w:r>
      <w:r w:rsidRPr="005F079B" w:rsidR="009F6AEA">
        <w:rPr>
          <w:rFonts w:ascii="Times New Roman" w:hAnsi="Times New Roman" w:cs="Times New Roman"/>
          <w:b/>
          <w:bCs/>
        </w:rPr>
        <w:t>zákona</w:t>
      </w:r>
      <w:r w:rsidRPr="005F079B">
        <w:rPr>
          <w:rFonts w:ascii="Times New Roman" w:hAnsi="Times New Roman" w:cs="Times New Roman"/>
          <w:b/>
          <w:bCs/>
        </w:rPr>
        <w:t xml:space="preserve">: </w:t>
      </w:r>
    </w:p>
    <w:p w:rsidR="00ED6F91" w:rsidRPr="005F079B" w:rsidP="00DA21A6">
      <w:pPr>
        <w:pStyle w:val="BodyText"/>
        <w:numPr>
          <w:ilvl w:val="1"/>
          <w:numId w:val="1"/>
        </w:numPr>
        <w:bidi w:val="0"/>
        <w:spacing w:after="240"/>
        <w:rPr>
          <w:rFonts w:ascii="Times New Roman" w:hAnsi="Times New Roman"/>
        </w:rPr>
      </w:pPr>
      <w:r w:rsidRPr="005F079B">
        <w:rPr>
          <w:rFonts w:ascii="Times New Roman" w:hAnsi="Times New Roman"/>
        </w:rPr>
        <w:t>je upravená v práve Európsk</w:t>
      </w:r>
      <w:r w:rsidRPr="005F079B" w:rsidR="00AE4E5E">
        <w:rPr>
          <w:rFonts w:ascii="Times New Roman" w:hAnsi="Times New Roman"/>
        </w:rPr>
        <w:t>ej únie</w:t>
      </w:r>
      <w:r w:rsidRPr="005F079B">
        <w:rPr>
          <w:rFonts w:ascii="Times New Roman" w:hAnsi="Times New Roman"/>
        </w:rPr>
        <w:t>:</w:t>
      </w:r>
    </w:p>
    <w:p w:rsidR="000D4666" w:rsidRPr="005F079B" w:rsidP="000D4666">
      <w:pPr>
        <w:pStyle w:val="BodyTextIndent"/>
        <w:bidi w:val="0"/>
        <w:spacing w:before="60" w:after="60" w:line="276" w:lineRule="auto"/>
        <w:ind w:firstLine="0"/>
        <w:rPr>
          <w:rFonts w:ascii="Times New Roman" w:hAnsi="Times New Roman"/>
          <w:b/>
          <w:bCs/>
          <w:i/>
          <w:iCs/>
        </w:rPr>
      </w:pPr>
      <w:r w:rsidRPr="005F079B">
        <w:rPr>
          <w:rFonts w:ascii="Times New Roman" w:hAnsi="Times New Roman"/>
          <w:b/>
          <w:bCs/>
          <w:i/>
          <w:iCs/>
        </w:rPr>
        <w:t xml:space="preserve">        Primárne právo:</w:t>
      </w:r>
    </w:p>
    <w:p w:rsidR="00230BB4" w:rsidRPr="005F079B" w:rsidP="00DA21A6">
      <w:pPr>
        <w:pStyle w:val="BodyTextIndent"/>
        <w:numPr>
          <w:numId w:val="2"/>
        </w:numPr>
        <w:autoSpaceDE w:val="0"/>
        <w:autoSpaceDN w:val="0"/>
        <w:bidi w:val="0"/>
        <w:adjustRightInd w:val="0"/>
        <w:spacing w:after="240"/>
        <w:ind w:left="896" w:hanging="470"/>
        <w:rPr>
          <w:rFonts w:ascii="Times New Roman" w:hAnsi="Times New Roman"/>
          <w:i/>
        </w:rPr>
      </w:pPr>
      <w:r w:rsidRPr="005F079B" w:rsidR="00D9086B">
        <w:rPr>
          <w:rFonts w:ascii="Times New Roman" w:hAnsi="Times New Roman"/>
        </w:rPr>
        <w:t>čl. 3 ods. 1 písm. b)</w:t>
      </w:r>
      <w:r w:rsidRPr="005F079B">
        <w:rPr>
          <w:rFonts w:ascii="Times New Roman" w:hAnsi="Times New Roman"/>
        </w:rPr>
        <w:t xml:space="preserve">, čl. 4, čl. </w:t>
      </w:r>
      <w:r w:rsidRPr="005F079B" w:rsidR="00FE074C">
        <w:rPr>
          <w:rFonts w:ascii="Times New Roman" w:hAnsi="Times New Roman"/>
        </w:rPr>
        <w:t>26</w:t>
      </w:r>
      <w:r w:rsidRPr="005F079B">
        <w:rPr>
          <w:rFonts w:ascii="Times New Roman" w:hAnsi="Times New Roman"/>
        </w:rPr>
        <w:t xml:space="preserve"> ods. 2, čl. </w:t>
      </w:r>
      <w:r w:rsidRPr="005F079B" w:rsidR="00FE074C">
        <w:rPr>
          <w:rFonts w:ascii="Times New Roman" w:hAnsi="Times New Roman"/>
        </w:rPr>
        <w:t>56</w:t>
      </w:r>
      <w:r w:rsidRPr="005F079B">
        <w:rPr>
          <w:rFonts w:ascii="Times New Roman" w:hAnsi="Times New Roman"/>
        </w:rPr>
        <w:t xml:space="preserve"> až 6</w:t>
      </w:r>
      <w:r w:rsidRPr="005F079B" w:rsidR="00FE074C">
        <w:rPr>
          <w:rFonts w:ascii="Times New Roman" w:hAnsi="Times New Roman"/>
        </w:rPr>
        <w:t>6</w:t>
      </w:r>
      <w:r w:rsidRPr="005F079B">
        <w:rPr>
          <w:rFonts w:ascii="Times New Roman" w:hAnsi="Times New Roman"/>
        </w:rPr>
        <w:t xml:space="preserve"> </w:t>
      </w:r>
      <w:r w:rsidRPr="005F079B" w:rsidR="00D9086B">
        <w:rPr>
          <w:rFonts w:ascii="Times New Roman" w:hAnsi="Times New Roman"/>
        </w:rPr>
        <w:t>Zmluvy o fungovaní Európskej únie</w:t>
      </w:r>
      <w:r w:rsidRPr="005F079B" w:rsidR="003B497E">
        <w:rPr>
          <w:rFonts w:ascii="Times New Roman" w:hAnsi="Times New Roman"/>
        </w:rPr>
        <w:t>.</w:t>
      </w:r>
    </w:p>
    <w:p w:rsidR="007228E1" w:rsidRPr="005F079B" w:rsidP="00DA21A6">
      <w:pPr>
        <w:pStyle w:val="BodyTextIndent"/>
        <w:tabs>
          <w:tab w:val="left" w:pos="426"/>
        </w:tabs>
        <w:bidi w:val="0"/>
        <w:spacing w:after="240" w:line="276" w:lineRule="auto"/>
        <w:ind w:left="425" w:firstLine="0"/>
        <w:rPr>
          <w:rFonts w:ascii="Times New Roman" w:hAnsi="Times New Roman"/>
        </w:rPr>
      </w:pPr>
      <w:r w:rsidRPr="005F079B">
        <w:rPr>
          <w:rFonts w:ascii="Times New Roman" w:hAnsi="Times New Roman"/>
          <w:b/>
          <w:bCs/>
          <w:i/>
          <w:iCs/>
        </w:rPr>
        <w:t xml:space="preserve">Sekundárne právo </w:t>
      </w:r>
      <w:r w:rsidRPr="005F079B">
        <w:rPr>
          <w:rFonts w:ascii="Times New Roman" w:hAnsi="Times New Roman"/>
        </w:rPr>
        <w:t xml:space="preserve">(prijaté po nadobudnutí platnosti </w:t>
      </w:r>
      <w:r w:rsidRPr="005F079B" w:rsidR="009F355C">
        <w:rPr>
          <w:rFonts w:ascii="Times New Roman" w:hAnsi="Times New Roman"/>
        </w:rPr>
        <w:t xml:space="preserve">Lisabonskej zmluvy, ktorou sa mení a dopĺňa Zmluva o Európskej únii a Zmluva o založení Európskeho spoločenstva </w:t>
      </w:r>
      <w:r w:rsidRPr="005F079B">
        <w:rPr>
          <w:rFonts w:ascii="Times New Roman" w:hAnsi="Times New Roman"/>
        </w:rPr>
        <w:t>- po 30. novembri 2009):</w:t>
      </w:r>
    </w:p>
    <w:p w:rsidR="007228E1" w:rsidRPr="005F079B" w:rsidP="007228E1">
      <w:pPr>
        <w:numPr>
          <w:numId w:val="5"/>
        </w:numPr>
        <w:tabs>
          <w:tab w:val="left" w:pos="993"/>
        </w:tabs>
        <w:autoSpaceDE w:val="0"/>
        <w:autoSpaceDN w:val="0"/>
        <w:bidi w:val="0"/>
        <w:adjustRightInd w:val="0"/>
        <w:spacing w:before="120" w:after="120"/>
        <w:ind w:hanging="153"/>
        <w:jc w:val="both"/>
        <w:rPr>
          <w:rFonts w:ascii="Times New Roman" w:hAnsi="Times New Roman" w:cs="Times New Roman"/>
          <w:bCs/>
          <w:iCs/>
          <w:u w:val="single"/>
        </w:rPr>
      </w:pPr>
      <w:r w:rsidRPr="005F079B">
        <w:rPr>
          <w:rFonts w:ascii="Times New Roman" w:hAnsi="Times New Roman" w:cs="Times New Roman"/>
          <w:bCs/>
          <w:iCs/>
          <w:u w:val="single"/>
        </w:rPr>
        <w:t>legislatívne akty:</w:t>
      </w:r>
    </w:p>
    <w:p w:rsidR="007228E1" w:rsidRPr="005F079B" w:rsidP="007228E1">
      <w:pPr>
        <w:pStyle w:val="ListParagraph"/>
        <w:widowControl/>
        <w:numPr>
          <w:numId w:val="7"/>
        </w:numPr>
        <w:bidi w:val="0"/>
        <w:adjustRightInd/>
        <w:spacing w:after="120"/>
        <w:ind w:left="709" w:hanging="283"/>
        <w:jc w:val="both"/>
        <w:rPr>
          <w:rFonts w:ascii="Times New Roman" w:hAnsi="Times New Roman"/>
        </w:rPr>
      </w:pPr>
      <w:r w:rsidRPr="005F079B">
        <w:rPr>
          <w:rFonts w:ascii="Times New Roman" w:hAnsi="Times New Roman"/>
          <w:bCs/>
        </w:rPr>
        <w:t xml:space="preserve">smernica Európskeho parlamentu a Rady </w:t>
      </w:r>
      <w:r w:rsidRPr="005F079B">
        <w:rPr>
          <w:rFonts w:ascii="Times New Roman" w:hAnsi="Times New Roman"/>
          <w:bCs/>
          <w:u w:val="single"/>
        </w:rPr>
        <w:t>2011/89/EÚ</w:t>
      </w:r>
      <w:r w:rsidRPr="005F079B">
        <w:rPr>
          <w:rFonts w:ascii="Times New Roman" w:hAnsi="Times New Roman"/>
          <w:bCs/>
        </w:rPr>
        <w:t xml:space="preserve"> </w:t>
      </w:r>
      <w:r w:rsidRPr="005F079B">
        <w:rPr>
          <w:rFonts w:ascii="Times New Roman" w:hAnsi="Times New Roman"/>
        </w:rPr>
        <w:t xml:space="preserve">zo 16. novembra 2011, ktorou sa menia a dopĺňajú smernice 98/78/ES, 2002/87/ES, 2006/48/ES a 2009/138/ES, pokiaľ ide o doplnkový dohľad nad finančnými inštitúciami vo finančnom konglomeráte </w:t>
      </w:r>
      <w:r w:rsidRPr="005F079B">
        <w:rPr>
          <w:rFonts w:ascii="Times New Roman" w:hAnsi="Times New Roman"/>
          <w:bCs/>
        </w:rPr>
        <w:t>(</w:t>
      </w:r>
      <w:r w:rsidRPr="005F079B">
        <w:rPr>
          <w:rFonts w:ascii="Times New Roman" w:hAnsi="Times New Roman"/>
          <w:iCs/>
        </w:rPr>
        <w:t>Ú. v. EÚ L 32</w:t>
      </w:r>
      <w:r w:rsidRPr="005F079B" w:rsidR="007110DD">
        <w:rPr>
          <w:rFonts w:ascii="Times New Roman" w:hAnsi="Times New Roman"/>
          <w:iCs/>
        </w:rPr>
        <w:t>6, 8</w:t>
      </w:r>
      <w:r w:rsidRPr="005F079B">
        <w:rPr>
          <w:rFonts w:ascii="Times New Roman" w:hAnsi="Times New Roman"/>
          <w:iCs/>
        </w:rPr>
        <w:t>.12.201</w:t>
      </w:r>
      <w:r w:rsidRPr="005F079B" w:rsidR="007110DD">
        <w:rPr>
          <w:rFonts w:ascii="Times New Roman" w:hAnsi="Times New Roman"/>
          <w:iCs/>
        </w:rPr>
        <w:t>1</w:t>
      </w:r>
      <w:r w:rsidRPr="005F079B">
        <w:rPr>
          <w:rFonts w:ascii="Times New Roman" w:hAnsi="Times New Roman"/>
          <w:iCs/>
        </w:rPr>
        <w:t>),</w:t>
      </w:r>
    </w:p>
    <w:p w:rsidR="007228E1" w:rsidRPr="005F079B" w:rsidP="007228E1">
      <w:pPr>
        <w:tabs>
          <w:tab w:val="left" w:pos="709"/>
        </w:tabs>
        <w:autoSpaceDE w:val="0"/>
        <w:autoSpaceDN w:val="0"/>
        <w:bidi w:val="0"/>
        <w:spacing w:after="240"/>
        <w:ind w:left="709" w:hanging="283"/>
        <w:jc w:val="both"/>
        <w:rPr>
          <w:rFonts w:ascii="Times New Roman" w:hAnsi="Times New Roman" w:cs="Times New Roman"/>
          <w:iCs/>
        </w:rPr>
      </w:pPr>
      <w:r w:rsidRPr="005F079B">
        <w:rPr>
          <w:rFonts w:ascii="Times New Roman" w:hAnsi="Times New Roman" w:cs="Times New Roman"/>
          <w:bCs/>
          <w:iCs/>
        </w:rPr>
        <w:t xml:space="preserve">- </w:t>
        <w:tab/>
        <w:t xml:space="preserve">nariadenie </w:t>
      </w:r>
      <w:r w:rsidRPr="005F079B">
        <w:rPr>
          <w:rFonts w:ascii="Times New Roman" w:hAnsi="Times New Roman" w:cs="Times New Roman"/>
        </w:rPr>
        <w:t xml:space="preserve">Európskeho parlamentu a Rady (EÚ) č. </w:t>
      </w:r>
      <w:r w:rsidRPr="005F079B">
        <w:rPr>
          <w:rFonts w:ascii="Times New Roman" w:hAnsi="Times New Roman" w:cs="Times New Roman"/>
          <w:u w:val="single"/>
        </w:rPr>
        <w:t>1092/2010</w:t>
      </w:r>
      <w:r w:rsidRPr="005F079B">
        <w:rPr>
          <w:rFonts w:ascii="Times New Roman" w:hAnsi="Times New Roman" w:cs="Times New Roman"/>
        </w:rPr>
        <w:t xml:space="preserve"> z  24. novembra 2010 o makroprudenciálnom dohľade Európskej únie nad finančným systémom a o zriadení Európskeho výboru pre systémové riziká (</w:t>
      </w:r>
      <w:r w:rsidRPr="005F079B">
        <w:rPr>
          <w:rFonts w:ascii="Times New Roman" w:hAnsi="Times New Roman" w:cs="Times New Roman"/>
          <w:i/>
          <w:iCs/>
        </w:rPr>
        <w:t> </w:t>
      </w:r>
      <w:r w:rsidRPr="005F079B">
        <w:rPr>
          <w:rFonts w:ascii="Times New Roman" w:hAnsi="Times New Roman" w:cs="Times New Roman"/>
          <w:iCs/>
        </w:rPr>
        <w:t>Ú. v. EÚ L 331, 15.12.2010),</w:t>
      </w:r>
    </w:p>
    <w:p w:rsidR="007228E1" w:rsidRPr="005F079B" w:rsidP="007228E1">
      <w:pPr>
        <w:autoSpaceDE w:val="0"/>
        <w:autoSpaceDN w:val="0"/>
        <w:bidi w:val="0"/>
        <w:spacing w:after="120"/>
        <w:ind w:left="709" w:hanging="283"/>
        <w:jc w:val="both"/>
        <w:rPr>
          <w:rFonts w:ascii="Times New Roman" w:hAnsi="Times New Roman" w:cs="Times New Roman"/>
          <w:iCs/>
        </w:rPr>
      </w:pPr>
      <w:r w:rsidRPr="005F079B">
        <w:rPr>
          <w:rFonts w:ascii="Times New Roman" w:hAnsi="Times New Roman" w:cs="Times New Roman"/>
          <w:iCs/>
        </w:rPr>
        <w:t xml:space="preserve">- </w:t>
        <w:tab/>
        <w:t xml:space="preserve">nariadenie </w:t>
      </w:r>
      <w:r w:rsidRPr="005F079B">
        <w:rPr>
          <w:rFonts w:ascii="Times New Roman" w:hAnsi="Times New Roman" w:cs="Times New Roman"/>
        </w:rPr>
        <w:t xml:space="preserve">Európskeho parlamentu a Rady (EÚ) č. </w:t>
      </w:r>
      <w:r w:rsidRPr="005F079B">
        <w:rPr>
          <w:rFonts w:ascii="Times New Roman" w:hAnsi="Times New Roman" w:cs="Times New Roman"/>
          <w:u w:val="single"/>
        </w:rPr>
        <w:t>1093/2010</w:t>
      </w:r>
      <w:r w:rsidRPr="005F079B">
        <w:rPr>
          <w:rFonts w:ascii="Times New Roman" w:hAnsi="Times New Roman" w:cs="Times New Roman"/>
        </w:rPr>
        <w:t xml:space="preserve"> z  24. novembra 2010, ktorým sa zriaďuje Európsky orgán dohľadu (Európsky orgán pre bankovníctvo) a ktorým sa mení a dopĺňa rozhodnutie č. 716/2009/ES a zrušuje rozhodnutie Komisie 2009/78/ES (</w:t>
      </w:r>
      <w:r w:rsidRPr="005F079B">
        <w:rPr>
          <w:rFonts w:ascii="Times New Roman" w:hAnsi="Times New Roman" w:cs="Times New Roman"/>
          <w:iCs/>
        </w:rPr>
        <w:t>Ú. v. EÚ L 331, 15.12.2010),</w:t>
      </w:r>
    </w:p>
    <w:p w:rsidR="007228E1" w:rsidRPr="005F079B" w:rsidP="007228E1">
      <w:pPr>
        <w:autoSpaceDE w:val="0"/>
        <w:autoSpaceDN w:val="0"/>
        <w:bidi w:val="0"/>
        <w:spacing w:after="120"/>
        <w:ind w:left="709" w:hanging="283"/>
        <w:jc w:val="both"/>
        <w:rPr>
          <w:rFonts w:ascii="Times New Roman" w:hAnsi="Times New Roman" w:cs="Times New Roman"/>
          <w:iCs/>
        </w:rPr>
      </w:pPr>
      <w:r w:rsidRPr="005F079B">
        <w:rPr>
          <w:rFonts w:ascii="Times New Roman" w:hAnsi="Times New Roman" w:cs="Times New Roman"/>
          <w:iCs/>
        </w:rPr>
        <w:t xml:space="preserve">- </w:t>
        <w:tab/>
        <w:t xml:space="preserve">nariadenie </w:t>
      </w:r>
      <w:r w:rsidRPr="005F079B">
        <w:rPr>
          <w:rFonts w:ascii="Times New Roman" w:hAnsi="Times New Roman" w:cs="Times New Roman"/>
        </w:rPr>
        <w:t xml:space="preserve">Európskeho parlamentu a Rady (EÚ) č. </w:t>
      </w:r>
      <w:r w:rsidRPr="005F079B">
        <w:rPr>
          <w:rFonts w:ascii="Times New Roman" w:hAnsi="Times New Roman" w:cs="Times New Roman"/>
          <w:u w:val="single"/>
        </w:rPr>
        <w:t>1094/2010</w:t>
      </w:r>
      <w:r w:rsidRPr="005F079B">
        <w:rPr>
          <w:rFonts w:ascii="Times New Roman" w:hAnsi="Times New Roman" w:cs="Times New Roman"/>
        </w:rPr>
        <w:t xml:space="preserve"> z  24. novembra 2010, ktorým sa zriaďuje Európsky orgán dohľadu (Európsky orgán pre poisťovníctvo a dôchodkové poistenie zamestnancov), a ktorým sa mení a dopĺňa rozhodnutie č. 716/2009/ES a zrušuje rozhodnutie Komisie 2009/79/ES (</w:t>
      </w:r>
      <w:r w:rsidRPr="005F079B">
        <w:rPr>
          <w:rFonts w:ascii="Times New Roman" w:hAnsi="Times New Roman" w:cs="Times New Roman"/>
          <w:iCs/>
        </w:rPr>
        <w:t>Ú. v. EÚ L 331, 15.12.2010),</w:t>
      </w:r>
    </w:p>
    <w:p w:rsidR="00B41BBD" w:rsidRPr="005F079B" w:rsidP="00B41BBD">
      <w:pPr>
        <w:autoSpaceDE w:val="0"/>
        <w:autoSpaceDN w:val="0"/>
        <w:bidi w:val="0"/>
        <w:spacing w:after="120"/>
        <w:ind w:left="709" w:hanging="284"/>
        <w:jc w:val="both"/>
        <w:rPr>
          <w:rFonts w:ascii="Times New Roman" w:hAnsi="Times New Roman" w:cs="Times New Roman"/>
          <w:iCs/>
        </w:rPr>
      </w:pPr>
      <w:r w:rsidRPr="005F079B" w:rsidR="007228E1">
        <w:rPr>
          <w:rFonts w:ascii="Times New Roman" w:hAnsi="Times New Roman" w:cs="Times New Roman"/>
          <w:iCs/>
        </w:rPr>
        <w:t xml:space="preserve">- </w:t>
        <w:tab/>
        <w:t xml:space="preserve">nariadenie </w:t>
      </w:r>
      <w:r w:rsidRPr="005F079B" w:rsidR="007228E1">
        <w:rPr>
          <w:rFonts w:ascii="Times New Roman" w:hAnsi="Times New Roman" w:cs="Times New Roman"/>
          <w:bCs/>
        </w:rPr>
        <w:t xml:space="preserve">Európskeho parlamentu a Rady (EÚ) č. </w:t>
      </w:r>
      <w:r w:rsidRPr="005F079B" w:rsidR="007228E1">
        <w:rPr>
          <w:rFonts w:ascii="Times New Roman" w:hAnsi="Times New Roman" w:cs="Times New Roman"/>
          <w:bCs/>
          <w:u w:val="single"/>
        </w:rPr>
        <w:t>1095/2010</w:t>
      </w:r>
      <w:r w:rsidRPr="005F079B" w:rsidR="007228E1">
        <w:rPr>
          <w:rFonts w:ascii="Times New Roman" w:hAnsi="Times New Roman" w:cs="Times New Roman"/>
          <w:bCs/>
        </w:rPr>
        <w:t xml:space="preserve"> z  24. novembra 2010, ktorým sa zriaďuje Európsky orgán dohľadu (Európsky orgán pre cenné papiere a trhy) a ktorým sa mení a dopĺňa rozhodnutie č. 716/2009/ES a zrušuje rozhodnutie Komisie 2009/77/ES (</w:t>
      </w:r>
      <w:r w:rsidRPr="005F079B" w:rsidR="007228E1">
        <w:rPr>
          <w:rFonts w:ascii="Times New Roman" w:hAnsi="Times New Roman" w:cs="Times New Roman"/>
          <w:iCs/>
        </w:rPr>
        <w:t>Ú. v. EÚ L 331, 15.12.2010)</w:t>
      </w:r>
      <w:r w:rsidRPr="005F079B" w:rsidR="00EE75C6">
        <w:rPr>
          <w:rFonts w:ascii="Times New Roman" w:hAnsi="Times New Roman" w:cs="Times New Roman"/>
          <w:iCs/>
        </w:rPr>
        <w:t>,</w:t>
      </w:r>
    </w:p>
    <w:p w:rsidR="00B41BBD" w:rsidRPr="005F079B" w:rsidP="00B41BBD">
      <w:pPr>
        <w:autoSpaceDE w:val="0"/>
        <w:autoSpaceDN w:val="0"/>
        <w:bidi w:val="0"/>
        <w:spacing w:before="120" w:after="120"/>
        <w:ind w:left="709" w:hanging="284"/>
        <w:jc w:val="both"/>
        <w:rPr>
          <w:rFonts w:ascii="Times New Roman" w:hAnsi="Times New Roman" w:cs="Times New Roman"/>
          <w:iCs/>
        </w:rPr>
      </w:pPr>
      <w:r w:rsidRPr="005F079B">
        <w:rPr>
          <w:rFonts w:ascii="Times New Roman" w:hAnsi="Times New Roman" w:cs="Times New Roman"/>
          <w:iCs/>
        </w:rPr>
        <w:t xml:space="preserve">- </w:t>
        <w:tab/>
        <w:t xml:space="preserve">nariadenie Európskeho parlamentu a Rady (EÚ) č. </w:t>
      </w:r>
      <w:r w:rsidRPr="005F079B">
        <w:rPr>
          <w:rFonts w:ascii="Times New Roman" w:hAnsi="Times New Roman" w:cs="Times New Roman"/>
          <w:iCs/>
          <w:u w:val="single"/>
        </w:rPr>
        <w:t>236/2012</w:t>
      </w:r>
      <w:r w:rsidRPr="005F079B">
        <w:rPr>
          <w:rFonts w:ascii="Times New Roman" w:hAnsi="Times New Roman" w:cs="Times New Roman"/>
          <w:iCs/>
        </w:rPr>
        <w:t xml:space="preserve"> zo 14. marca 2012 o predaji nakrátko a určitých aspektoch swapov na úverové zlyhanie (</w:t>
      </w:r>
      <w:r w:rsidRPr="005F079B" w:rsidR="0064736C">
        <w:rPr>
          <w:rFonts w:ascii="Times New Roman" w:hAnsi="Times New Roman" w:cs="Times New Roman"/>
          <w:iCs/>
        </w:rPr>
        <w:t>Ú. v. EÚ L 86, 24.3.2012</w:t>
      </w:r>
      <w:r w:rsidRPr="005F079B">
        <w:rPr>
          <w:rFonts w:ascii="Times New Roman" w:hAnsi="Times New Roman" w:cs="Times New Roman"/>
          <w:iCs/>
        </w:rPr>
        <w:t>),</w:t>
      </w:r>
    </w:p>
    <w:p w:rsidR="00EE75C6" w:rsidRPr="005F079B" w:rsidP="00DA21A6">
      <w:pPr>
        <w:autoSpaceDE w:val="0"/>
        <w:autoSpaceDN w:val="0"/>
        <w:bidi w:val="0"/>
        <w:spacing w:after="360"/>
        <w:ind w:left="709" w:hanging="284"/>
        <w:jc w:val="both"/>
        <w:rPr>
          <w:rFonts w:ascii="Times New Roman" w:hAnsi="Times New Roman" w:cs="Times New Roman"/>
          <w:iCs/>
        </w:rPr>
      </w:pPr>
      <w:r w:rsidRPr="005F079B">
        <w:rPr>
          <w:rFonts w:ascii="Times New Roman" w:hAnsi="Times New Roman" w:cs="Times New Roman"/>
          <w:iCs/>
        </w:rPr>
        <w:t xml:space="preserve">- </w:t>
        <w:tab/>
        <w:t xml:space="preserve">nariadenie </w:t>
      </w:r>
      <w:r w:rsidRPr="005F079B">
        <w:rPr>
          <w:rFonts w:ascii="Times New Roman" w:hAnsi="Times New Roman" w:cs="Times New Roman"/>
          <w:bCs/>
          <w:iCs/>
        </w:rPr>
        <w:t xml:space="preserve">Európskeho parlamentu a Rady (EÚ) č. </w:t>
      </w:r>
      <w:r w:rsidRPr="005F079B">
        <w:rPr>
          <w:rFonts w:ascii="Times New Roman" w:hAnsi="Times New Roman" w:cs="Times New Roman"/>
          <w:bCs/>
          <w:iCs/>
          <w:u w:val="single"/>
        </w:rPr>
        <w:t>648/2012</w:t>
      </w:r>
      <w:r w:rsidRPr="005F079B">
        <w:rPr>
          <w:rFonts w:ascii="Times New Roman" w:hAnsi="Times New Roman" w:cs="Times New Roman"/>
          <w:bCs/>
          <w:iCs/>
        </w:rPr>
        <w:t xml:space="preserve"> zo 4. júla 2012 o mimoburzových derivátoch, centrálnych protistranách a archívoch obchodných údajov </w:t>
      </w:r>
      <w:r w:rsidRPr="005F079B" w:rsidR="00B41BBD">
        <w:rPr>
          <w:rFonts w:ascii="Times New Roman" w:hAnsi="Times New Roman" w:cs="Times New Roman"/>
          <w:bCs/>
          <w:iCs/>
        </w:rPr>
        <w:t>(</w:t>
      </w:r>
      <w:r w:rsidRPr="005F079B">
        <w:rPr>
          <w:rFonts w:ascii="Times New Roman" w:hAnsi="Times New Roman" w:cs="Times New Roman"/>
          <w:bCs/>
          <w:iCs/>
        </w:rPr>
        <w:t>Ú. v. EÚ L 201, 27.7.2012</w:t>
      </w:r>
      <w:r w:rsidRPr="005F079B" w:rsidR="00B41BBD">
        <w:rPr>
          <w:rFonts w:ascii="Times New Roman" w:hAnsi="Times New Roman" w:cs="Times New Roman"/>
          <w:bCs/>
          <w:iCs/>
        </w:rPr>
        <w:t>).</w:t>
      </w:r>
    </w:p>
    <w:p w:rsidR="000D4666" w:rsidRPr="005F079B" w:rsidP="003B497E">
      <w:pPr>
        <w:autoSpaceDE w:val="0"/>
        <w:autoSpaceDN w:val="0"/>
        <w:bidi w:val="0"/>
        <w:spacing w:before="120" w:after="60" w:line="276" w:lineRule="auto"/>
        <w:ind w:left="425"/>
        <w:jc w:val="both"/>
        <w:rPr>
          <w:rFonts w:ascii="Times New Roman" w:hAnsi="Times New Roman" w:cs="Times New Roman"/>
          <w:bCs/>
          <w:iCs/>
        </w:rPr>
      </w:pPr>
      <w:r w:rsidRPr="005F079B">
        <w:rPr>
          <w:rFonts w:ascii="Times New Roman" w:hAnsi="Times New Roman" w:cs="Times New Roman"/>
          <w:b/>
          <w:bCs/>
          <w:i/>
          <w:iCs/>
        </w:rPr>
        <w:t xml:space="preserve">Sekundárne právo  </w:t>
      </w:r>
      <w:r w:rsidRPr="005F079B">
        <w:rPr>
          <w:rFonts w:ascii="Times New Roman" w:hAnsi="Times New Roman" w:cs="Times New Roman"/>
        </w:rPr>
        <w:t>(prijat</w:t>
      </w:r>
      <w:r w:rsidRPr="005F079B" w:rsidR="00580BAC">
        <w:rPr>
          <w:rFonts w:ascii="Times New Roman" w:hAnsi="Times New Roman" w:cs="Times New Roman"/>
        </w:rPr>
        <w:t>é</w:t>
      </w:r>
      <w:r w:rsidRPr="005F079B">
        <w:rPr>
          <w:rFonts w:ascii="Times New Roman" w:hAnsi="Times New Roman" w:cs="Times New Roman"/>
        </w:rPr>
        <w:t xml:space="preserve"> pred nadobudnutí</w:t>
      </w:r>
      <w:r w:rsidRPr="005F079B" w:rsidR="00580BAC">
        <w:rPr>
          <w:rFonts w:ascii="Times New Roman" w:hAnsi="Times New Roman" w:cs="Times New Roman"/>
        </w:rPr>
        <w:t>m</w:t>
      </w:r>
      <w:r w:rsidRPr="005F079B">
        <w:rPr>
          <w:rFonts w:ascii="Times New Roman" w:hAnsi="Times New Roman" w:cs="Times New Roman"/>
        </w:rPr>
        <w:t xml:space="preserve"> platnosti Lisabonskej zmluvy, </w:t>
      </w:r>
      <w:r w:rsidRPr="005F079B" w:rsidR="00606912">
        <w:rPr>
          <w:rFonts w:ascii="Times New Roman" w:hAnsi="Times New Roman" w:cs="Times New Roman"/>
        </w:rPr>
        <w:t>ktorou sa mení a dopĺňa Zmluva o Európskej únii a Zmluva o založení Európskeho spoločenstva</w:t>
      </w:r>
      <w:r w:rsidRPr="005F079B">
        <w:rPr>
          <w:rFonts w:ascii="Times New Roman" w:hAnsi="Times New Roman" w:cs="Times New Roman"/>
        </w:rPr>
        <w:t xml:space="preserve"> - do 30. novembra 2009)</w:t>
      </w:r>
      <w:r w:rsidRPr="005F079B">
        <w:rPr>
          <w:rFonts w:ascii="Times New Roman" w:hAnsi="Times New Roman" w:cs="Times New Roman"/>
          <w:bCs/>
          <w:iCs/>
        </w:rPr>
        <w:t>:</w:t>
      </w:r>
    </w:p>
    <w:p w:rsidR="003B497E" w:rsidRPr="005F079B" w:rsidP="003B497E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5F079B">
        <w:rPr>
          <w:rFonts w:ascii="Times New Roman" w:hAnsi="Times New Roman"/>
        </w:rPr>
        <w:t xml:space="preserve">smernica </w:t>
      </w:r>
      <w:r w:rsidRPr="005F079B">
        <w:rPr>
          <w:rFonts w:ascii="Times New Roman" w:hAnsi="Times New Roman"/>
          <w:bCs/>
        </w:rPr>
        <w:t xml:space="preserve">Európskeho parlamentu a Rady </w:t>
      </w:r>
      <w:r w:rsidRPr="005F079B">
        <w:rPr>
          <w:rFonts w:ascii="Times New Roman" w:hAnsi="Times New Roman"/>
          <w:bCs/>
          <w:u w:val="single"/>
        </w:rPr>
        <w:t>98/78/ES</w:t>
      </w:r>
      <w:r w:rsidRPr="005F079B">
        <w:rPr>
          <w:rFonts w:ascii="Times New Roman" w:hAnsi="Times New Roman"/>
          <w:bCs/>
        </w:rPr>
        <w:t xml:space="preserve"> z 27. októbra 1998 o doplnkovom dohľade nad poisťovňami v skupine poisťovní (Mimoriadne vydanie Ú. v. EÚ kap. 6/zv. 3) v platnom znení,</w:t>
      </w:r>
    </w:p>
    <w:p w:rsidR="00B81F9D" w:rsidRPr="005F079B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5F079B" w:rsidR="00352A0D">
        <w:rPr>
          <w:rFonts w:ascii="Times New Roman" w:hAnsi="Times New Roman"/>
          <w:bCs/>
        </w:rPr>
        <w:t>s</w:t>
      </w:r>
      <w:r w:rsidRPr="005F079B">
        <w:rPr>
          <w:rFonts w:ascii="Times New Roman" w:hAnsi="Times New Roman"/>
          <w:bCs/>
        </w:rPr>
        <w:t xml:space="preserve">mernica </w:t>
      </w:r>
      <w:r w:rsidRPr="005F079B" w:rsidR="00FB0CD7">
        <w:rPr>
          <w:rFonts w:ascii="Times New Roman" w:hAnsi="Times New Roman"/>
          <w:bCs/>
        </w:rPr>
        <w:t xml:space="preserve">Európskeho parlamentu a Rady </w:t>
      </w:r>
      <w:r w:rsidRPr="005F079B">
        <w:rPr>
          <w:rFonts w:ascii="Times New Roman" w:hAnsi="Times New Roman"/>
          <w:bCs/>
          <w:u w:val="single"/>
        </w:rPr>
        <w:t>2001/24/ES</w:t>
      </w:r>
      <w:r w:rsidRPr="005F079B">
        <w:rPr>
          <w:rFonts w:ascii="Times New Roman" w:hAnsi="Times New Roman"/>
          <w:bCs/>
        </w:rPr>
        <w:t xml:space="preserve"> </w:t>
      </w:r>
      <w:r w:rsidRPr="005F079B" w:rsidR="000B3027">
        <w:rPr>
          <w:rFonts w:ascii="Times New Roman" w:hAnsi="Times New Roman"/>
          <w:bCs/>
        </w:rPr>
        <w:t xml:space="preserve"> zo 4. apríla 2001 </w:t>
      </w:r>
      <w:r w:rsidRPr="005F079B">
        <w:rPr>
          <w:rFonts w:ascii="Times New Roman" w:hAnsi="Times New Roman"/>
          <w:bCs/>
        </w:rPr>
        <w:t>o reorganizácii a likvidácii úverových inštitúcií (Mimoriadne vydanie Ú. v. EÚ kap. 6/zv. 4),</w:t>
      </w:r>
    </w:p>
    <w:p w:rsidR="009A6463" w:rsidRPr="005F079B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5F079B" w:rsidR="00352A0D">
        <w:rPr>
          <w:rFonts w:ascii="Times New Roman" w:hAnsi="Times New Roman"/>
          <w:bCs/>
        </w:rPr>
        <w:t>s</w:t>
      </w:r>
      <w:r w:rsidRPr="005F079B" w:rsidR="00EA43F5">
        <w:rPr>
          <w:rFonts w:ascii="Times New Roman" w:hAnsi="Times New Roman"/>
          <w:bCs/>
        </w:rPr>
        <w:t xml:space="preserve">mernica Európskeho parlamentu a Rady </w:t>
      </w:r>
      <w:r w:rsidRPr="005F079B" w:rsidR="00EA43F5">
        <w:rPr>
          <w:rFonts w:ascii="Times New Roman" w:hAnsi="Times New Roman"/>
          <w:bCs/>
          <w:u w:val="single"/>
        </w:rPr>
        <w:t>2002/87/ES</w:t>
      </w:r>
      <w:r w:rsidRPr="005F079B" w:rsidR="00EA43F5">
        <w:rPr>
          <w:rFonts w:ascii="Times New Roman" w:hAnsi="Times New Roman"/>
          <w:bCs/>
        </w:rPr>
        <w:t xml:space="preserve"> zo 16. decembra 2002 o doplnkovom dohľade nad úverovými inštitúciami, poisťovňami a investičnými spoločnosťami vo finančnom konglomeráte, ktorou sa menia a dopĺňajú smernice Rady 73/239/EHS, 79/267/EHS, 92/49/EHS, 92/96/EHS, 93/6/EHS a 93/22/EHS a smernice Európskeho parlamentu a Rady 98/78/ES a 2000/12/ES</w:t>
      </w:r>
      <w:r w:rsidRPr="005F079B">
        <w:rPr>
          <w:rFonts w:ascii="Times New Roman" w:hAnsi="Times New Roman"/>
          <w:bCs/>
        </w:rPr>
        <w:t xml:space="preserve"> (Mimoriadne vydanie Ú. v. EÚ kap. 6/zv. 4)</w:t>
      </w:r>
      <w:r w:rsidRPr="005F079B" w:rsidR="00CD1ED4">
        <w:rPr>
          <w:rFonts w:ascii="Times New Roman" w:hAnsi="Times New Roman"/>
          <w:bCs/>
        </w:rPr>
        <w:t xml:space="preserve"> v platnom znení</w:t>
      </w:r>
      <w:r w:rsidRPr="005F079B">
        <w:rPr>
          <w:rFonts w:ascii="Times New Roman" w:hAnsi="Times New Roman"/>
          <w:bCs/>
        </w:rPr>
        <w:t>,</w:t>
      </w:r>
    </w:p>
    <w:p w:rsidR="00FB0CD7" w:rsidRPr="005F079B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5F079B" w:rsidR="00DA21A6">
        <w:rPr>
          <w:rFonts w:ascii="Times New Roman" w:hAnsi="Times New Roman"/>
        </w:rPr>
        <w:t>s</w:t>
      </w:r>
      <w:r w:rsidRPr="005F079B">
        <w:rPr>
          <w:rFonts w:ascii="Times New Roman" w:hAnsi="Times New Roman"/>
        </w:rPr>
        <w:t xml:space="preserve">mernica Európskeho parlamentu a Rady </w:t>
      </w:r>
      <w:hyperlink r:id="rId4" w:tgtFrame="_blank" w:tooltip="Smernica Eur~pskeho parlamentu a Rady 2004/39/ES z 21. aprÝla 2004 o trhoch s finanŔnřmi nßstrojmi, o zmene a doplnenÝ smernÝc Rady 85/611/EHS a 93/6/EHS a smernice Eur~pskeho parlamentu a Rady 2000/12/ES a o zruÜenÝ smernice Rady 93/22/EHS" w:history="1">
        <w:r w:rsidRPr="005F079B">
          <w:rPr>
            <w:rStyle w:val="Hyperlink"/>
            <w:rFonts w:ascii="Times New Roman" w:hAnsi="Times New Roman"/>
            <w:color w:val="auto"/>
          </w:rPr>
          <w:t>2004/39/ES</w:t>
        </w:r>
      </w:hyperlink>
      <w:r w:rsidRPr="005F079B">
        <w:rPr>
          <w:rFonts w:ascii="Times New Roman" w:hAnsi="Times New Roman"/>
        </w:rPr>
        <w:t xml:space="preserve"> z 21. apríla 2004 o trhoch s finančnými nástrojmi, o zmene a doplnení smerníc Rady </w:t>
      </w:r>
      <w:hyperlink r:id="rId5" w:tgtFrame="_blank" w:tooltip="Smernica Rady z 20. decembra 1985 o koordinßcii zßkonov, inřch prßvnych predpisov a sprßvnych opatrenÝ třkaj~cich sa podnikov kolektÝvneho investovania do prevoditeżnřch cennřch papierov (PKIPCP)" w:history="1">
        <w:r w:rsidRPr="005F079B">
          <w:rPr>
            <w:rStyle w:val="Hyperlink"/>
            <w:rFonts w:ascii="Times New Roman" w:hAnsi="Times New Roman"/>
            <w:color w:val="auto"/>
            <w:u w:val="none"/>
          </w:rPr>
          <w:t>85/611/EHS</w:t>
        </w:r>
      </w:hyperlink>
      <w:r w:rsidRPr="005F079B">
        <w:rPr>
          <w:rFonts w:ascii="Times New Roman" w:hAnsi="Times New Roman"/>
        </w:rPr>
        <w:t xml:space="preserve"> a </w:t>
      </w:r>
      <w:hyperlink r:id="rId6" w:tgtFrame="_blank" w:tooltip="Smernica Rady 93/6/EHS z 15. marca 1993 o kapitßlovej primeranosti investiŔnřch spoloŔnostÝ a ~verovřch inÜtit~ciÝ" w:history="1">
        <w:r w:rsidRPr="005F079B">
          <w:rPr>
            <w:rStyle w:val="Hyperlink"/>
            <w:rFonts w:ascii="Times New Roman" w:hAnsi="Times New Roman"/>
            <w:color w:val="auto"/>
            <w:u w:val="none"/>
          </w:rPr>
          <w:t>93/6/EHS</w:t>
        </w:r>
      </w:hyperlink>
      <w:r w:rsidRPr="005F079B">
        <w:rPr>
          <w:rFonts w:ascii="Times New Roman" w:hAnsi="Times New Roman"/>
        </w:rPr>
        <w:t xml:space="preserve"> a smernice Európskeho parlamentu a Rady </w:t>
      </w:r>
      <w:hyperlink r:id="rId7" w:tgtFrame="_blank" w:tooltip="Smernica Eur~pskeho parlamentu a Rady 2000/12/ES z 20. marca 2000 o zaŔatÝ a vykonßvanÝ ŔinnostÝ ~verovřch inÜtit~ciÝ" w:history="1">
        <w:r w:rsidRPr="005F079B">
          <w:rPr>
            <w:rStyle w:val="Hyperlink"/>
            <w:rFonts w:ascii="Times New Roman" w:hAnsi="Times New Roman"/>
            <w:color w:val="auto"/>
            <w:u w:val="none"/>
          </w:rPr>
          <w:t>2000/12/ES</w:t>
        </w:r>
      </w:hyperlink>
      <w:r w:rsidRPr="005F079B">
        <w:rPr>
          <w:rFonts w:ascii="Times New Roman" w:hAnsi="Times New Roman"/>
        </w:rPr>
        <w:t xml:space="preserve"> a o zrušení smernice Rady </w:t>
      </w:r>
      <w:hyperlink r:id="rId8" w:tgtFrame="_blank" w:tooltip="Smernica Rady Ŕ. 93/22/EHS z 10.mßja 1993 o investiŔnřch slu~bßch v oblasti cennřch papierov" w:history="1">
        <w:r w:rsidRPr="005F079B">
          <w:rPr>
            <w:rStyle w:val="Hyperlink"/>
            <w:rFonts w:ascii="Times New Roman" w:hAnsi="Times New Roman"/>
            <w:color w:val="auto"/>
            <w:u w:val="none"/>
          </w:rPr>
          <w:t>93/22/EHS</w:t>
        </w:r>
      </w:hyperlink>
      <w:r w:rsidRPr="005F079B">
        <w:rPr>
          <w:rFonts w:ascii="Times New Roman" w:hAnsi="Times New Roman"/>
        </w:rPr>
        <w:t xml:space="preserve"> ( Mimoriadne vydanie Ú. v. EÚ, </w:t>
      </w:r>
      <w:r w:rsidRPr="005F079B" w:rsidR="0021661B">
        <w:rPr>
          <w:rFonts w:ascii="Times New Roman" w:hAnsi="Times New Roman"/>
        </w:rPr>
        <w:t xml:space="preserve">kap. </w:t>
      </w:r>
      <w:r w:rsidRPr="005F079B">
        <w:rPr>
          <w:rFonts w:ascii="Times New Roman" w:hAnsi="Times New Roman"/>
        </w:rPr>
        <w:t>6/zv. 7) v platnom znení</w:t>
      </w:r>
      <w:r w:rsidRPr="005F079B" w:rsidR="00D16140">
        <w:rPr>
          <w:rFonts w:ascii="Times New Roman" w:hAnsi="Times New Roman"/>
        </w:rPr>
        <w:t>,</w:t>
      </w:r>
    </w:p>
    <w:p w:rsidR="0069690C" w:rsidRPr="005F079B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Style w:val="Emphasis"/>
          <w:rFonts w:ascii="Times New Roman" w:hAnsi="Times New Roman"/>
        </w:rPr>
      </w:pPr>
      <w:r w:rsidRPr="005F079B" w:rsidR="00352A0D">
        <w:rPr>
          <w:rFonts w:ascii="Times New Roman" w:hAnsi="Times New Roman"/>
          <w:bCs/>
        </w:rPr>
        <w:t xml:space="preserve">smernica Európskeho parlamentu a Rady </w:t>
      </w:r>
      <w:r w:rsidRPr="005F079B" w:rsidR="00352A0D">
        <w:rPr>
          <w:rFonts w:ascii="Times New Roman" w:hAnsi="Times New Roman"/>
          <w:bCs/>
          <w:u w:val="single"/>
        </w:rPr>
        <w:t>2006/48/ES</w:t>
      </w:r>
      <w:r w:rsidRPr="005F079B" w:rsidR="00352A0D">
        <w:rPr>
          <w:rFonts w:ascii="Times New Roman" w:hAnsi="Times New Roman"/>
          <w:bCs/>
        </w:rPr>
        <w:t xml:space="preserve"> zo 14. júna 2006 o začatí a vykonávaní činností úverových inštitúcií </w:t>
      </w:r>
      <w:r w:rsidRPr="005F079B" w:rsidR="00FB0CD7">
        <w:rPr>
          <w:rFonts w:ascii="Times New Roman" w:hAnsi="Times New Roman"/>
          <w:color w:val="000000"/>
        </w:rPr>
        <w:t>(prepracované znenie)</w:t>
      </w:r>
      <w:r w:rsidRPr="005F079B" w:rsidR="00352A0D">
        <w:rPr>
          <w:rFonts w:ascii="Times New Roman" w:hAnsi="Times New Roman"/>
          <w:bCs/>
        </w:rPr>
        <w:t xml:space="preserve"> (</w:t>
      </w:r>
      <w:r w:rsidRPr="005F079B" w:rsidR="00352A0D">
        <w:rPr>
          <w:rStyle w:val="Emphasis"/>
          <w:rFonts w:ascii="Times New Roman" w:hAnsi="Times New Roman"/>
          <w:i w:val="0"/>
          <w:iCs/>
        </w:rPr>
        <w:t>Ú. v. EÚ L 177, 30.6.2006)</w:t>
      </w:r>
      <w:r w:rsidRPr="005F079B" w:rsidR="00CD1ED4">
        <w:rPr>
          <w:rFonts w:ascii="Times New Roman" w:hAnsi="Times New Roman"/>
          <w:bCs/>
        </w:rPr>
        <w:t xml:space="preserve"> v platnom znení</w:t>
      </w:r>
      <w:r w:rsidRPr="005F079B" w:rsidR="00352A0D">
        <w:rPr>
          <w:rStyle w:val="Emphasis"/>
          <w:rFonts w:ascii="Times New Roman" w:hAnsi="Times New Roman"/>
          <w:i w:val="0"/>
          <w:iCs/>
        </w:rPr>
        <w:t>,</w:t>
      </w:r>
    </w:p>
    <w:p w:rsidR="00352A0D" w:rsidRPr="005F079B" w:rsidP="008A33B3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Style w:val="Emphasis"/>
          <w:rFonts w:ascii="Times New Roman" w:hAnsi="Times New Roman"/>
        </w:rPr>
      </w:pPr>
      <w:r w:rsidRPr="005F079B" w:rsidR="00DF055A">
        <w:rPr>
          <w:rFonts w:ascii="Times New Roman" w:hAnsi="Times New Roman"/>
          <w:bCs/>
        </w:rPr>
        <w:t>s</w:t>
      </w:r>
      <w:r w:rsidRPr="005F079B" w:rsidR="00B3672D">
        <w:rPr>
          <w:rFonts w:ascii="Times New Roman" w:hAnsi="Times New Roman"/>
          <w:bCs/>
        </w:rPr>
        <w:t xml:space="preserve">mernica Európskeho parlamentu a Rady </w:t>
      </w:r>
      <w:r w:rsidRPr="005F079B" w:rsidR="00B3672D">
        <w:rPr>
          <w:rFonts w:ascii="Times New Roman" w:hAnsi="Times New Roman"/>
          <w:bCs/>
          <w:u w:val="single"/>
        </w:rPr>
        <w:t>2006/49/ES</w:t>
      </w:r>
      <w:r w:rsidRPr="005F079B" w:rsidR="00B3672D">
        <w:rPr>
          <w:rFonts w:ascii="Times New Roman" w:hAnsi="Times New Roman"/>
          <w:bCs/>
        </w:rPr>
        <w:t xml:space="preserve"> zo 14. júna 2006 o kapitálovej primeranosti investičných spoločností a úverových inštitúcií </w:t>
      </w:r>
      <w:r w:rsidRPr="005F079B" w:rsidR="00FB0CD7">
        <w:rPr>
          <w:rFonts w:ascii="Times New Roman" w:hAnsi="Times New Roman"/>
          <w:color w:val="000000"/>
        </w:rPr>
        <w:t>(prepracované znenie)</w:t>
      </w:r>
      <w:r w:rsidRPr="005F079B" w:rsidR="00FB0CD7">
        <w:rPr>
          <w:rFonts w:ascii="Times New Roman" w:hAnsi="Times New Roman"/>
          <w:bCs/>
        </w:rPr>
        <w:t xml:space="preserve"> </w:t>
      </w:r>
      <w:r w:rsidRPr="005F079B" w:rsidR="00B3672D">
        <w:rPr>
          <w:rFonts w:ascii="Times New Roman" w:hAnsi="Times New Roman"/>
          <w:bCs/>
        </w:rPr>
        <w:t>(</w:t>
      </w:r>
      <w:r w:rsidRPr="005F079B" w:rsidR="00B3672D">
        <w:rPr>
          <w:rStyle w:val="Emphasis"/>
          <w:rFonts w:ascii="Times New Roman" w:hAnsi="Times New Roman"/>
          <w:i w:val="0"/>
          <w:iCs/>
        </w:rPr>
        <w:t>Ú. v. EÚ L 177, 30.6.2006)</w:t>
      </w:r>
      <w:r w:rsidRPr="005F079B" w:rsidR="00CD1ED4">
        <w:rPr>
          <w:rFonts w:ascii="Times New Roman" w:hAnsi="Times New Roman"/>
          <w:bCs/>
        </w:rPr>
        <w:t xml:space="preserve"> v platnom znení</w:t>
      </w:r>
      <w:r w:rsidRPr="005F079B" w:rsidR="00B3672D">
        <w:rPr>
          <w:rStyle w:val="Emphasis"/>
          <w:rFonts w:ascii="Times New Roman" w:hAnsi="Times New Roman"/>
          <w:i w:val="0"/>
          <w:iCs/>
        </w:rPr>
        <w:t>,</w:t>
      </w:r>
    </w:p>
    <w:p w:rsidR="00FB0CD7" w:rsidRPr="005F079B" w:rsidP="00FB0CD7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120"/>
        <w:ind w:left="709" w:hanging="283"/>
        <w:rPr>
          <w:rFonts w:ascii="Times New Roman" w:hAnsi="Times New Roman"/>
          <w:i/>
        </w:rPr>
      </w:pPr>
      <w:r w:rsidRPr="005F079B">
        <w:rPr>
          <w:rFonts w:ascii="Times New Roman" w:hAnsi="Times New Roman"/>
          <w:color w:val="000000"/>
        </w:rPr>
        <w:t xml:space="preserve">smernica Európskeho parlamentu a Rady </w:t>
      </w:r>
      <w:r w:rsidRPr="005F079B">
        <w:rPr>
          <w:rFonts w:ascii="Times New Roman" w:hAnsi="Times New Roman"/>
          <w:color w:val="000000"/>
          <w:u w:val="single"/>
        </w:rPr>
        <w:t>2009/110/ES</w:t>
      </w:r>
      <w:r w:rsidRPr="005F079B">
        <w:rPr>
          <w:rFonts w:ascii="Times New Roman" w:hAnsi="Times New Roman"/>
          <w:color w:val="000000"/>
        </w:rPr>
        <w:t xml:space="preserve"> zo 16. septembra 2009 o začatí a vykonávaní činností a dohľade nad obozretným podnikaním inštitúcií elektronického peňažníctva, ktorou sa menia a dopĺňajú smernice 2005/60/ES a 2006/48/ES a zrušuje smernica 2000/46/ES (Ú. v. EÚ L 267, 10. 10. 2009)</w:t>
      </w:r>
      <w:r w:rsidRPr="005F079B" w:rsidR="00D16140">
        <w:rPr>
          <w:rFonts w:ascii="Times New Roman" w:hAnsi="Times New Roman"/>
          <w:color w:val="000000"/>
        </w:rPr>
        <w:t>,</w:t>
      </w:r>
    </w:p>
    <w:p w:rsidR="00510F36" w:rsidRPr="005F079B" w:rsidP="00DA21A6">
      <w:pPr>
        <w:pStyle w:val="BodyTextIndent"/>
        <w:numPr>
          <w:numId w:val="2"/>
        </w:numPr>
        <w:tabs>
          <w:tab w:val="num" w:pos="709"/>
          <w:tab w:val="clear" w:pos="900"/>
        </w:tabs>
        <w:autoSpaceDE w:val="0"/>
        <w:autoSpaceDN w:val="0"/>
        <w:bidi w:val="0"/>
        <w:adjustRightInd w:val="0"/>
        <w:spacing w:after="360"/>
        <w:ind w:left="709" w:hanging="284"/>
        <w:rPr>
          <w:rFonts w:ascii="Times New Roman" w:hAnsi="Times New Roman"/>
          <w:i/>
        </w:rPr>
      </w:pPr>
      <w:r w:rsidRPr="005F079B">
        <w:rPr>
          <w:rStyle w:val="Emphasis"/>
          <w:rFonts w:ascii="Times New Roman" w:hAnsi="Times New Roman"/>
          <w:i w:val="0"/>
          <w:iCs/>
        </w:rPr>
        <w:t>nariadenie Európskeho parlamentu a</w:t>
      </w:r>
      <w:r w:rsidRPr="005F079B" w:rsidR="00773044">
        <w:rPr>
          <w:rStyle w:val="Emphasis"/>
          <w:rFonts w:ascii="Times New Roman" w:hAnsi="Times New Roman"/>
          <w:i w:val="0"/>
          <w:iCs/>
        </w:rPr>
        <w:t> </w:t>
      </w:r>
      <w:r w:rsidRPr="005F079B">
        <w:rPr>
          <w:rStyle w:val="Emphasis"/>
          <w:rFonts w:ascii="Times New Roman" w:hAnsi="Times New Roman"/>
          <w:i w:val="0"/>
          <w:iCs/>
        </w:rPr>
        <w:t>Rady</w:t>
      </w:r>
      <w:r w:rsidRPr="005F079B" w:rsidR="00773044">
        <w:rPr>
          <w:rStyle w:val="Emphasis"/>
          <w:rFonts w:ascii="Times New Roman" w:hAnsi="Times New Roman"/>
          <w:i w:val="0"/>
          <w:iCs/>
        </w:rPr>
        <w:t xml:space="preserve"> (ES)</w:t>
      </w:r>
      <w:r w:rsidRPr="005F079B">
        <w:rPr>
          <w:rStyle w:val="Emphasis"/>
          <w:rFonts w:ascii="Times New Roman" w:hAnsi="Times New Roman"/>
          <w:i w:val="0"/>
          <w:iCs/>
        </w:rPr>
        <w:t xml:space="preserve"> č. </w:t>
      </w:r>
      <w:r w:rsidRPr="005F079B" w:rsidR="006F67CA">
        <w:rPr>
          <w:rStyle w:val="Emphasis"/>
          <w:rFonts w:ascii="Times New Roman" w:hAnsi="Times New Roman"/>
          <w:i w:val="0"/>
          <w:iCs/>
          <w:u w:val="single"/>
        </w:rPr>
        <w:t>1060/2009</w:t>
      </w:r>
      <w:r w:rsidRPr="005F079B">
        <w:rPr>
          <w:rStyle w:val="Emphasis"/>
          <w:rFonts w:ascii="Times New Roman" w:hAnsi="Times New Roman"/>
          <w:i w:val="0"/>
          <w:iCs/>
        </w:rPr>
        <w:t xml:space="preserve"> zo 16. septembra 2009 o ratingových agentúrach (Ú.</w:t>
      </w:r>
      <w:r w:rsidRPr="005F079B" w:rsidR="00274300">
        <w:rPr>
          <w:rStyle w:val="Emphasis"/>
          <w:rFonts w:ascii="Times New Roman" w:hAnsi="Times New Roman"/>
          <w:i w:val="0"/>
          <w:iCs/>
        </w:rPr>
        <w:t xml:space="preserve"> </w:t>
      </w:r>
      <w:r w:rsidRPr="005F079B">
        <w:rPr>
          <w:rStyle w:val="Emphasis"/>
          <w:rFonts w:ascii="Times New Roman" w:hAnsi="Times New Roman"/>
          <w:i w:val="0"/>
          <w:iCs/>
        </w:rPr>
        <w:t>v. EÚ L</w:t>
      </w:r>
      <w:r w:rsidRPr="005F079B" w:rsidR="00726FBF">
        <w:rPr>
          <w:rStyle w:val="Emphasis"/>
          <w:rFonts w:ascii="Times New Roman" w:hAnsi="Times New Roman"/>
          <w:i w:val="0"/>
          <w:iCs/>
        </w:rPr>
        <w:t xml:space="preserve"> </w:t>
      </w:r>
      <w:r w:rsidRPr="005F079B" w:rsidR="006F67CA">
        <w:rPr>
          <w:rStyle w:val="Emphasis"/>
          <w:rFonts w:ascii="Times New Roman" w:hAnsi="Times New Roman"/>
          <w:i w:val="0"/>
          <w:iCs/>
        </w:rPr>
        <w:t>302, 17.11.2009</w:t>
      </w:r>
      <w:r w:rsidRPr="005F079B" w:rsidR="00726FBF">
        <w:rPr>
          <w:rStyle w:val="Emphasis"/>
          <w:rFonts w:ascii="Times New Roman" w:hAnsi="Times New Roman"/>
          <w:i w:val="0"/>
          <w:iCs/>
        </w:rPr>
        <w:t>)</w:t>
      </w:r>
      <w:r w:rsidRPr="005F079B" w:rsidR="00773044">
        <w:rPr>
          <w:rStyle w:val="Emphasis"/>
          <w:rFonts w:ascii="Times New Roman" w:hAnsi="Times New Roman"/>
          <w:i w:val="0"/>
          <w:iCs/>
        </w:rPr>
        <w:t xml:space="preserve"> v platnom znení</w:t>
      </w:r>
      <w:r w:rsidRPr="005F079B" w:rsidR="00726FBF">
        <w:rPr>
          <w:rStyle w:val="Emphasis"/>
          <w:rFonts w:ascii="Times New Roman" w:hAnsi="Times New Roman"/>
          <w:i w:val="0"/>
          <w:iCs/>
        </w:rPr>
        <w:t>.</w:t>
      </w:r>
    </w:p>
    <w:p w:rsidR="002865EC" w:rsidRPr="005F079B" w:rsidP="002865EC">
      <w:pPr>
        <w:pStyle w:val="BodyText"/>
        <w:numPr>
          <w:ilvl w:val="1"/>
          <w:numId w:val="1"/>
        </w:numPr>
        <w:bidi w:val="0"/>
        <w:jc w:val="both"/>
        <w:rPr>
          <w:rFonts w:ascii="Times New Roman" w:hAnsi="Times New Roman"/>
        </w:rPr>
      </w:pPr>
      <w:r w:rsidRPr="005F079B">
        <w:rPr>
          <w:rFonts w:ascii="Times New Roman" w:hAnsi="Times New Roman"/>
        </w:rPr>
        <w:t>je obsiahnutá v judikatúre Súdneho dvora Európsk</w:t>
      </w:r>
      <w:r w:rsidRPr="005F079B" w:rsidR="00AE4E5E">
        <w:rPr>
          <w:rFonts w:ascii="Times New Roman" w:hAnsi="Times New Roman"/>
        </w:rPr>
        <w:t>ej únie</w:t>
      </w:r>
      <w:r w:rsidRPr="005F079B">
        <w:rPr>
          <w:rFonts w:ascii="Times New Roman" w:hAnsi="Times New Roman"/>
        </w:rPr>
        <w:t>:</w:t>
      </w:r>
    </w:p>
    <w:p w:rsidR="00A73555" w:rsidRPr="005F079B" w:rsidP="002865EC">
      <w:pPr>
        <w:pStyle w:val="BodyText"/>
        <w:numPr>
          <w:numId w:val="2"/>
        </w:numPr>
        <w:bidi w:val="0"/>
        <w:ind w:left="896" w:hanging="357"/>
        <w:jc w:val="both"/>
        <w:rPr>
          <w:rStyle w:val="Emphasis"/>
          <w:rFonts w:ascii="Times New Roman" w:hAnsi="Times New Roman"/>
        </w:rPr>
      </w:pPr>
      <w:r w:rsidRPr="005F079B" w:rsidR="00976EDB">
        <w:rPr>
          <w:rFonts w:ascii="Times New Roman" w:hAnsi="Times New Roman"/>
          <w:bCs/>
        </w:rPr>
        <w:t>r</w:t>
      </w:r>
      <w:r w:rsidRPr="005F079B">
        <w:rPr>
          <w:rFonts w:ascii="Times New Roman" w:hAnsi="Times New Roman"/>
          <w:bCs/>
        </w:rPr>
        <w:t xml:space="preserve">ozsudok Súdneho dvora </w:t>
      </w:r>
      <w:r w:rsidRPr="005F079B" w:rsidR="007228E1">
        <w:rPr>
          <w:rFonts w:ascii="Times New Roman" w:hAnsi="Times New Roman"/>
          <w:bCs/>
        </w:rPr>
        <w:t>z 16</w:t>
      </w:r>
      <w:r w:rsidRPr="005F079B" w:rsidR="000B3027">
        <w:rPr>
          <w:rFonts w:ascii="Times New Roman" w:hAnsi="Times New Roman"/>
          <w:bCs/>
        </w:rPr>
        <w:t xml:space="preserve">. </w:t>
      </w:r>
      <w:r w:rsidRPr="005F079B" w:rsidR="007228E1">
        <w:rPr>
          <w:rFonts w:ascii="Times New Roman" w:hAnsi="Times New Roman"/>
          <w:bCs/>
        </w:rPr>
        <w:t>marca 1999</w:t>
      </w:r>
      <w:r w:rsidRPr="005F079B" w:rsidR="000B3027">
        <w:rPr>
          <w:rFonts w:ascii="Times New Roman" w:hAnsi="Times New Roman"/>
          <w:bCs/>
        </w:rPr>
        <w:t xml:space="preserve"> vo veci C -</w:t>
      </w:r>
      <w:r w:rsidRPr="005F079B" w:rsidR="007228E1">
        <w:rPr>
          <w:rFonts w:ascii="Times New Roman" w:hAnsi="Times New Roman"/>
          <w:bCs/>
        </w:rPr>
        <w:t xml:space="preserve"> 222/97</w:t>
      </w:r>
      <w:r w:rsidRPr="005F079B">
        <w:rPr>
          <w:rFonts w:ascii="Times New Roman" w:hAnsi="Times New Roman"/>
          <w:bCs/>
        </w:rPr>
        <w:t xml:space="preserve">, </w:t>
      </w:r>
      <w:r w:rsidRPr="005F079B" w:rsidR="007228E1">
        <w:rPr>
          <w:rFonts w:ascii="Times New Roman" w:hAnsi="Times New Roman"/>
        </w:rPr>
        <w:t>Manfred Trummer a Peter Mayer</w:t>
      </w:r>
      <w:r w:rsidRPr="005F079B" w:rsidR="007228E1">
        <w:rPr>
          <w:rFonts w:ascii="Times New Roman" w:hAnsi="Times New Roman"/>
          <w:bCs/>
        </w:rPr>
        <w:t>, rok 1999</w:t>
      </w:r>
      <w:r w:rsidRPr="005F079B">
        <w:rPr>
          <w:rFonts w:ascii="Times New Roman" w:hAnsi="Times New Roman"/>
          <w:bCs/>
        </w:rPr>
        <w:t xml:space="preserve">, </w:t>
      </w:r>
    </w:p>
    <w:p w:rsidR="00E9338B" w:rsidRPr="005F079B" w:rsidP="00E9338B">
      <w:pPr>
        <w:numPr>
          <w:numId w:val="2"/>
        </w:numPr>
        <w:bidi w:val="0"/>
        <w:spacing w:after="240"/>
        <w:jc w:val="both"/>
        <w:rPr>
          <w:rFonts w:ascii="Times New Roman" w:hAnsi="Times New Roman" w:cs="Times New Roman"/>
        </w:rPr>
      </w:pPr>
      <w:r w:rsidRPr="005F079B">
        <w:rPr>
          <w:rFonts w:ascii="Times New Roman" w:hAnsi="Times New Roman" w:cs="Times New Roman"/>
        </w:rPr>
        <w:t>roz</w:t>
      </w:r>
      <w:r w:rsidRPr="005F079B" w:rsidR="00E94647">
        <w:rPr>
          <w:rFonts w:ascii="Times New Roman" w:hAnsi="Times New Roman" w:cs="Times New Roman"/>
        </w:rPr>
        <w:t xml:space="preserve">sudok </w:t>
      </w:r>
      <w:r w:rsidRPr="005F079B">
        <w:rPr>
          <w:rFonts w:ascii="Times New Roman" w:hAnsi="Times New Roman" w:cs="Times New Roman"/>
        </w:rPr>
        <w:t xml:space="preserve">Súdneho dvora </w:t>
      </w:r>
      <w:r w:rsidRPr="005F079B" w:rsidR="00A5700D">
        <w:rPr>
          <w:rFonts w:ascii="Times New Roman" w:hAnsi="Times New Roman" w:cs="Times New Roman"/>
        </w:rPr>
        <w:t>zo 7.</w:t>
      </w:r>
      <w:r w:rsidRPr="005F079B" w:rsidR="00C92BC3">
        <w:rPr>
          <w:rFonts w:ascii="Times New Roman" w:hAnsi="Times New Roman" w:cs="Times New Roman"/>
        </w:rPr>
        <w:t>n</w:t>
      </w:r>
      <w:r w:rsidRPr="005F079B" w:rsidR="00511C47">
        <w:rPr>
          <w:rFonts w:ascii="Times New Roman" w:hAnsi="Times New Roman" w:cs="Times New Roman"/>
        </w:rPr>
        <w:t xml:space="preserve">ovembra 2004 </w:t>
      </w:r>
      <w:r w:rsidRPr="005F079B">
        <w:rPr>
          <w:rFonts w:ascii="Times New Roman" w:hAnsi="Times New Roman" w:cs="Times New Roman"/>
        </w:rPr>
        <w:t xml:space="preserve">vo veci C - 346/02, </w:t>
      </w:r>
      <w:r w:rsidRPr="005F079B" w:rsidR="00EC57C9">
        <w:rPr>
          <w:rFonts w:ascii="Times New Roman" w:hAnsi="Times New Roman" w:cs="Times New Roman"/>
        </w:rPr>
        <w:t>E</w:t>
      </w:r>
      <w:r w:rsidRPr="005F079B">
        <w:rPr>
          <w:rFonts w:ascii="Times New Roman" w:hAnsi="Times New Roman" w:cs="Times New Roman"/>
        </w:rPr>
        <w:t xml:space="preserve">K proti Luxemburskému veľkovojvodstvu,  rok  2004, </w:t>
      </w:r>
    </w:p>
    <w:p w:rsidR="00E9338B" w:rsidRPr="005F079B" w:rsidP="00E9338B">
      <w:pPr>
        <w:numPr>
          <w:numId w:val="2"/>
        </w:numPr>
        <w:bidi w:val="0"/>
        <w:spacing w:after="240"/>
        <w:jc w:val="both"/>
        <w:rPr>
          <w:rStyle w:val="Emphasis"/>
          <w:rFonts w:ascii="Times New Roman" w:hAnsi="Times New Roman"/>
          <w:i w:val="0"/>
          <w:iCs/>
        </w:rPr>
      </w:pPr>
      <w:r w:rsidRPr="005F079B" w:rsidR="005667DE">
        <w:rPr>
          <w:rFonts w:ascii="Times New Roman" w:hAnsi="Times New Roman" w:cs="Times New Roman"/>
        </w:rPr>
        <w:t xml:space="preserve">rozsudok </w:t>
      </w:r>
      <w:r w:rsidRPr="005F079B">
        <w:rPr>
          <w:rFonts w:ascii="Times New Roman" w:hAnsi="Times New Roman" w:cs="Times New Roman"/>
        </w:rPr>
        <w:t xml:space="preserve">Súdneho dvora </w:t>
      </w:r>
      <w:r w:rsidRPr="005F079B" w:rsidR="005667DE">
        <w:rPr>
          <w:rFonts w:ascii="Times New Roman" w:hAnsi="Times New Roman" w:cs="Times New Roman"/>
        </w:rPr>
        <w:t xml:space="preserve">zo 12. septembra 2002 </w:t>
      </w:r>
      <w:r w:rsidRPr="005F079B">
        <w:rPr>
          <w:rFonts w:ascii="Times New Roman" w:hAnsi="Times New Roman" w:cs="Times New Roman"/>
        </w:rPr>
        <w:t xml:space="preserve">vo veci C - 312/01, </w:t>
      </w:r>
      <w:r w:rsidRPr="005F079B" w:rsidR="00EC57C9">
        <w:rPr>
          <w:rFonts w:ascii="Times New Roman" w:hAnsi="Times New Roman" w:cs="Times New Roman"/>
        </w:rPr>
        <w:t>E</w:t>
      </w:r>
      <w:r w:rsidRPr="005F079B">
        <w:rPr>
          <w:rFonts w:ascii="Times New Roman" w:hAnsi="Times New Roman" w:cs="Times New Roman"/>
        </w:rPr>
        <w:t xml:space="preserve">K proti Helénskej republike, rok  2002, </w:t>
      </w:r>
    </w:p>
    <w:p w:rsidR="00E9338B" w:rsidRPr="005F079B" w:rsidP="00DA21A6">
      <w:pPr>
        <w:numPr>
          <w:numId w:val="2"/>
        </w:numPr>
        <w:bidi w:val="0"/>
        <w:spacing w:after="480"/>
        <w:ind w:left="896" w:hanging="357"/>
        <w:jc w:val="both"/>
        <w:rPr>
          <w:rFonts w:ascii="Times New Roman" w:hAnsi="Times New Roman" w:cs="Times New Roman"/>
        </w:rPr>
      </w:pPr>
      <w:r w:rsidRPr="005F079B" w:rsidR="005667DE">
        <w:rPr>
          <w:rFonts w:ascii="Times New Roman" w:hAnsi="Times New Roman" w:cs="Times New Roman"/>
        </w:rPr>
        <w:t xml:space="preserve">rozsudok </w:t>
      </w:r>
      <w:r w:rsidRPr="005F079B">
        <w:rPr>
          <w:rFonts w:ascii="Times New Roman" w:hAnsi="Times New Roman" w:cs="Times New Roman"/>
        </w:rPr>
        <w:t xml:space="preserve">Súdneho dvora </w:t>
      </w:r>
      <w:r w:rsidRPr="005F079B" w:rsidR="00C92BC3">
        <w:rPr>
          <w:rFonts w:ascii="Times New Roman" w:hAnsi="Times New Roman" w:cs="Times New Roman"/>
        </w:rPr>
        <w:t>z 5. marca 2002</w:t>
      </w:r>
      <w:r w:rsidRPr="005F079B">
        <w:rPr>
          <w:rFonts w:ascii="Times New Roman" w:hAnsi="Times New Roman" w:cs="Times New Roman"/>
        </w:rPr>
        <w:t xml:space="preserve"> vo veci C - 386/00, Axa Royale Belge SA proti Georges Ochoa and Stratégie Finance SPRL</w:t>
      </w:r>
      <w:r w:rsidRPr="005F079B" w:rsidR="005667DE">
        <w:rPr>
          <w:rFonts w:ascii="Times New Roman" w:hAnsi="Times New Roman" w:cs="Times New Roman"/>
        </w:rPr>
        <w:t>, rok 2002.</w:t>
      </w:r>
    </w:p>
    <w:p w:rsidR="00ED6F91" w:rsidRPr="005F079B" w:rsidP="00DA21A6">
      <w:pPr>
        <w:numPr>
          <w:numId w:val="1"/>
        </w:numPr>
        <w:tabs>
          <w:tab w:val="left" w:pos="340"/>
        </w:tabs>
        <w:bidi w:val="0"/>
        <w:spacing w:after="360"/>
        <w:jc w:val="both"/>
        <w:rPr>
          <w:rFonts w:ascii="Times New Roman" w:hAnsi="Times New Roman" w:cs="Times New Roman"/>
          <w:b/>
          <w:bCs/>
        </w:rPr>
      </w:pPr>
      <w:r w:rsidRPr="005F079B">
        <w:rPr>
          <w:rFonts w:ascii="Times New Roman" w:hAnsi="Times New Roman" w:cs="Times New Roman"/>
          <w:b/>
          <w:bCs/>
        </w:rPr>
        <w:t>Záväzky Slovenskej republiky vo vzťahu k Európskej únii:</w:t>
      </w:r>
    </w:p>
    <w:p w:rsidR="00AE4E5E" w:rsidRPr="005F079B" w:rsidP="002B49D7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5F079B" w:rsidR="0005296C">
        <w:rPr>
          <w:rFonts w:ascii="Times New Roman" w:hAnsi="Times New Roman"/>
        </w:rPr>
        <w:t>Lehota na prebratie smernice 2011/89/EÚ je stanovená do 10.6. 2013, okrem čl. 6 ods.3 kde je stanovená lehota do 22.7. 2013.</w:t>
      </w:r>
    </w:p>
    <w:p w:rsidR="00E9338B" w:rsidRPr="005F079B" w:rsidP="00E9338B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5F079B" w:rsidR="00606912">
        <w:rPr>
          <w:rFonts w:ascii="Times New Roman" w:hAnsi="Times New Roman"/>
        </w:rPr>
        <w:t xml:space="preserve">Lehota na predloženie návrhu právneho prepisu na rokovanie vlády pre smernicu 2011/89/EÚ podľa určenia gestorských ústredných orgánov štátnej správy zodpovedných za prebratie smerníc a vypracovanie tabuliek zhody k návrhom všeobecne záväzných </w:t>
      </w:r>
      <w:r w:rsidRPr="005F079B" w:rsidR="00833F6A">
        <w:rPr>
          <w:rFonts w:ascii="Times New Roman" w:hAnsi="Times New Roman"/>
        </w:rPr>
        <w:t>právnych predpisov nebola určená</w:t>
      </w:r>
      <w:r w:rsidRPr="005F079B">
        <w:rPr>
          <w:rFonts w:ascii="Times New Roman" w:hAnsi="Times New Roman"/>
        </w:rPr>
        <w:t>.</w:t>
      </w:r>
    </w:p>
    <w:p w:rsidR="002B49D7" w:rsidRPr="005F079B" w:rsidP="00E9338B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5F079B">
        <w:rPr>
          <w:rFonts w:ascii="Times New Roman" w:hAnsi="Times New Roman"/>
        </w:rPr>
        <w:t>Proti SR</w:t>
      </w:r>
      <w:r w:rsidRPr="005F079B" w:rsidR="00C94CD5">
        <w:rPr>
          <w:rFonts w:ascii="Times New Roman" w:hAnsi="Times New Roman"/>
        </w:rPr>
        <w:t xml:space="preserve"> ne</w:t>
      </w:r>
      <w:r w:rsidRPr="005F079B">
        <w:rPr>
          <w:rFonts w:ascii="Times New Roman" w:hAnsi="Times New Roman"/>
        </w:rPr>
        <w:t xml:space="preserve">bolo začaté konanie o porušení Zmluvy o založení Európskych spoločenstiev podľa čl. </w:t>
      </w:r>
      <w:r w:rsidRPr="005F079B" w:rsidR="00704386">
        <w:rPr>
          <w:rFonts w:ascii="Times New Roman" w:hAnsi="Times New Roman"/>
        </w:rPr>
        <w:t>258 až 260 Zmluvy o fungovaní Európskej únie</w:t>
      </w:r>
      <w:r w:rsidRPr="005F079B" w:rsidR="000D4666">
        <w:rPr>
          <w:rFonts w:ascii="Times New Roman" w:hAnsi="Times New Roman"/>
        </w:rPr>
        <w:t>.</w:t>
      </w:r>
    </w:p>
    <w:p w:rsidR="005667DE" w:rsidRPr="005F079B" w:rsidP="003E0017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240"/>
        <w:jc w:val="both"/>
        <w:rPr>
          <w:rFonts w:ascii="Times New Roman" w:hAnsi="Times New Roman"/>
        </w:rPr>
      </w:pPr>
      <w:r w:rsidRPr="005F079B" w:rsidR="003E0017">
        <w:rPr>
          <w:rFonts w:ascii="Times New Roman" w:hAnsi="Times New Roman"/>
          <w:bCs/>
        </w:rPr>
        <w:t xml:space="preserve">Smernica 2011/89/EÚ bola prebratá čiastočne do zákona č. </w:t>
      </w:r>
      <w:r w:rsidRPr="005F079B" w:rsidR="003E0017">
        <w:rPr>
          <w:rFonts w:ascii="Times New Roman" w:hAnsi="Times New Roman"/>
          <w:bCs/>
          <w:u w:val="single"/>
        </w:rPr>
        <w:t>483/2001</w:t>
      </w:r>
      <w:r w:rsidRPr="005F079B" w:rsidR="003E0017">
        <w:rPr>
          <w:rFonts w:ascii="Times New Roman" w:hAnsi="Times New Roman"/>
          <w:bCs/>
        </w:rPr>
        <w:t xml:space="preserve"> Z.</w:t>
      </w:r>
      <w:r w:rsidRPr="005F079B" w:rsidR="00411F38">
        <w:rPr>
          <w:rFonts w:ascii="Times New Roman" w:hAnsi="Times New Roman"/>
          <w:bCs/>
        </w:rPr>
        <w:t xml:space="preserve"> </w:t>
      </w:r>
      <w:r w:rsidRPr="005F079B" w:rsidR="003E0017">
        <w:rPr>
          <w:rFonts w:ascii="Times New Roman" w:hAnsi="Times New Roman"/>
          <w:bCs/>
        </w:rPr>
        <w:t xml:space="preserve">z. o bankách a o zmene a doplnení niektorých zákonov v znení neskorších predpisov, čiastočne do zákona č. </w:t>
      </w:r>
      <w:r w:rsidRPr="005F079B" w:rsidR="003E0017">
        <w:rPr>
          <w:rFonts w:ascii="Times New Roman" w:hAnsi="Times New Roman"/>
          <w:bCs/>
          <w:u w:val="single"/>
        </w:rPr>
        <w:t>566/2001</w:t>
      </w:r>
      <w:r w:rsidRPr="005F079B" w:rsidR="003E0017">
        <w:rPr>
          <w:rFonts w:ascii="Times New Roman" w:hAnsi="Times New Roman"/>
          <w:bCs/>
        </w:rPr>
        <w:t xml:space="preserve"> Z.</w:t>
      </w:r>
      <w:r w:rsidRPr="005F079B" w:rsidR="00411F38">
        <w:rPr>
          <w:rFonts w:ascii="Times New Roman" w:hAnsi="Times New Roman"/>
          <w:bCs/>
        </w:rPr>
        <w:t xml:space="preserve"> </w:t>
      </w:r>
      <w:r w:rsidRPr="005F079B" w:rsidR="003E0017">
        <w:rPr>
          <w:rFonts w:ascii="Times New Roman" w:hAnsi="Times New Roman"/>
          <w:bCs/>
        </w:rPr>
        <w:t xml:space="preserve">z. o cenných papieroch a investičných službách a o zmene a doplnení niektorých zákonov (zákon o cenných papieroch) v znení neskorších predpisov, čiastočne do zákona č. </w:t>
      </w:r>
      <w:r w:rsidRPr="005F079B" w:rsidR="003E0017">
        <w:rPr>
          <w:rFonts w:ascii="Times New Roman" w:hAnsi="Times New Roman"/>
          <w:bCs/>
          <w:u w:val="single"/>
        </w:rPr>
        <w:t>8/2008</w:t>
      </w:r>
      <w:r w:rsidRPr="005F079B" w:rsidR="003E0017">
        <w:rPr>
          <w:rFonts w:ascii="Times New Roman" w:hAnsi="Times New Roman"/>
          <w:bCs/>
        </w:rPr>
        <w:t xml:space="preserve"> Z.</w:t>
      </w:r>
      <w:r w:rsidRPr="005F079B" w:rsidR="00411F38">
        <w:rPr>
          <w:rFonts w:ascii="Times New Roman" w:hAnsi="Times New Roman"/>
          <w:bCs/>
        </w:rPr>
        <w:t xml:space="preserve"> </w:t>
      </w:r>
      <w:r w:rsidRPr="005F079B" w:rsidR="003E0017">
        <w:rPr>
          <w:rFonts w:ascii="Times New Roman" w:hAnsi="Times New Roman"/>
          <w:bCs/>
        </w:rPr>
        <w:t>z o poisťovníctve a o zmene a doplnení niektorých zákonov v znení neskorších predpisov</w:t>
      </w:r>
      <w:r w:rsidRPr="005F079B" w:rsidR="001147E7">
        <w:rPr>
          <w:rFonts w:ascii="Times New Roman" w:hAnsi="Times New Roman"/>
          <w:bCs/>
        </w:rPr>
        <w:t>,</w:t>
      </w:r>
      <w:r w:rsidRPr="005F079B" w:rsidR="000F2AA6">
        <w:rPr>
          <w:rFonts w:ascii="Times New Roman" w:hAnsi="Times New Roman"/>
          <w:bCs/>
        </w:rPr>
        <w:t xml:space="preserve"> čiastočne do </w:t>
      </w:r>
      <w:r w:rsidRPr="005F079B" w:rsidR="000F2AA6">
        <w:rPr>
          <w:rFonts w:ascii="Times New Roman" w:hAnsi="Times New Roman"/>
        </w:rPr>
        <w:t xml:space="preserve">zákona č. </w:t>
      </w:r>
      <w:r w:rsidRPr="005F079B" w:rsidR="000F2AA6">
        <w:rPr>
          <w:rFonts w:ascii="Times New Roman" w:hAnsi="Times New Roman"/>
          <w:u w:val="single"/>
        </w:rPr>
        <w:t>203/2011</w:t>
      </w:r>
      <w:r w:rsidRPr="005F079B" w:rsidR="000F2AA6">
        <w:rPr>
          <w:rFonts w:ascii="Times New Roman" w:hAnsi="Times New Roman"/>
        </w:rPr>
        <w:t xml:space="preserve"> Z. z. o kolektívnom investovaní v znení neskorších predpisov,</w:t>
      </w:r>
      <w:r w:rsidRPr="005F079B" w:rsidR="001147E7">
        <w:rPr>
          <w:rFonts w:ascii="Times New Roman" w:hAnsi="Times New Roman"/>
          <w:bCs/>
        </w:rPr>
        <w:t xml:space="preserve"> </w:t>
      </w:r>
      <w:r w:rsidRPr="005F079B" w:rsidR="001E6659">
        <w:rPr>
          <w:rFonts w:ascii="Times New Roman" w:hAnsi="Times New Roman"/>
          <w:bCs/>
        </w:rPr>
        <w:t>úplne</w:t>
      </w:r>
      <w:r w:rsidRPr="005F079B" w:rsidR="001147E7">
        <w:rPr>
          <w:rFonts w:ascii="Times New Roman" w:hAnsi="Times New Roman"/>
          <w:bCs/>
        </w:rPr>
        <w:t xml:space="preserve"> </w:t>
      </w:r>
      <w:r w:rsidRPr="005F079B" w:rsidR="001E6659">
        <w:rPr>
          <w:rFonts w:ascii="Times New Roman" w:hAnsi="Times New Roman"/>
          <w:bCs/>
        </w:rPr>
        <w:t xml:space="preserve">do zákona č. </w:t>
      </w:r>
      <w:r w:rsidRPr="005F079B" w:rsidR="001E6659">
        <w:rPr>
          <w:rFonts w:ascii="Times New Roman" w:hAnsi="Times New Roman"/>
          <w:bCs/>
          <w:u w:val="single"/>
        </w:rPr>
        <w:t>747/2004</w:t>
      </w:r>
      <w:r w:rsidRPr="005F079B" w:rsidR="001E6659">
        <w:rPr>
          <w:rFonts w:ascii="Times New Roman" w:hAnsi="Times New Roman"/>
          <w:bCs/>
        </w:rPr>
        <w:t xml:space="preserve"> Z.z. o</w:t>
      </w:r>
      <w:r w:rsidRPr="005F079B" w:rsidR="001E6659">
        <w:rPr>
          <w:rFonts w:ascii="Times New Roman" w:hAnsi="Times New Roman"/>
        </w:rPr>
        <w:t xml:space="preserve"> </w:t>
      </w:r>
      <w:r w:rsidRPr="005F079B" w:rsidR="001E6659">
        <w:rPr>
          <w:rFonts w:ascii="Times New Roman" w:hAnsi="Times New Roman"/>
          <w:bCs/>
        </w:rPr>
        <w:t xml:space="preserve">dohľade nad finančným trhom a o zmene a doplnení niektorých zákonov </w:t>
      </w:r>
      <w:r w:rsidRPr="005F079B" w:rsidR="001E6659">
        <w:rPr>
          <w:rFonts w:ascii="Times New Roman" w:hAnsi="Times New Roman"/>
        </w:rPr>
        <w:t>v znení neskorších predpisov</w:t>
      </w:r>
      <w:r w:rsidRPr="005F079B" w:rsidR="003E0017">
        <w:rPr>
          <w:rFonts w:ascii="Times New Roman" w:hAnsi="Times New Roman"/>
          <w:bCs/>
        </w:rPr>
        <w:t xml:space="preserve"> a úplne do </w:t>
      </w:r>
      <w:r w:rsidRPr="005F079B" w:rsidR="003E0017">
        <w:rPr>
          <w:rFonts w:ascii="Times New Roman" w:hAnsi="Times New Roman"/>
          <w:bCs/>
          <w:u w:val="single"/>
        </w:rPr>
        <w:t>návrhu zákona</w:t>
      </w:r>
      <w:r w:rsidRPr="005F079B" w:rsidR="003E0017">
        <w:rPr>
          <w:rFonts w:ascii="Times New Roman" w:hAnsi="Times New Roman"/>
          <w:bCs/>
        </w:rPr>
        <w:t>, ktorým sa mení a dopĺňa zákon č. 203/2011 Z. z. o kolektívnom investovaní v znení neskorších predpisov.</w:t>
      </w:r>
    </w:p>
    <w:p w:rsidR="00ED6F91" w:rsidRPr="005F079B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5F079B">
        <w:rPr>
          <w:rFonts w:ascii="Times New Roman" w:hAnsi="Times New Roman" w:cs="Times New Roman"/>
          <w:b/>
          <w:bCs/>
        </w:rPr>
        <w:t xml:space="preserve">Stupeň zlučiteľnosti návrhu </w:t>
      </w:r>
      <w:r w:rsidRPr="005F079B" w:rsidR="004E4701">
        <w:rPr>
          <w:rFonts w:ascii="Times New Roman" w:hAnsi="Times New Roman" w:cs="Times New Roman"/>
          <w:b/>
          <w:bCs/>
        </w:rPr>
        <w:t>zákona</w:t>
      </w:r>
      <w:r w:rsidRPr="005F079B">
        <w:rPr>
          <w:rFonts w:ascii="Times New Roman" w:hAnsi="Times New Roman" w:cs="Times New Roman"/>
          <w:b/>
          <w:bCs/>
        </w:rPr>
        <w:t xml:space="preserve"> s právom Európskej únie:</w:t>
      </w:r>
    </w:p>
    <w:p w:rsidR="00ED6F91" w:rsidRPr="005F079B" w:rsidP="00E754D0">
      <w:pPr>
        <w:bidi w:val="0"/>
        <w:spacing w:after="120"/>
        <w:ind w:left="357"/>
        <w:jc w:val="both"/>
        <w:rPr>
          <w:rFonts w:ascii="Times New Roman" w:hAnsi="Times New Roman" w:cs="Times New Roman"/>
        </w:rPr>
      </w:pPr>
      <w:r w:rsidRPr="005F079B" w:rsidR="00856107">
        <w:rPr>
          <w:rFonts w:ascii="Times New Roman" w:hAnsi="Times New Roman" w:cs="Times New Roman"/>
        </w:rPr>
        <w:t xml:space="preserve"> Úplný</w:t>
      </w:r>
      <w:r w:rsidRPr="005F079B">
        <w:rPr>
          <w:rFonts w:ascii="Times New Roman" w:hAnsi="Times New Roman" w:cs="Times New Roman"/>
        </w:rPr>
        <w:t>.</w:t>
      </w:r>
    </w:p>
    <w:p w:rsidR="00D04096" w:rsidRPr="005F079B" w:rsidP="00D04096">
      <w:pPr>
        <w:bidi w:val="0"/>
        <w:ind w:left="357"/>
        <w:jc w:val="both"/>
        <w:rPr>
          <w:rFonts w:ascii="Times New Roman" w:hAnsi="Times New Roman" w:cs="Times New Roman"/>
          <w:bCs/>
        </w:rPr>
      </w:pPr>
    </w:p>
    <w:p w:rsidR="00ED6F91" w:rsidRPr="005F079B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5F079B">
        <w:rPr>
          <w:rFonts w:ascii="Times New Roman" w:hAnsi="Times New Roman" w:cs="Times New Roman"/>
          <w:b/>
          <w:bCs/>
        </w:rPr>
        <w:t xml:space="preserve">Gestor a spolupracujúce rezorty: </w:t>
      </w:r>
    </w:p>
    <w:p w:rsidR="00ED6F91" w:rsidRPr="005F079B" w:rsidP="00EC57C9">
      <w:pPr>
        <w:bidi w:val="0"/>
        <w:spacing w:after="120"/>
        <w:ind w:left="360"/>
        <w:jc w:val="both"/>
        <w:rPr>
          <w:rFonts w:ascii="Times New Roman" w:hAnsi="Times New Roman" w:cs="Times New Roman"/>
        </w:rPr>
      </w:pPr>
      <w:r w:rsidRPr="005F079B" w:rsidR="002865EC">
        <w:rPr>
          <w:rFonts w:ascii="Times New Roman" w:hAnsi="Times New Roman" w:cs="Times New Roman"/>
        </w:rPr>
        <w:t xml:space="preserve"> </w:t>
      </w:r>
      <w:r w:rsidRPr="005F079B">
        <w:rPr>
          <w:rFonts w:ascii="Times New Roman" w:hAnsi="Times New Roman" w:cs="Times New Roman"/>
        </w:rPr>
        <w:t>Ministerstvo financií Slovenskej republiky</w:t>
      </w:r>
      <w:r w:rsidRPr="005F079B" w:rsidR="00C2406C">
        <w:rPr>
          <w:rFonts w:ascii="Times New Roman" w:hAnsi="Times New Roman" w:cs="Times New Roman"/>
        </w:rPr>
        <w:t>, Národná banka Slovenska</w:t>
      </w:r>
      <w:r w:rsidRPr="005F079B" w:rsidR="00484FCE">
        <w:rPr>
          <w:rFonts w:ascii="Times New Roman" w:hAnsi="Times New Roman" w:cs="Times New Roman"/>
        </w:rPr>
        <w:t>.</w:t>
      </w:r>
    </w:p>
    <w:sectPr w:rsidSect="00765BBD">
      <w:footerReference w:type="even" r:id="rId9"/>
      <w:footerReference w:type="default" r:id="rId10"/>
      <w:footerReference w:type="first" r:id="rId11"/>
      <w:pgSz w:w="11906" w:h="16838" w:code="9"/>
      <w:pgMar w:top="1191" w:right="1191" w:bottom="1191" w:left="1191" w:header="510" w:footer="51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84" w:rsidP="00F7054B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BD1184" w:rsidP="0019789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BD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D1184" w:rsidP="00765BBD">
    <w:pPr>
      <w:pStyle w:val="Footer"/>
      <w:bidi w:val="0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BD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65BB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D4A2C"/>
    <w:multiLevelType w:val="hybridMultilevel"/>
    <w:tmpl w:val="5970B65C"/>
    <w:lvl w:ilvl="0">
      <w:start w:val="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D6F91"/>
    <w:rsid w:val="00012822"/>
    <w:rsid w:val="00024C17"/>
    <w:rsid w:val="0005296C"/>
    <w:rsid w:val="00084AA6"/>
    <w:rsid w:val="00086349"/>
    <w:rsid w:val="000B0754"/>
    <w:rsid w:val="000B1FDE"/>
    <w:rsid w:val="000B3027"/>
    <w:rsid w:val="000D4666"/>
    <w:rsid w:val="000E15D2"/>
    <w:rsid w:val="000F2AA6"/>
    <w:rsid w:val="00103006"/>
    <w:rsid w:val="001147E7"/>
    <w:rsid w:val="001159E9"/>
    <w:rsid w:val="001634D5"/>
    <w:rsid w:val="00176C55"/>
    <w:rsid w:val="0019789C"/>
    <w:rsid w:val="001A6184"/>
    <w:rsid w:val="001E6659"/>
    <w:rsid w:val="001F3CF3"/>
    <w:rsid w:val="0021661B"/>
    <w:rsid w:val="002243BD"/>
    <w:rsid w:val="00230BB4"/>
    <w:rsid w:val="00235069"/>
    <w:rsid w:val="00242841"/>
    <w:rsid w:val="002624B5"/>
    <w:rsid w:val="00271431"/>
    <w:rsid w:val="00272618"/>
    <w:rsid w:val="00274300"/>
    <w:rsid w:val="00285631"/>
    <w:rsid w:val="002865EC"/>
    <w:rsid w:val="00293A0E"/>
    <w:rsid w:val="002A0B41"/>
    <w:rsid w:val="002A293B"/>
    <w:rsid w:val="002B3E4E"/>
    <w:rsid w:val="002B49D7"/>
    <w:rsid w:val="002C2990"/>
    <w:rsid w:val="002C4FD3"/>
    <w:rsid w:val="002E0191"/>
    <w:rsid w:val="002E4078"/>
    <w:rsid w:val="002E4635"/>
    <w:rsid w:val="002E49BB"/>
    <w:rsid w:val="00306A29"/>
    <w:rsid w:val="003108A4"/>
    <w:rsid w:val="0032661B"/>
    <w:rsid w:val="00351E57"/>
    <w:rsid w:val="00352A0D"/>
    <w:rsid w:val="00354D4F"/>
    <w:rsid w:val="00363363"/>
    <w:rsid w:val="00376269"/>
    <w:rsid w:val="003827F9"/>
    <w:rsid w:val="003A7C61"/>
    <w:rsid w:val="003B497E"/>
    <w:rsid w:val="003C2C73"/>
    <w:rsid w:val="003E0017"/>
    <w:rsid w:val="00403FCA"/>
    <w:rsid w:val="00411F38"/>
    <w:rsid w:val="00457FD2"/>
    <w:rsid w:val="004649D3"/>
    <w:rsid w:val="004711E5"/>
    <w:rsid w:val="00483D23"/>
    <w:rsid w:val="00484FCE"/>
    <w:rsid w:val="004921BF"/>
    <w:rsid w:val="004B2AD6"/>
    <w:rsid w:val="004C356A"/>
    <w:rsid w:val="004C4A91"/>
    <w:rsid w:val="004E35AA"/>
    <w:rsid w:val="004E4701"/>
    <w:rsid w:val="00510F36"/>
    <w:rsid w:val="00511C47"/>
    <w:rsid w:val="00522057"/>
    <w:rsid w:val="00522D76"/>
    <w:rsid w:val="005250CE"/>
    <w:rsid w:val="00527C55"/>
    <w:rsid w:val="00550287"/>
    <w:rsid w:val="00564E67"/>
    <w:rsid w:val="0056583F"/>
    <w:rsid w:val="005667DE"/>
    <w:rsid w:val="00580BAC"/>
    <w:rsid w:val="005B2E0C"/>
    <w:rsid w:val="005C0D09"/>
    <w:rsid w:val="005C195C"/>
    <w:rsid w:val="005D100A"/>
    <w:rsid w:val="005E6D74"/>
    <w:rsid w:val="005F079B"/>
    <w:rsid w:val="005F39A0"/>
    <w:rsid w:val="00606912"/>
    <w:rsid w:val="006364DD"/>
    <w:rsid w:val="0064643B"/>
    <w:rsid w:val="0064736C"/>
    <w:rsid w:val="006651BB"/>
    <w:rsid w:val="0069690C"/>
    <w:rsid w:val="006A69EF"/>
    <w:rsid w:val="006A71BF"/>
    <w:rsid w:val="006C36DA"/>
    <w:rsid w:val="006D4BB9"/>
    <w:rsid w:val="006F67CA"/>
    <w:rsid w:val="00704386"/>
    <w:rsid w:val="007110DD"/>
    <w:rsid w:val="007228E1"/>
    <w:rsid w:val="00726FBF"/>
    <w:rsid w:val="00744038"/>
    <w:rsid w:val="00765BBD"/>
    <w:rsid w:val="00773044"/>
    <w:rsid w:val="00790236"/>
    <w:rsid w:val="007A2AF5"/>
    <w:rsid w:val="007C6FB0"/>
    <w:rsid w:val="007F0081"/>
    <w:rsid w:val="0080356F"/>
    <w:rsid w:val="00822C0A"/>
    <w:rsid w:val="00833F6A"/>
    <w:rsid w:val="00834206"/>
    <w:rsid w:val="00836F5F"/>
    <w:rsid w:val="00856107"/>
    <w:rsid w:val="00861052"/>
    <w:rsid w:val="00874B95"/>
    <w:rsid w:val="008803DC"/>
    <w:rsid w:val="00891342"/>
    <w:rsid w:val="008A33B3"/>
    <w:rsid w:val="008A48C8"/>
    <w:rsid w:val="008B56D1"/>
    <w:rsid w:val="008D3A43"/>
    <w:rsid w:val="008D7C92"/>
    <w:rsid w:val="008F4A33"/>
    <w:rsid w:val="0092634C"/>
    <w:rsid w:val="00926B1E"/>
    <w:rsid w:val="00963388"/>
    <w:rsid w:val="00976EDB"/>
    <w:rsid w:val="009946EB"/>
    <w:rsid w:val="009A6463"/>
    <w:rsid w:val="009B49BE"/>
    <w:rsid w:val="009C7F4A"/>
    <w:rsid w:val="009E03F5"/>
    <w:rsid w:val="009E3747"/>
    <w:rsid w:val="009F355C"/>
    <w:rsid w:val="009F6AEA"/>
    <w:rsid w:val="00A027F0"/>
    <w:rsid w:val="00A1331E"/>
    <w:rsid w:val="00A40882"/>
    <w:rsid w:val="00A5700D"/>
    <w:rsid w:val="00A73555"/>
    <w:rsid w:val="00A74323"/>
    <w:rsid w:val="00A969AF"/>
    <w:rsid w:val="00AB1EDF"/>
    <w:rsid w:val="00AB6789"/>
    <w:rsid w:val="00AC24D2"/>
    <w:rsid w:val="00AC727A"/>
    <w:rsid w:val="00AE0886"/>
    <w:rsid w:val="00AE4E5E"/>
    <w:rsid w:val="00AE58B7"/>
    <w:rsid w:val="00B076E0"/>
    <w:rsid w:val="00B078E7"/>
    <w:rsid w:val="00B129AD"/>
    <w:rsid w:val="00B35563"/>
    <w:rsid w:val="00B3672D"/>
    <w:rsid w:val="00B41BBD"/>
    <w:rsid w:val="00B63565"/>
    <w:rsid w:val="00B64526"/>
    <w:rsid w:val="00B81F9D"/>
    <w:rsid w:val="00BA02D4"/>
    <w:rsid w:val="00BB520B"/>
    <w:rsid w:val="00BB707A"/>
    <w:rsid w:val="00BD1184"/>
    <w:rsid w:val="00C11F66"/>
    <w:rsid w:val="00C2406C"/>
    <w:rsid w:val="00C36D9C"/>
    <w:rsid w:val="00C400B6"/>
    <w:rsid w:val="00C57FF0"/>
    <w:rsid w:val="00C83930"/>
    <w:rsid w:val="00C86BD7"/>
    <w:rsid w:val="00C92BC3"/>
    <w:rsid w:val="00C94CD5"/>
    <w:rsid w:val="00CD1ED4"/>
    <w:rsid w:val="00CD1FC5"/>
    <w:rsid w:val="00CF0A60"/>
    <w:rsid w:val="00CF50BD"/>
    <w:rsid w:val="00D04096"/>
    <w:rsid w:val="00D07FF4"/>
    <w:rsid w:val="00D16140"/>
    <w:rsid w:val="00D23DB2"/>
    <w:rsid w:val="00D433C8"/>
    <w:rsid w:val="00D9086B"/>
    <w:rsid w:val="00DA21A6"/>
    <w:rsid w:val="00DB34E2"/>
    <w:rsid w:val="00DC1DF2"/>
    <w:rsid w:val="00DC25D5"/>
    <w:rsid w:val="00DC469A"/>
    <w:rsid w:val="00DC55DE"/>
    <w:rsid w:val="00DD3CB5"/>
    <w:rsid w:val="00DD7925"/>
    <w:rsid w:val="00DE337E"/>
    <w:rsid w:val="00DF055A"/>
    <w:rsid w:val="00DF56FF"/>
    <w:rsid w:val="00E26D80"/>
    <w:rsid w:val="00E4494A"/>
    <w:rsid w:val="00E50EB7"/>
    <w:rsid w:val="00E5240D"/>
    <w:rsid w:val="00E62F03"/>
    <w:rsid w:val="00E754D0"/>
    <w:rsid w:val="00E9338B"/>
    <w:rsid w:val="00E94647"/>
    <w:rsid w:val="00E951F4"/>
    <w:rsid w:val="00E97ECA"/>
    <w:rsid w:val="00EA43F5"/>
    <w:rsid w:val="00EB3E61"/>
    <w:rsid w:val="00EC57C9"/>
    <w:rsid w:val="00ED2F4A"/>
    <w:rsid w:val="00ED6F91"/>
    <w:rsid w:val="00EE75C6"/>
    <w:rsid w:val="00EF62E2"/>
    <w:rsid w:val="00F014DC"/>
    <w:rsid w:val="00F0314B"/>
    <w:rsid w:val="00F15EEB"/>
    <w:rsid w:val="00F25187"/>
    <w:rsid w:val="00F6208F"/>
    <w:rsid w:val="00F7054B"/>
    <w:rsid w:val="00F83337"/>
    <w:rsid w:val="00F84AD1"/>
    <w:rsid w:val="00FB0CD7"/>
    <w:rsid w:val="00FC1AB8"/>
    <w:rsid w:val="00FE074C"/>
    <w:rsid w:val="00FE20EB"/>
    <w:rsid w:val="00FE4DAE"/>
    <w:rsid w:val="00FF02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64526"/>
    <w:pPr>
      <w:keepNext/>
      <w:spacing w:before="240" w:after="60"/>
      <w:jc w:val="left"/>
      <w:outlineLvl w:val="0"/>
    </w:pPr>
    <w:rPr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D6F91"/>
    <w:pPr>
      <w:ind w:firstLine="709"/>
      <w:jc w:val="both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D6F91"/>
    <w:pPr>
      <w:jc w:val="center"/>
    </w:pPr>
    <w:rPr>
      <w:rFonts w:ascii="Times New Roman" w:hAnsi="Times New Roman"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D6F91"/>
    <w:pPr>
      <w:spacing w:after="120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ED6F91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uiPriority w:val="99"/>
    <w:rsid w:val="00ED6F91"/>
    <w:rPr>
      <w:rFonts w:cs="Times New Roman"/>
      <w:color w:val="0000FF"/>
      <w:u w:val="single"/>
      <w:rtl w:val="0"/>
      <w:cs w:val="0"/>
    </w:rPr>
  </w:style>
  <w:style w:type="character" w:customStyle="1" w:styleId="ZkladntextChar0">
    <w:name w:val="Základní text Char"/>
    <w:rsid w:val="00ED6F91"/>
    <w:rPr>
      <w:color w:val="000000"/>
      <w:sz w:val="24"/>
      <w:lang w:val="sk-SK" w:eastAsia="sk-SK"/>
    </w:rPr>
  </w:style>
  <w:style w:type="paragraph" w:styleId="Footer">
    <w:name w:val="footer"/>
    <w:basedOn w:val="Normal"/>
    <w:link w:val="PtaChar"/>
    <w:uiPriority w:val="99"/>
    <w:rsid w:val="0019789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9789C"/>
    <w:rPr>
      <w:rFonts w:cs="Times New Roman"/>
      <w:rtl w:val="0"/>
      <w:cs w:val="0"/>
    </w:rPr>
  </w:style>
  <w:style w:type="paragraph" w:customStyle="1" w:styleId="c02alineaalta">
    <w:name w:val="c02alineaalta"/>
    <w:basedOn w:val="Normal"/>
    <w:rsid w:val="00176C55"/>
    <w:pPr>
      <w:spacing w:after="240"/>
      <w:ind w:left="567"/>
      <w:jc w:val="both"/>
    </w:pPr>
    <w:rPr>
      <w:sz w:val="22"/>
      <w:szCs w:val="22"/>
    </w:rPr>
  </w:style>
  <w:style w:type="paragraph" w:customStyle="1" w:styleId="Normlnywebov8">
    <w:name w:val="Normálny (webový)8"/>
    <w:basedOn w:val="Normal"/>
    <w:rsid w:val="00FF0218"/>
    <w:pPr>
      <w:spacing w:before="84" w:after="84"/>
      <w:ind w:left="251" w:right="251"/>
      <w:jc w:val="left"/>
    </w:pPr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FF0218"/>
    <w:rPr>
      <w:rFonts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rsid w:val="00F705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73555"/>
    <w:pPr>
      <w:spacing w:before="150" w:after="150"/>
      <w:ind w:left="675" w:right="525"/>
      <w:jc w:val="left"/>
    </w:pPr>
    <w:rPr>
      <w:rFonts w:ascii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7228E1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character" w:customStyle="1" w:styleId="PlaceholderText1">
    <w:name w:val="Placeholder Text1"/>
    <w:uiPriority w:val="99"/>
    <w:semiHidden/>
    <w:rsid w:val="005667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CELEX:32004L0039:SK:HTML" TargetMode="External" /><Relationship Id="rId5" Type="http://schemas.openxmlformats.org/officeDocument/2006/relationships/hyperlink" Target="http://eur-lex.europa.eu/LexUriServ/LexUriServ.do?uri=CELEX:31985L0611:SK:HTML" TargetMode="External" /><Relationship Id="rId6" Type="http://schemas.openxmlformats.org/officeDocument/2006/relationships/hyperlink" Target="http://eur-lex.europa.eu/LexUriServ/LexUriServ.do?uri=CELEX:31993L0006:SK:HTML" TargetMode="External" /><Relationship Id="rId7" Type="http://schemas.openxmlformats.org/officeDocument/2006/relationships/hyperlink" Target="http://eur-lex.europa.eu/LexUriServ/LexUriServ.do?uri=CELEX:32000L0012:SK:HTML" TargetMode="External" /><Relationship Id="rId8" Type="http://schemas.openxmlformats.org/officeDocument/2006/relationships/hyperlink" Target="http://eur-lex.europa.eu/LexUriServ/LexUriServ.do?uri=CELEX:31993L0022:SK:HTML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1219</Words>
  <Characters>6951</Characters>
  <Application>Microsoft Office Word</Application>
  <DocSecurity>0</DocSecurity>
  <Lines>0</Lines>
  <Paragraphs>0</Paragraphs>
  <ScaleCrop>false</ScaleCrop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pmatyasovszky</cp:lastModifiedBy>
  <cp:revision>7</cp:revision>
  <cp:lastPrinted>2011-05-04T10:51:00Z</cp:lastPrinted>
  <dcterms:created xsi:type="dcterms:W3CDTF">2012-12-13T14:36:00Z</dcterms:created>
  <dcterms:modified xsi:type="dcterms:W3CDTF">2013-02-19T07:40:00Z</dcterms:modified>
</cp:coreProperties>
</file>