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5804" w:rsidP="002F5804">
      <w:pPr>
        <w:pStyle w:val="Heading1"/>
      </w:pPr>
      <w:r>
        <w:t>Dôvodová správa</w:t>
      </w:r>
    </w:p>
    <w:p w:rsidR="00F04538" w:rsidRPr="00A113B6" w:rsidP="002F5804">
      <w:pPr>
        <w:pStyle w:val="Heading3"/>
      </w:pPr>
      <w:r w:rsidRPr="00A113B6" w:rsidR="00A113B6">
        <w:t>Všeobecná časť</w:t>
      </w:r>
    </w:p>
    <w:p w:rsidR="002F5804" w:rsidRPr="002F5804" w:rsidP="002F5804">
      <w:pPr>
        <w:pStyle w:val="odsek"/>
      </w:pPr>
      <w:r w:rsidRPr="002F5804">
        <w:t>Predložený návrh upraví možnosti Slovenského pozemkového fondu nadobudnúť pozemky, ktoré boli predmetom úveru a následne nimi disponovať najmä na účely reštitučných plnení. Nadväzuje na realizáciu uznesenia vlády Slovenskej r</w:t>
      </w:r>
      <w:r w:rsidRPr="002F5804">
        <w:t xml:space="preserve">epubliky </w:t>
      </w:r>
      <w:r w:rsidR="00905565">
        <w:t xml:space="preserve">č. 413 </w:t>
      </w:r>
      <w:r w:rsidRPr="002F5804">
        <w:t xml:space="preserve">z 22. </w:t>
      </w:r>
      <w:r w:rsidR="00905565">
        <w:t>augusta</w:t>
      </w:r>
      <w:r w:rsidRPr="002F5804">
        <w:t xml:space="preserve"> 201</w:t>
      </w:r>
      <w:r w:rsidR="00905565">
        <w:t>2 v </w:t>
      </w:r>
      <w:r w:rsidRPr="002F5804">
        <w:t>Nov</w:t>
      </w:r>
      <w:r w:rsidR="00905565">
        <w:t>ých Sadoch</w:t>
      </w:r>
      <w:r w:rsidRPr="002F5804">
        <w:t xml:space="preserve"> o podpore subjektov poľnohospodárskej prvovýroby.  Jeden zo zámerov vlády Slovenskej republiky vyplývajúcich z uvedeného rokovania je vytvorenie podmienok pre nákup poľnohospodárskej pôdy fyzickými a právnickými osobami, ktoré na nej hospodária. Výsledkom rokovaní dotknutých rezortov a to najmä Ministerstva pôdohospodárstva a rozvoja vidieka Slovenskej republiky a Ministerstva financií Slovenskej republiky je to, že Slovenská záručná a rozvojová banka vytvo</w:t>
      </w:r>
      <w:r w:rsidRPr="002F5804">
        <w:t>rí produkt „</w:t>
      </w:r>
      <w:r w:rsidR="00905565">
        <w:t>M</w:t>
      </w:r>
      <w:r w:rsidRPr="002F5804">
        <w:t xml:space="preserve">oja pôda“, v rámci ktorého bude úverovať nákup poľnohospodárskej pôdy farmármi za prijateľných podmienok. Jednou z podmienok, ktorými Slovenská záručná a rozvojová banka podmieňuje výhodné úrokové sadzby a dobu splatnosti úverov ako aj to, že úverovaný bude aj nákup spoluvlastníckych podielov, je posilnenie jej záruk, že v prípade zlyhania poskytnutého úveru bude pôda odkúpená za cenu zodpovedajúcu výške poskytnutého úveru. Predložený návrhom sa dáva možnosť Slovenskému pozemkovému fondu v takých prípadoch pôdu odkúpiť a následne ju použiť na plnenie zákonom stanovených úloh. </w:t>
      </w:r>
    </w:p>
    <w:p w:rsidR="002F5804" w:rsidRPr="002F5804" w:rsidP="002F5804">
      <w:pPr>
        <w:pStyle w:val="odsek"/>
      </w:pPr>
      <w:r w:rsidRPr="002F5804">
        <w:t xml:space="preserve">Predložený návrh je konštruovaný tak, že má zároveň obmedziť špekulatívny nákup pôdy, ku ktorým nie zriedka prichádza pri predaji založenej pôdy, v exekučných konaniach resp. dobrovoľných dražbách. Preto je potrebné, aby pri realizácii navrhovaného postupu mohli byť Slovenskému pozemkovému fondu priamo odpredané aj založené spoluvlastnícke podiely bez toho, aby </w:t>
      </w:r>
      <w:r w:rsidRPr="002F5804" w:rsidR="00905565">
        <w:t>záložný</w:t>
      </w:r>
      <w:r w:rsidRPr="002F5804">
        <w:t xml:space="preserve"> veriteľ musel </w:t>
      </w:r>
      <w:r w:rsidR="00905565">
        <w:t xml:space="preserve">predávané podiely </w:t>
      </w:r>
      <w:r w:rsidRPr="002F5804">
        <w:t xml:space="preserve">ponúknuť existujúcim podielovým spoluvlastníkom tak, ako ho vyžaduje § 140 Občianskeho zákonníka. </w:t>
      </w:r>
    </w:p>
    <w:p w:rsidR="002F5804" w:rsidRPr="002F5804" w:rsidP="002F5804">
      <w:pPr>
        <w:pStyle w:val="odsek"/>
        <w:spacing w:before="60" w:after="60"/>
        <w:ind w:firstLine="708"/>
      </w:pPr>
      <w:r w:rsidRPr="002F5804">
        <w:t>Skutočnosť, že v mnohých katastrálnych územiach už Slovenský pozemkový fond nedisponuje na účely plnenia reštitučných náhrad pozemkami v celosti ale len spoluvlastníckymi podielmi k nim je dôvodom navrhovanej úpravy v článkoch II. a III. predloženého návrhu.</w:t>
      </w:r>
    </w:p>
    <w:p w:rsidR="00A113B6" w:rsidRPr="00A113B6" w:rsidP="002F5804">
      <w:pPr>
        <w:pStyle w:val="odsek"/>
        <w:spacing w:before="60" w:after="60"/>
        <w:ind w:firstLine="708"/>
      </w:pPr>
      <w:r w:rsidRPr="00A113B6">
        <w:t xml:space="preserve">Návrh zákona bude mať pozitívny vplyv </w:t>
      </w:r>
      <w:r w:rsidRPr="00A113B6" w:rsidR="00905565">
        <w:t>na podnikateľské prostredie</w:t>
      </w:r>
      <w:r w:rsidR="00905565">
        <w:t>, ktorý však nie je možné vyčísliť nakoľko nie je jasný objem takto realizovaných predajov</w:t>
      </w:r>
      <w:r w:rsidRPr="00A113B6" w:rsidR="00905565">
        <w:t xml:space="preserve"> a nebude mať vplyv </w:t>
      </w:r>
      <w:r w:rsidRPr="00A113B6">
        <w:t>sociálne vplyvy, životné prostredie a na informatizáciu spoločnosti.</w:t>
      </w:r>
      <w:r w:rsidR="001B01DB">
        <w:t xml:space="preserve"> Predložený návrh zákona nebude mať v prvom roku žiaden dopad na rozpočet verejnej správy nakoľko v prípade realizácie záložných práv táto nenastane v prvom a očakáva sa ani nie v druhom roku účinnosti zákona.</w:t>
      </w:r>
    </w:p>
    <w:p w:rsidR="00A113B6" w:rsidP="002F5804">
      <w:pPr>
        <w:pStyle w:val="odsek"/>
        <w:spacing w:before="60" w:after="60"/>
      </w:pPr>
      <w:r w:rsidRPr="00A113B6">
        <w:t>Návrh zákona je v súlade s Ústavou Slovenskej republiky a súvisiacimi všeobecne záväznými právnymi predpismi a medzinárodnými zmluvami, ktorými je Slovenská republika viazaná.</w:t>
      </w:r>
    </w:p>
    <w:p w:rsidR="00A113B6" w:rsidRPr="00A113B6" w:rsidP="002F5804">
      <w:pPr>
        <w:pStyle w:val="odsek"/>
        <w:spacing w:before="60" w:after="60"/>
      </w:pPr>
    </w:p>
    <w:p w:rsidR="00A113B6" w:rsidRPr="00A113B6" w:rsidP="002F5804">
      <w:pPr>
        <w:jc w:val="center"/>
        <w:outlineLvl w:val="0"/>
        <w:rPr>
          <w:b/>
          <w:bCs/>
        </w:rPr>
      </w:pPr>
      <w:r w:rsidRPr="00A113B6">
        <w:rPr>
          <w:b/>
          <w:bCs/>
        </w:rPr>
        <w:t>DOLOŽKA ZLUČITEĽNOSTI</w:t>
      </w:r>
    </w:p>
    <w:p w:rsidR="00A113B6" w:rsidRPr="00A113B6" w:rsidP="002F5804">
      <w:pPr>
        <w:autoSpaceDE w:val="0"/>
        <w:autoSpaceDN w:val="0"/>
        <w:adjustRightInd w:val="0"/>
        <w:jc w:val="center"/>
        <w:rPr>
          <w:b/>
          <w:bCs/>
        </w:rPr>
      </w:pPr>
      <w:r w:rsidRPr="00A113B6">
        <w:rPr>
          <w:b/>
          <w:bCs/>
        </w:rPr>
        <w:t>právneho predpisu</w:t>
      </w:r>
    </w:p>
    <w:p w:rsidR="00A113B6" w:rsidRPr="00A113B6" w:rsidP="002F5804">
      <w:pPr>
        <w:autoSpaceDE w:val="0"/>
        <w:autoSpaceDN w:val="0"/>
        <w:adjustRightInd w:val="0"/>
        <w:jc w:val="center"/>
        <w:rPr>
          <w:b/>
          <w:bCs/>
        </w:rPr>
      </w:pPr>
      <w:r w:rsidRPr="00A113B6">
        <w:rPr>
          <w:b/>
          <w:bCs/>
        </w:rPr>
        <w:t xml:space="preserve">s právom Európskej </w:t>
      </w:r>
      <w:r w:rsidRPr="00A113B6">
        <w:rPr>
          <w:b/>
          <w:bCs/>
        </w:rPr>
        <w:t>únie</w:t>
      </w:r>
    </w:p>
    <w:p w:rsidR="00A113B6" w:rsidRPr="00A113B6" w:rsidP="002F5804">
      <w:pPr>
        <w:autoSpaceDE w:val="0"/>
        <w:autoSpaceDN w:val="0"/>
        <w:adjustRightInd w:val="0"/>
        <w:jc w:val="center"/>
        <w:rPr>
          <w:b/>
          <w:bCs/>
        </w:rPr>
      </w:pPr>
    </w:p>
    <w:p w:rsidR="00A113B6" w:rsidRPr="00A113B6" w:rsidP="002F5804">
      <w:pPr>
        <w:tabs>
          <w:tab w:val="left" w:pos="360"/>
        </w:tabs>
        <w:autoSpaceDE w:val="0"/>
        <w:autoSpaceDN w:val="0"/>
        <w:adjustRightInd w:val="0"/>
        <w:ind w:left="340" w:hanging="340"/>
      </w:pPr>
      <w:r w:rsidRPr="00A113B6">
        <w:rPr>
          <w:b/>
          <w:bCs/>
        </w:rPr>
        <w:t>1.</w:t>
        <w:tab/>
        <w:t>Predkladateľ právneho predpisu:</w:t>
      </w:r>
      <w:r w:rsidRPr="00A113B6">
        <w:t xml:space="preserve"> </w:t>
      </w:r>
      <w:r w:rsidR="00047E21">
        <w:t xml:space="preserve">vláda </w:t>
      </w:r>
      <w:r w:rsidRPr="00A113B6">
        <w:t>Slovenskej republiky</w:t>
      </w:r>
    </w:p>
    <w:p w:rsidR="007D7392" w:rsidP="002F5804">
      <w:pPr>
        <w:tabs>
          <w:tab w:val="left" w:pos="360"/>
        </w:tabs>
        <w:autoSpaceDE w:val="0"/>
        <w:autoSpaceDN w:val="0"/>
        <w:adjustRightInd w:val="0"/>
        <w:ind w:left="340" w:hanging="340"/>
      </w:pPr>
      <w:r w:rsidRPr="00A113B6" w:rsidR="00A113B6">
        <w:rPr>
          <w:b/>
          <w:bCs/>
        </w:rPr>
        <w:t xml:space="preserve">2. Názov návrhu právneho predpisu: </w:t>
      </w:r>
      <w:r>
        <w:t>N</w:t>
      </w:r>
      <w:r w:rsidRPr="00091CD0">
        <w:t>ávrh zákona</w:t>
      </w:r>
      <w:r>
        <w:t xml:space="preserve">, </w:t>
      </w:r>
      <w:r w:rsidRPr="00E62AC3">
        <w:t>ktorým sa dopĺňa zákon Slovenskej národnej rady č. 330/1991 Zb. o pozemkových úpravách, usporiadaní pozemkového vlastníctva, pozemkových úradoch, pozemkovom fonde a o pozemkových spoločenstvách v znení neskorších predpisov a o doplnení niektorých zákonov</w:t>
      </w:r>
    </w:p>
    <w:p w:rsidR="00A113B6" w:rsidRPr="00A113B6" w:rsidP="002F5804">
      <w:pPr>
        <w:tabs>
          <w:tab w:val="left" w:pos="360"/>
        </w:tabs>
        <w:autoSpaceDE w:val="0"/>
        <w:autoSpaceDN w:val="0"/>
        <w:adjustRightInd w:val="0"/>
        <w:ind w:left="340" w:hanging="340"/>
        <w:rPr>
          <w:b/>
          <w:bCs/>
        </w:rPr>
      </w:pPr>
      <w:r w:rsidRPr="00A113B6">
        <w:rPr>
          <w:b/>
          <w:bCs/>
        </w:rPr>
        <w:t>3.</w:t>
        <w:tab/>
        <w:t>Problematika návrhu právneho predpisu:</w:t>
      </w:r>
    </w:p>
    <w:p w:rsidR="00A113B6" w:rsidRPr="00A113B6" w:rsidP="007464F4">
      <w:pPr>
        <w:autoSpaceDE w:val="0"/>
        <w:autoSpaceDN w:val="0"/>
        <w:adjustRightInd w:val="0"/>
        <w:ind w:left="714" w:hanging="357"/>
      </w:pPr>
      <w:r w:rsidRPr="00A113B6">
        <w:t>a)</w:t>
        <w:tab/>
        <w:t>nie je upravená v práve Európskej únie:</w:t>
      </w:r>
    </w:p>
    <w:p w:rsidR="00A113B6" w:rsidRPr="00A113B6" w:rsidP="007464F4">
      <w:pPr>
        <w:numPr>
          <w:ilvl w:val="0"/>
          <w:numId w:val="8"/>
        </w:numPr>
        <w:autoSpaceDE w:val="0"/>
        <w:autoSpaceDN w:val="0"/>
        <w:adjustRightInd w:val="0"/>
      </w:pPr>
      <w:r w:rsidRPr="00A113B6">
        <w:t xml:space="preserve">v primárnom </w:t>
      </w:r>
    </w:p>
    <w:p w:rsidR="00A113B6" w:rsidRPr="00A113B6" w:rsidP="007464F4">
      <w:pPr>
        <w:numPr>
          <w:ilvl w:val="0"/>
          <w:numId w:val="8"/>
        </w:numPr>
      </w:pPr>
      <w:r w:rsidRPr="00A113B6">
        <w:t>v sekundárnom (prijatom po nadobudnutí platnosti Lisabonskej zmluvy, ktorou sa mení a dopĺňa Zmluva o Európskom Spoločenstve a Zmluva o Európskej únie – po 30. novembri 2009):</w:t>
      </w:r>
    </w:p>
    <w:p w:rsidR="00A113B6" w:rsidRPr="00A113B6" w:rsidP="007464F4">
      <w:pPr>
        <w:numPr>
          <w:ilvl w:val="0"/>
          <w:numId w:val="10"/>
        </w:numPr>
        <w:adjustRightInd w:val="0"/>
        <w:ind w:left="1418"/>
        <w:rPr>
          <w:color w:val="000000"/>
        </w:rPr>
      </w:pPr>
      <w:r w:rsidRPr="00A113B6">
        <w:rPr>
          <w:color w:val="000000"/>
        </w:rPr>
        <w:t>legislatívne akty</w:t>
      </w:r>
    </w:p>
    <w:p w:rsidR="00A113B6" w:rsidRPr="00A113B6" w:rsidP="007464F4">
      <w:pPr>
        <w:numPr>
          <w:ilvl w:val="0"/>
          <w:numId w:val="10"/>
        </w:numPr>
        <w:adjustRightInd w:val="0"/>
        <w:ind w:left="1418"/>
        <w:rPr>
          <w:color w:val="000000"/>
        </w:rPr>
      </w:pPr>
      <w:r w:rsidRPr="00A113B6">
        <w:rPr>
          <w:color w:val="000000"/>
        </w:rPr>
        <w:t>nelegislatívne akty</w:t>
      </w:r>
    </w:p>
    <w:p w:rsidR="00A113B6" w:rsidRPr="00A113B6" w:rsidP="007464F4">
      <w:pPr>
        <w:ind w:left="714" w:hanging="357"/>
      </w:pPr>
      <w:r w:rsidRPr="00A113B6">
        <w:t>b)</w:t>
        <w:tab/>
        <w:t>nie je obsiahnutá v judikatúre Súdneho dvora Európskej únie</w:t>
      </w:r>
      <w:r w:rsidR="007464F4">
        <w:t>.</w:t>
      </w:r>
    </w:p>
    <w:p w:rsidR="00A113B6" w:rsidRPr="002F5804" w:rsidP="00E56128">
      <w:pPr>
        <w:autoSpaceDE w:val="0"/>
        <w:autoSpaceDN w:val="0"/>
        <w:adjustRightInd w:val="0"/>
        <w:ind w:firstLine="709"/>
        <w:rPr>
          <w:b/>
          <w:bCs/>
        </w:rPr>
      </w:pPr>
      <w:r w:rsidRPr="002F5804">
        <w:rPr>
          <w:b/>
          <w:bCs/>
        </w:rPr>
        <w:t>Vzhľadom k tomu, že problematika návrhu zákona nie je upravená v práve Európskej únie, je bezpredmetné vyjadrovať sa k bodom 4., 5. a 6.</w:t>
      </w:r>
    </w:p>
    <w:p w:rsidR="00A113B6" w:rsidRPr="00A113B6" w:rsidP="002F5804">
      <w:pPr>
        <w:autoSpaceDE w:val="0"/>
        <w:autoSpaceDN w:val="0"/>
        <w:adjustRightInd w:val="0"/>
      </w:pPr>
    </w:p>
    <w:p w:rsidR="00A113B6" w:rsidRPr="00A113B6" w:rsidP="002F5804">
      <w:pPr>
        <w:jc w:val="center"/>
        <w:outlineLvl w:val="0"/>
        <w:rPr>
          <w:b/>
          <w:bCs/>
        </w:rPr>
      </w:pPr>
      <w:r w:rsidRPr="00A113B6">
        <w:rPr>
          <w:b/>
          <w:bCs/>
        </w:rPr>
        <w:t>Doložka vybraných vplyvov</w:t>
      </w:r>
    </w:p>
    <w:p w:rsidR="00A113B6" w:rsidRPr="00A113B6" w:rsidP="002F5804">
      <w:pPr>
        <w:tabs>
          <w:tab w:val="left" w:pos="360"/>
        </w:tabs>
        <w:autoSpaceDE w:val="0"/>
        <w:autoSpaceDN w:val="0"/>
        <w:adjustRightInd w:val="0"/>
        <w:rPr>
          <w:b/>
        </w:rPr>
      </w:pPr>
      <w:r w:rsidRPr="00A113B6">
        <w:rPr>
          <w:b/>
        </w:rPr>
        <w:t xml:space="preserve">A.1. Názov materiálu: </w:t>
      </w:r>
      <w:r w:rsidR="007D7392">
        <w:t>Ná</w:t>
      </w:r>
      <w:r w:rsidRPr="00091CD0" w:rsidR="007D7392">
        <w:t>vrh zákona</w:t>
      </w:r>
      <w:r w:rsidR="007D7392">
        <w:t xml:space="preserve">, </w:t>
      </w:r>
      <w:r w:rsidRPr="00E62AC3" w:rsidR="007D7392">
        <w:t>ktorým sa dopĺňa zákon Slovenskej národnej rady č. 330/1991 Zb. o pozemkových úpravách, usporiadaní pozemkového vlastníctva, pozemkových úradoch, pozemkovom fonde a o pozemkových spoločenstvách v znení neskorších predpisov a o doplnení niektorých zákonov</w:t>
      </w:r>
    </w:p>
    <w:p w:rsidR="00A113B6" w:rsidRPr="00A113B6" w:rsidP="002F5804">
      <w:pPr>
        <w:tabs>
          <w:tab w:val="left" w:pos="284"/>
        </w:tabs>
        <w:rPr>
          <w:b/>
        </w:rPr>
      </w:pPr>
      <w:r w:rsidRPr="00A113B6">
        <w:rPr>
          <w:b/>
        </w:rPr>
        <w:t>Termín začatia a ukončenia PPK:</w:t>
      </w:r>
    </w:p>
    <w:p w:rsidR="00A113B6" w:rsidRPr="00A113B6" w:rsidP="002F5804">
      <w:pPr>
        <w:tabs>
          <w:tab w:val="left" w:pos="284"/>
        </w:tabs>
        <w:rPr>
          <w:b/>
        </w:rPr>
      </w:pPr>
      <w:r w:rsidRPr="00A113B6">
        <w:rPr>
          <w:b/>
        </w:rPr>
        <w:t>A.2. Vplyvy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559"/>
        <w:gridCol w:w="1417"/>
        <w:gridCol w:w="1560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12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B6" w:rsidRPr="00A113B6" w:rsidP="002F5804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B6" w:rsidRPr="00A113B6" w:rsidP="002F5804">
            <w:pPr>
              <w:tabs>
                <w:tab w:val="left" w:pos="284"/>
              </w:tabs>
              <w:jc w:val="center"/>
            </w:pPr>
            <w:r w:rsidRPr="00A113B6">
              <w:t>Pozitívne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B6" w:rsidRPr="00A113B6" w:rsidP="002F5804">
            <w:pPr>
              <w:tabs>
                <w:tab w:val="left" w:pos="284"/>
              </w:tabs>
              <w:jc w:val="center"/>
            </w:pPr>
            <w:r w:rsidRPr="00A113B6">
              <w:t>Žiadne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B6" w:rsidRPr="00A113B6" w:rsidP="002F5804">
            <w:pPr>
              <w:tabs>
                <w:tab w:val="left" w:pos="284"/>
              </w:tabs>
              <w:jc w:val="center"/>
            </w:pPr>
            <w:r w:rsidRPr="00A113B6">
              <w:t>Negatívne</w:t>
            </w:r>
          </w:p>
        </w:tc>
      </w:tr>
      <w:tr>
        <w:tblPrEx>
          <w:tblW w:w="0" w:type="auto"/>
          <w:jc w:val="center"/>
          <w:tblLook w:val="04A0"/>
        </w:tblPrEx>
        <w:trPr>
          <w:trHeight w:val="26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B6" w:rsidRPr="00A113B6" w:rsidP="002F5804">
            <w:pPr>
              <w:tabs>
                <w:tab w:val="left" w:pos="284"/>
              </w:tabs>
            </w:pPr>
            <w:r w:rsidRPr="00A113B6">
              <w:t>1. Vplyvy na rozpočet verejnej správy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B6" w:rsidRPr="00A113B6" w:rsidP="002F5804">
            <w:pPr>
              <w:tabs>
                <w:tab w:val="left" w:pos="284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B6" w:rsidRPr="00A113B6" w:rsidP="002F5804">
            <w:pPr>
              <w:tabs>
                <w:tab w:val="left" w:pos="284"/>
              </w:tabs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B6" w:rsidRPr="00A113B6" w:rsidP="002F5804">
            <w:pPr>
              <w:tabs>
                <w:tab w:val="left" w:pos="284"/>
              </w:tabs>
              <w:jc w:val="center"/>
            </w:pPr>
          </w:p>
        </w:tc>
      </w:tr>
      <w:tr>
        <w:tblPrEx>
          <w:tblW w:w="0" w:type="auto"/>
          <w:jc w:val="center"/>
          <w:tblLook w:val="04A0"/>
        </w:tblPrEx>
        <w:trPr>
          <w:trHeight w:val="78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B6" w:rsidRPr="00A113B6" w:rsidP="002F5804">
            <w:pPr>
              <w:tabs>
                <w:tab w:val="left" w:pos="284"/>
              </w:tabs>
            </w:pPr>
            <w:r w:rsidRPr="00A113B6">
              <w:t>2. Vplyvy na podnikateľské prostredie – dochádza k</w:t>
            </w:r>
            <w:r w:rsidR="002F410B">
              <w:t> zvýšeniu regulačného zaťaženia</w:t>
            </w:r>
            <w:r w:rsidRPr="00A113B6">
              <w:t>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B6" w:rsidRPr="00A113B6" w:rsidP="002F5804">
            <w:pPr>
              <w:tabs>
                <w:tab w:val="left" w:pos="284"/>
              </w:tabs>
              <w:jc w:val="center"/>
            </w:pPr>
            <w:r w:rsidR="002F410B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B6" w:rsidRPr="00A113B6" w:rsidP="002F5804">
            <w:pPr>
              <w:tabs>
                <w:tab w:val="left" w:pos="284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B6" w:rsidRPr="00A113B6" w:rsidP="002F5804">
            <w:pPr>
              <w:tabs>
                <w:tab w:val="left" w:pos="284"/>
              </w:tabs>
              <w:jc w:val="center"/>
            </w:pPr>
          </w:p>
        </w:tc>
      </w:tr>
      <w:tr>
        <w:tblPrEx>
          <w:tblW w:w="0" w:type="auto"/>
          <w:jc w:val="center"/>
          <w:tblLook w:val="04A0"/>
        </w:tblPrEx>
        <w:trPr>
          <w:trHeight w:val="26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B6" w:rsidRPr="00A113B6" w:rsidP="002F5804">
            <w:pPr>
              <w:tabs>
                <w:tab w:val="left" w:pos="284"/>
              </w:tabs>
            </w:pPr>
            <w:r w:rsidRPr="00A113B6">
              <w:t>3. Sociálne vplyvy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B6" w:rsidRPr="00A113B6" w:rsidP="002F5804">
            <w:pPr>
              <w:tabs>
                <w:tab w:val="left" w:pos="284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B6" w:rsidRPr="00A113B6" w:rsidP="002F5804">
            <w:pPr>
              <w:tabs>
                <w:tab w:val="left" w:pos="284"/>
              </w:tabs>
              <w:jc w:val="center"/>
            </w:pPr>
            <w:r w:rsidRPr="00A113B6"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B6" w:rsidRPr="00A113B6" w:rsidP="002F5804">
            <w:pPr>
              <w:tabs>
                <w:tab w:val="left" w:pos="284"/>
              </w:tabs>
              <w:jc w:val="center"/>
            </w:pPr>
          </w:p>
        </w:tc>
      </w:tr>
      <w:tr>
        <w:tblPrEx>
          <w:tblW w:w="0" w:type="auto"/>
          <w:jc w:val="center"/>
          <w:tblLook w:val="04A0"/>
        </w:tblPrEx>
        <w:trPr>
          <w:trHeight w:val="26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B6" w:rsidRPr="00A113B6" w:rsidP="002F5804">
            <w:pPr>
              <w:tabs>
                <w:tab w:val="left" w:pos="284"/>
              </w:tabs>
            </w:pPr>
            <w:r w:rsidRPr="00A113B6">
              <w:t>- vplyvy na hospodárenie obyvateľstva,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B6" w:rsidRPr="00A113B6" w:rsidP="002F5804">
            <w:pPr>
              <w:tabs>
                <w:tab w:val="left" w:pos="284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B6" w:rsidRPr="00A113B6" w:rsidP="002F5804">
            <w:pPr>
              <w:tabs>
                <w:tab w:val="left" w:pos="284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B6" w:rsidRPr="00A113B6" w:rsidP="002F5804">
            <w:pPr>
              <w:tabs>
                <w:tab w:val="left" w:pos="284"/>
              </w:tabs>
              <w:jc w:val="center"/>
            </w:pPr>
          </w:p>
        </w:tc>
      </w:tr>
      <w:tr>
        <w:tblPrEx>
          <w:tblW w:w="0" w:type="auto"/>
          <w:jc w:val="center"/>
          <w:tblLook w:val="04A0"/>
        </w:tblPrEx>
        <w:trPr>
          <w:trHeight w:val="26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B6" w:rsidRPr="00A113B6" w:rsidP="002F5804">
            <w:pPr>
              <w:tabs>
                <w:tab w:val="left" w:pos="284"/>
              </w:tabs>
            </w:pPr>
            <w:r w:rsidRPr="00A113B6">
              <w:t>- vplyvy na sociálnu exklúziu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B6" w:rsidRPr="00A113B6" w:rsidP="002F5804">
            <w:pPr>
              <w:tabs>
                <w:tab w:val="left" w:pos="284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B6" w:rsidRPr="00A113B6" w:rsidP="002F5804">
            <w:pPr>
              <w:tabs>
                <w:tab w:val="left" w:pos="284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B6" w:rsidRPr="00A113B6" w:rsidP="002F5804">
            <w:pPr>
              <w:tabs>
                <w:tab w:val="left" w:pos="284"/>
              </w:tabs>
              <w:jc w:val="center"/>
            </w:pPr>
          </w:p>
        </w:tc>
      </w:tr>
      <w:tr>
        <w:tblPrEx>
          <w:tblW w:w="0" w:type="auto"/>
          <w:jc w:val="center"/>
          <w:tblLook w:val="04A0"/>
        </w:tblPrEx>
        <w:trPr>
          <w:trHeight w:val="5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B6" w:rsidRPr="00A113B6" w:rsidP="002F5804">
            <w:pPr>
              <w:tabs>
                <w:tab w:val="left" w:pos="284"/>
              </w:tabs>
            </w:pPr>
            <w:r w:rsidRPr="00A113B6">
              <w:t>- vplyvy na rovnosť príležitostí a rodovú rovnosť a vplyvy na zamestnanosť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B6" w:rsidRPr="00A113B6" w:rsidP="002F5804">
            <w:pPr>
              <w:tabs>
                <w:tab w:val="left" w:pos="284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B6" w:rsidRPr="00A113B6" w:rsidP="002F5804">
            <w:pPr>
              <w:tabs>
                <w:tab w:val="left" w:pos="284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B6" w:rsidRPr="00A113B6" w:rsidP="002F5804">
            <w:pPr>
              <w:tabs>
                <w:tab w:val="left" w:pos="284"/>
              </w:tabs>
              <w:jc w:val="center"/>
            </w:pPr>
          </w:p>
        </w:tc>
      </w:tr>
      <w:tr>
        <w:tblPrEx>
          <w:tblW w:w="0" w:type="auto"/>
          <w:jc w:val="center"/>
          <w:tblLook w:val="04A0"/>
        </w:tblPrEx>
        <w:trPr>
          <w:trHeight w:val="26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B6" w:rsidRPr="00A113B6" w:rsidP="002F5804">
            <w:pPr>
              <w:tabs>
                <w:tab w:val="left" w:pos="284"/>
              </w:tabs>
            </w:pPr>
            <w:r w:rsidRPr="00A113B6">
              <w:t>4. Vplyvy na životné prostredie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B6" w:rsidRPr="00A113B6" w:rsidP="002F5804">
            <w:pPr>
              <w:tabs>
                <w:tab w:val="left" w:pos="284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B6" w:rsidRPr="00A113B6" w:rsidP="002F5804">
            <w:pPr>
              <w:tabs>
                <w:tab w:val="left" w:pos="284"/>
              </w:tabs>
              <w:jc w:val="center"/>
            </w:pPr>
            <w:r w:rsidRPr="00A113B6"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B6" w:rsidRPr="00A113B6" w:rsidP="002F5804">
            <w:pPr>
              <w:tabs>
                <w:tab w:val="left" w:pos="284"/>
              </w:tabs>
              <w:jc w:val="center"/>
            </w:pPr>
          </w:p>
        </w:tc>
      </w:tr>
      <w:tr>
        <w:tblPrEx>
          <w:tblW w:w="0" w:type="auto"/>
          <w:jc w:val="center"/>
          <w:tblLook w:val="04A0"/>
        </w:tblPrEx>
        <w:trPr>
          <w:trHeight w:val="26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B6" w:rsidRPr="00A113B6" w:rsidP="002F5804">
            <w:pPr>
              <w:tabs>
                <w:tab w:val="left" w:pos="284"/>
              </w:tabs>
            </w:pPr>
            <w:r w:rsidRPr="00A113B6">
              <w:t>5. Vplyvy na informatizáciu spoločnosti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B6" w:rsidRPr="00A113B6" w:rsidP="002F5804">
            <w:pPr>
              <w:tabs>
                <w:tab w:val="left" w:pos="284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B6" w:rsidRPr="00A113B6" w:rsidP="002F5804">
            <w:pPr>
              <w:tabs>
                <w:tab w:val="left" w:pos="284"/>
              </w:tabs>
              <w:jc w:val="center"/>
            </w:pPr>
            <w:r w:rsidRPr="00A113B6"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B6" w:rsidRPr="00A113B6" w:rsidP="002F5804">
            <w:pPr>
              <w:tabs>
                <w:tab w:val="left" w:pos="284"/>
              </w:tabs>
              <w:jc w:val="center"/>
            </w:pPr>
          </w:p>
        </w:tc>
      </w:tr>
    </w:tbl>
    <w:p w:rsidR="00A113B6" w:rsidP="002F5804">
      <w:pPr>
        <w:tabs>
          <w:tab w:val="left" w:pos="284"/>
        </w:tabs>
        <w:rPr>
          <w:b/>
        </w:rPr>
      </w:pPr>
      <w:r w:rsidRPr="00A113B6">
        <w:rPr>
          <w:b/>
        </w:rPr>
        <w:t>A.3. Poznámky</w:t>
      </w:r>
    </w:p>
    <w:p w:rsidR="007D7392" w:rsidRPr="007D7392" w:rsidP="002F5804">
      <w:pPr>
        <w:tabs>
          <w:tab w:val="left" w:pos="284"/>
        </w:tabs>
      </w:pPr>
      <w:r w:rsidRPr="007D7392">
        <w:t>be</w:t>
      </w:r>
      <w:r>
        <w:t>zpredmetné</w:t>
      </w:r>
    </w:p>
    <w:p w:rsidR="00A113B6" w:rsidP="002F5804">
      <w:pPr>
        <w:tabs>
          <w:tab w:val="left" w:pos="284"/>
        </w:tabs>
        <w:rPr>
          <w:b/>
        </w:rPr>
      </w:pPr>
      <w:r w:rsidRPr="00A113B6">
        <w:rPr>
          <w:b/>
        </w:rPr>
        <w:t xml:space="preserve">A.4. Alternatívne riešenia </w:t>
      </w:r>
    </w:p>
    <w:p w:rsidR="007D7392" w:rsidRPr="007D7392" w:rsidP="002F5804">
      <w:pPr>
        <w:tabs>
          <w:tab w:val="left" w:pos="284"/>
        </w:tabs>
      </w:pPr>
      <w:r w:rsidRPr="007D7392">
        <w:t>be</w:t>
      </w:r>
      <w:r>
        <w:t>zpredmetné</w:t>
      </w:r>
    </w:p>
    <w:p w:rsidR="00A113B6" w:rsidP="002F5804">
      <w:pPr>
        <w:tabs>
          <w:tab w:val="left" w:pos="284"/>
        </w:tabs>
        <w:rPr>
          <w:b/>
        </w:rPr>
      </w:pPr>
      <w:r w:rsidRPr="00A113B6">
        <w:rPr>
          <w:b/>
        </w:rPr>
        <w:t>A.5. Stanovisko gestorov</w:t>
      </w:r>
    </w:p>
    <w:p w:rsidR="008E1CE0" w:rsidP="002F5804">
      <w:pPr>
        <w:tabs>
          <w:tab w:val="left" w:pos="284"/>
        </w:tabs>
        <w:jc w:val="left"/>
      </w:pPr>
      <w:r w:rsidR="007D7392">
        <w:t>b</w:t>
      </w:r>
      <w:r w:rsidRPr="007D7392" w:rsidR="007D7392">
        <w:t>e</w:t>
      </w:r>
      <w:r w:rsidR="007D7392">
        <w:t>zpredmetné</w:t>
      </w:r>
    </w:p>
    <w:p w:rsidR="00FD1E7E" w:rsidRPr="005115D8" w:rsidP="00DE2DF1">
      <w:pPr>
        <w:pStyle w:val="Heading1"/>
        <w:jc w:val="both"/>
      </w:pPr>
      <w:r w:rsidR="00047E21">
        <w:br w:type="page"/>
      </w:r>
      <w:r>
        <w:t>Osobitná časť</w:t>
      </w:r>
    </w:p>
    <w:p w:rsidR="00FD1E7E" w:rsidP="00FD1E7E">
      <w:pPr>
        <w:pStyle w:val="Heading3"/>
      </w:pPr>
      <w:r w:rsidRPr="0002290B">
        <w:t>K čl. I</w:t>
      </w:r>
      <w:r w:rsidRPr="005115D8">
        <w:t> </w:t>
      </w:r>
    </w:p>
    <w:p w:rsidR="00FD1E7E" w:rsidRPr="005115D8" w:rsidP="00E56128">
      <w:pPr>
        <w:pStyle w:val="Heading3"/>
      </w:pPr>
      <w:r>
        <w:t xml:space="preserve">K </w:t>
      </w:r>
      <w:r w:rsidRPr="005115D8">
        <w:t>bod</w:t>
      </w:r>
      <w:r>
        <w:t>u</w:t>
      </w:r>
      <w:r w:rsidRPr="005115D8">
        <w:t xml:space="preserve"> 1</w:t>
      </w:r>
    </w:p>
    <w:p w:rsidR="00FD1E7E" w:rsidRPr="005115D8" w:rsidP="008D1DDF">
      <w:pPr>
        <w:pStyle w:val="odsek"/>
      </w:pPr>
      <w:r w:rsidRPr="005115D8">
        <w:t>Pozemkové úpravy sa vykonávajú aj v prípadoch, ak nevychádzajú z podnetu správneho orgánu. Príkladom je vytvorenie nových tvarov pozemkov</w:t>
      </w:r>
      <w:r>
        <w:t>,</w:t>
      </w:r>
      <w:r w:rsidRPr="005115D8">
        <w:t xml:space="preserve"> kde sa uvažuje s iným využitím pozemkov, ako je poľnohospodárska výroba napr. individuálna bytová výstavba. Náklady si hradí združenie účastníkov alebo investor, ktorý má prioritný záujem o výstavbu. Obdobne to platí v prípadoch investičnej výstavby, keď sa z dôvodu realizácie zámeru naruší (obmedzí) hospodárenie na pozemkoch dotknutých výstavbou, investor ako vyvolanú investíciu hradí náklady s novým usporiadaním pozemkov. V týchto prípadoch zmluvy spojené s vykonaním pozemkových úprav hradia tieto subjekty.</w:t>
      </w:r>
      <w:r w:rsidR="008D1DDF">
        <w:t xml:space="preserve"> SPF bude nakupovať pôdu len do čiastky, ktorú bude mať vyčlenenú v štátnom rozpočte na nákup tejto pôdy tak, aby sa nevznikali </w:t>
      </w:r>
      <w:r w:rsidR="00D05AE6">
        <w:t>nároky na štátny rozpočet.</w:t>
      </w:r>
    </w:p>
    <w:p w:rsidR="00FD1E7E" w:rsidRPr="005115D8" w:rsidP="00E56128">
      <w:pPr>
        <w:pStyle w:val="Heading3"/>
      </w:pPr>
      <w:r w:rsidRPr="005115D8">
        <w:t>K bod</w:t>
      </w:r>
      <w:r>
        <w:t>u</w:t>
      </w:r>
      <w:r w:rsidRPr="005115D8">
        <w:t xml:space="preserve"> 2</w:t>
      </w:r>
    </w:p>
    <w:p w:rsidR="007464F4" w:rsidP="008D1DDF">
      <w:pPr>
        <w:pStyle w:val="odsek"/>
      </w:pPr>
      <w:r>
        <w:t>Do ustanovenia § 34 ods. 16 sa dopĺňajú slová, aby bolo jasné, že SPF si nekupuje pôdu pre svoju potrebu</w:t>
      </w:r>
      <w:r w:rsidR="00841259">
        <w:t>,</w:t>
      </w:r>
      <w:r>
        <w:t xml:space="preserve"> ale do vlastníctva Slovenskej republiky </w:t>
      </w:r>
      <w:r w:rsidR="00841259">
        <w:t xml:space="preserve">prioritne </w:t>
      </w:r>
      <w:r>
        <w:t>na riešenie reštitučných nárokov.</w:t>
      </w:r>
    </w:p>
    <w:p w:rsidR="007464F4" w:rsidRPr="007464F4" w:rsidP="007464F4">
      <w:pPr>
        <w:pStyle w:val="Heading3"/>
        <w:rPr>
          <w:lang w:val="sk-SK"/>
        </w:rPr>
      </w:pPr>
      <w:r>
        <w:rPr>
          <w:lang w:val="sk-SK"/>
        </w:rPr>
        <w:t>K bodu 3</w:t>
      </w:r>
    </w:p>
    <w:p w:rsidR="00FD1E7E" w:rsidRPr="005115D8" w:rsidP="008D1DDF">
      <w:pPr>
        <w:pStyle w:val="odsek"/>
      </w:pPr>
      <w:r w:rsidR="00841259">
        <w:t xml:space="preserve">Táto úprava § 34 a následne aj čl. II a III je zvolená z dôvodu naplnenia verejného záujmu na realizácii reštitučných nárokov, ktoré už niekoľko rokov riešia pozemkové úrady. </w:t>
      </w:r>
      <w:r w:rsidRPr="005115D8">
        <w:t>Z dôvodov nedostatku pozemkov na riešenie náhrad pozemkov v rámci riešenia reštitučných nárokov oprávnených osôb môže pozemkový fond kupovať poz</w:t>
      </w:r>
      <w:r w:rsidR="00E56128">
        <w:t xml:space="preserve">emky za cenu stanovenú </w:t>
      </w:r>
      <w:r w:rsidR="008D1DDF">
        <w:t>všeobecne záväzným právnym predpisom</w:t>
      </w:r>
      <w:r w:rsidR="00E56128">
        <w:t xml:space="preserve"> </w:t>
      </w:r>
      <w:r w:rsidRPr="005115D8">
        <w:t>v rámci realizácii záložného práva bankou</w:t>
      </w:r>
      <w:r w:rsidR="008D1DDF">
        <w:t xml:space="preserve"> so 100 % majetkovou účasťou štátu</w:t>
      </w:r>
      <w:r w:rsidRPr="005115D8">
        <w:t>. Predkupné právo podľa osobitného predpisu sa na tieto prevody nevzťahuje.</w:t>
      </w:r>
      <w:r w:rsidR="008D1DDF">
        <w:t xml:space="preserve"> Ide však len o dočasné obmedzenie predkupného práva ostatných spoluvlastníkov podielov na pozemkoch, nakoľko toto im po vydaní osobe v reštitúcii ostáva zachované.</w:t>
      </w:r>
      <w:r w:rsidR="00841259">
        <w:t xml:space="preserve"> Zapisovanie takýchto pozemkov do listu vlastníctva bude sprevádzané vyhlásením SPF o spôsobe nadobudnutia takéhoto pozemku. Zároveň sa týmto spôsobom umožní SPF, aby získal a následne vydal aj </w:t>
      </w:r>
      <w:r w:rsidR="000C499E">
        <w:t xml:space="preserve">spoluvlastnícke </w:t>
      </w:r>
      <w:r w:rsidR="00841259">
        <w:t>podiel</w:t>
      </w:r>
      <w:r w:rsidR="000C499E">
        <w:t>y, ktoré sú označené v znení zákona len ako pozemky bez špecifikácie o akú čiastku k celkovej výmere ide.</w:t>
      </w:r>
      <w:r w:rsidR="00C933F4">
        <w:t xml:space="preserve"> Ďalej sa upravuje možnosť predaja pôdy za presne určených kritérií ďalším osobám a to v poradí uvedenom v zákone. Preukazovanie pôvodu majetku pri predkladaní návrhu na vklad do katastra sa bude uskutočňovať na základe vyhlásenia pozemkového fondu o spôsobe nadobudnutia pozemku.</w:t>
      </w:r>
    </w:p>
    <w:p w:rsidR="00FD1E7E" w:rsidRPr="005115D8" w:rsidP="00E56128">
      <w:pPr>
        <w:pStyle w:val="Heading3"/>
      </w:pPr>
      <w:r w:rsidRPr="005115D8">
        <w:t>K  bod</w:t>
      </w:r>
      <w:r>
        <w:t>u</w:t>
      </w:r>
      <w:r w:rsidRPr="005115D8">
        <w:t xml:space="preserve"> </w:t>
      </w:r>
      <w:r w:rsidR="008D1DDF">
        <w:rPr>
          <w:lang w:val="sk-SK"/>
        </w:rPr>
        <w:t>4</w:t>
      </w:r>
    </w:p>
    <w:p w:rsidR="00FD1E7E" w:rsidRPr="005115D8" w:rsidP="008D1DDF">
      <w:pPr>
        <w:pStyle w:val="odsek"/>
      </w:pPr>
      <w:r w:rsidRPr="005115D8">
        <w:t>Pozemky určené pre spoločné zariadenia a opatrenia, ktoré nadobudol schválením vykonania projektu pozemkových úprav pred 1. januárom 2008 štát a sú v správe Slovenského pozemkového fondu prejdú do vlastníctva obce na základe rozhodnutia obvodného pozemkového úradu alebo odboru prvostupňového rozhodovania obvodného pozemkového úradu v sídle kraja. Ak ide o špecifické spoločné zariadenia a opatrenia, obvodný pozemkový úrad alebo odbor prvostupňového rozhodovania obvodného pozemkového úradu v sídle kraja určí v rozhodnutí iného vlastníka pozemku.</w:t>
      </w:r>
    </w:p>
    <w:p w:rsidR="00FD1E7E" w:rsidRPr="0002290B" w:rsidP="00E56128">
      <w:pPr>
        <w:pStyle w:val="Heading3"/>
      </w:pPr>
      <w:r w:rsidRPr="0002290B">
        <w:t xml:space="preserve">K čl. II </w:t>
      </w:r>
      <w:r>
        <w:t>a III</w:t>
      </w:r>
    </w:p>
    <w:p w:rsidR="00FD1E7E" w:rsidP="00E56128">
      <w:pPr>
        <w:ind w:firstLine="709"/>
      </w:pPr>
      <w:r w:rsidRPr="005115D8">
        <w:t xml:space="preserve">Pri prevode náhradných pozemkov sa nepoužijú ustanovenia Občianskeho zákonníka </w:t>
      </w:r>
      <w:r>
        <w:t>upravujúce predkupné právo, nakoľko v </w:t>
      </w:r>
      <w:r w:rsidRPr="005115D8">
        <w:t>prípade používania ustanovenia § 140 Občianskeho poriadku nie je možné realizovať prevody spoluvlastníckych podielov.</w:t>
      </w:r>
      <w:r w:rsidRPr="008D1DDF" w:rsidR="008D1DDF">
        <w:t xml:space="preserve"> </w:t>
      </w:r>
      <w:r w:rsidR="008D1DDF">
        <w:t>Ide však len o dočasné obmedzenie predkupného práva ostatných spoluvlastníkov podielov na pozemkoch, nakoľko toto im po vydaní osobe v reštitúcii ostáva zachované.</w:t>
      </w:r>
    </w:p>
    <w:p w:rsidR="00FD1E7E" w:rsidRPr="0002290B" w:rsidP="00E56128">
      <w:pPr>
        <w:pStyle w:val="Heading3"/>
      </w:pPr>
      <w:r w:rsidRPr="0002290B">
        <w:t xml:space="preserve">K čl. </w:t>
      </w:r>
      <w:r>
        <w:t>I</w:t>
      </w:r>
      <w:r w:rsidRPr="0002290B">
        <w:t>V</w:t>
      </w:r>
    </w:p>
    <w:p w:rsidR="00FD1E7E" w:rsidP="008C72F6">
      <w:pPr>
        <w:ind w:firstLine="709"/>
      </w:pPr>
      <w:r>
        <w:t>Účinnosť zákona sa navrhuje 1. júla 2013.</w:t>
      </w:r>
    </w:p>
    <w:p w:rsidR="00047E21" w:rsidP="00047E21"/>
    <w:p w:rsidR="00047E21" w:rsidP="00047E21"/>
    <w:p w:rsidR="00047E21" w:rsidRPr="009B3B04" w:rsidP="00047E21">
      <w:r>
        <w:t>Bratislava 20. februára 2013</w:t>
      </w:r>
    </w:p>
    <w:p w:rsidR="00047E21" w:rsidP="00047E21"/>
    <w:p w:rsidR="00047E21" w:rsidP="00047E21"/>
    <w:p w:rsidR="00047E21" w:rsidP="00047E21"/>
    <w:p w:rsidR="00047E21" w:rsidP="00047E21"/>
    <w:p w:rsidR="00047E21" w:rsidRPr="00CB10DB" w:rsidP="00047E21">
      <w:pPr>
        <w:jc w:val="center"/>
      </w:pPr>
      <w:r>
        <w:rPr>
          <w:bCs/>
        </w:rPr>
        <w:t>Robert Fico</w:t>
      </w:r>
      <w:r w:rsidR="009A179A">
        <w:rPr>
          <w:bCs/>
        </w:rPr>
        <w:t xml:space="preserve">, v. r. </w:t>
      </w:r>
    </w:p>
    <w:p w:rsidR="00047E21" w:rsidRPr="00CB10DB" w:rsidP="00047E21">
      <w:pPr>
        <w:jc w:val="center"/>
      </w:pPr>
      <w:r>
        <w:t xml:space="preserve">predseda </w:t>
      </w:r>
      <w:r w:rsidRPr="00CB10DB">
        <w:t>vlády</w:t>
      </w:r>
    </w:p>
    <w:p w:rsidR="00047E21" w:rsidRPr="00CB10DB" w:rsidP="00047E21">
      <w:pPr>
        <w:jc w:val="center"/>
      </w:pPr>
      <w:r w:rsidRPr="00CB10DB">
        <w:t>Slovenskej republiky</w:t>
      </w:r>
    </w:p>
    <w:p w:rsidR="00047E21" w:rsidP="00047E21"/>
    <w:p w:rsidR="00047E21" w:rsidP="00047E21"/>
    <w:p w:rsidR="00DE2DF1" w:rsidP="00047E21"/>
    <w:p w:rsidR="00DE2DF1" w:rsidP="00047E21"/>
    <w:p w:rsidR="00DE2DF1" w:rsidP="00047E21"/>
    <w:p w:rsidR="00DE2DF1" w:rsidP="00047E21"/>
    <w:p w:rsidR="00047E21" w:rsidRPr="00CB10DB" w:rsidP="00047E21"/>
    <w:p w:rsidR="00047E21" w:rsidRPr="00CB10DB" w:rsidP="00047E21"/>
    <w:p w:rsidR="00047E21" w:rsidRPr="00CB10DB" w:rsidP="00047E21">
      <w:pPr>
        <w:jc w:val="center"/>
      </w:pPr>
      <w:r>
        <w:rPr>
          <w:bCs/>
        </w:rPr>
        <w:t>Ľubomír Jahnátek</w:t>
      </w:r>
      <w:r w:rsidR="009A179A">
        <w:rPr>
          <w:bCs/>
        </w:rPr>
        <w:t>, v. r.</w:t>
      </w:r>
    </w:p>
    <w:p w:rsidR="00047E21" w:rsidP="00047E21">
      <w:pPr>
        <w:jc w:val="center"/>
      </w:pPr>
      <w:r w:rsidRPr="00CB10DB">
        <w:t xml:space="preserve">minister </w:t>
      </w:r>
      <w:r>
        <w:t xml:space="preserve">pôdohospodárstva </w:t>
      </w:r>
    </w:p>
    <w:p w:rsidR="00047E21" w:rsidRPr="00CE6BB4" w:rsidP="00047E21">
      <w:pPr>
        <w:jc w:val="center"/>
        <w:rPr>
          <w:rStyle w:val="PlaceholderText"/>
          <w:b/>
        </w:rPr>
      </w:pPr>
      <w:r>
        <w:t>a rozvoja vidieka Slovenskej republiky</w:t>
      </w:r>
    </w:p>
    <w:p w:rsidR="00047E21" w:rsidRPr="00A113B6" w:rsidP="00047E21"/>
    <w:sectPr w:rsidSect="007B461F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128" w:rsidP="00E56128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9A179A">
      <w:rPr>
        <w:noProof/>
      </w:rPr>
      <w:t>4</w:t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A4E"/>
    <w:multiLevelType w:val="hybridMultilevel"/>
    <w:tmpl w:val="E8465C08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FF554A4"/>
    <w:multiLevelType w:val="hybridMultilevel"/>
    <w:tmpl w:val="B9D4859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92445F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EAF6D70"/>
    <w:multiLevelType w:val="hybridMultilevel"/>
    <w:tmpl w:val="917E1D04"/>
    <w:lvl w:ilvl="0">
      <w:start w:val="1"/>
      <w:numFmt w:val="lowerLetter"/>
      <w:pStyle w:val="adda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C5FEE"/>
    <w:multiLevelType w:val="hybridMultilevel"/>
    <w:tmpl w:val="0470BA3C"/>
    <w:lvl w:ilvl="0">
      <w:start w:val="1"/>
      <w:numFmt w:val="decimal"/>
      <w:pStyle w:val="a"/>
      <w:lvlText w:val="§ 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9094F"/>
    <w:multiLevelType w:val="hybridMultilevel"/>
    <w:tmpl w:val="94D66F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9E43CA"/>
    <w:multiLevelType w:val="hybridMultilevel"/>
    <w:tmpl w:val="F60604C8"/>
    <w:lvl w:ilvl="0">
      <w:start w:val="0"/>
      <w:numFmt w:val="bullet"/>
      <w:lvlText w:val="-"/>
      <w:lvlJc w:val="left"/>
      <w:pPr>
        <w:ind w:left="1077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CE0"/>
    <w:rsid w:val="0002290B"/>
    <w:rsid w:val="00047E21"/>
    <w:rsid w:val="00091CD0"/>
    <w:rsid w:val="000C499E"/>
    <w:rsid w:val="0015608B"/>
    <w:rsid w:val="0016307E"/>
    <w:rsid w:val="001A65E4"/>
    <w:rsid w:val="001B01DB"/>
    <w:rsid w:val="00264EBA"/>
    <w:rsid w:val="002F410B"/>
    <w:rsid w:val="002F5804"/>
    <w:rsid w:val="003710D5"/>
    <w:rsid w:val="003B39A4"/>
    <w:rsid w:val="004636E6"/>
    <w:rsid w:val="00496B01"/>
    <w:rsid w:val="005115D8"/>
    <w:rsid w:val="007464F4"/>
    <w:rsid w:val="00762BB8"/>
    <w:rsid w:val="007B461F"/>
    <w:rsid w:val="007D7392"/>
    <w:rsid w:val="00833993"/>
    <w:rsid w:val="00841259"/>
    <w:rsid w:val="008C72F6"/>
    <w:rsid w:val="008D1DDF"/>
    <w:rsid w:val="008E1CE0"/>
    <w:rsid w:val="00905565"/>
    <w:rsid w:val="009A179A"/>
    <w:rsid w:val="009B3B04"/>
    <w:rsid w:val="00A113B6"/>
    <w:rsid w:val="00A25624"/>
    <w:rsid w:val="00A42916"/>
    <w:rsid w:val="00B94DFD"/>
    <w:rsid w:val="00C73BA8"/>
    <w:rsid w:val="00C933F4"/>
    <w:rsid w:val="00CB10DB"/>
    <w:rsid w:val="00CE6BB4"/>
    <w:rsid w:val="00D05AE6"/>
    <w:rsid w:val="00DE2DF1"/>
    <w:rsid w:val="00E56128"/>
    <w:rsid w:val="00E62AC3"/>
    <w:rsid w:val="00F04538"/>
    <w:rsid w:val="00F23DB6"/>
    <w:rsid w:val="00F2740E"/>
    <w:rsid w:val="00F2787B"/>
    <w:rsid w:val="00FA38AD"/>
    <w:rsid w:val="00FC33AA"/>
    <w:rsid w:val="00FD1E7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804"/>
    <w:pPr>
      <w:keepNext/>
      <w:jc w:val="both"/>
    </w:pPr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2F5804"/>
    <w:pPr>
      <w:keepLines/>
      <w:spacing w:before="360" w:after="120"/>
      <w:jc w:val="center"/>
      <w:outlineLvl w:val="0"/>
    </w:pPr>
    <w:rPr>
      <w:rFonts w:cs="Arial"/>
      <w:b/>
      <w:bCs/>
      <w:szCs w:val="28"/>
      <w:lang w:val="x-none" w:eastAsia="x-none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F5804"/>
    <w:pPr>
      <w:keepLines/>
      <w:spacing w:before="240" w:after="120"/>
      <w:jc w:val="center"/>
      <w:outlineLvl w:val="1"/>
    </w:pPr>
    <w:rPr>
      <w:rFonts w:cs="Arial"/>
      <w:b/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2F5804"/>
    <w:pPr>
      <w:keepLines/>
      <w:spacing w:before="120" w:after="120"/>
      <w:outlineLvl w:val="2"/>
    </w:pPr>
    <w:rPr>
      <w:rFonts w:cs="Arial"/>
      <w:b/>
      <w:bCs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dsekChar">
    <w:name w:val="odsek Char"/>
    <w:link w:val="odsek"/>
    <w:locked/>
    <w:rsid w:val="00A113B6"/>
    <w:rPr>
      <w:sz w:val="24"/>
      <w:szCs w:val="24"/>
    </w:rPr>
  </w:style>
  <w:style w:type="paragraph" w:customStyle="1" w:styleId="odsek">
    <w:name w:val="odsek"/>
    <w:basedOn w:val="Normal"/>
    <w:link w:val="odsekChar"/>
    <w:qFormat/>
    <w:rsid w:val="002F5804"/>
    <w:pPr>
      <w:ind w:firstLine="709"/>
    </w:pPr>
  </w:style>
  <w:style w:type="paragraph" w:customStyle="1" w:styleId="adda">
    <w:name w:val="adda"/>
    <w:basedOn w:val="Normal"/>
    <w:qFormat/>
    <w:rsid w:val="002F5804"/>
    <w:pPr>
      <w:numPr>
        <w:ilvl w:val="0"/>
        <w:numId w:val="5"/>
      </w:numPr>
      <w:spacing w:before="60" w:after="60"/>
    </w:pPr>
  </w:style>
  <w:style w:type="character" w:customStyle="1" w:styleId="Nadpis1Char">
    <w:name w:val="Nadpis 1 Char"/>
    <w:link w:val="Heading1"/>
    <w:uiPriority w:val="9"/>
    <w:rsid w:val="002F5804"/>
    <w:rPr>
      <w:rFonts w:cs="Arial"/>
      <w:b/>
      <w:bCs/>
      <w:sz w:val="24"/>
      <w:szCs w:val="28"/>
      <w:lang w:val="x-none" w:eastAsia="x-none"/>
    </w:rPr>
  </w:style>
  <w:style w:type="paragraph" w:customStyle="1" w:styleId="a">
    <w:name w:val="§"/>
    <w:basedOn w:val="Normal"/>
    <w:qFormat/>
    <w:rsid w:val="002F5804"/>
    <w:pPr>
      <w:numPr>
        <w:ilvl w:val="0"/>
        <w:numId w:val="4"/>
      </w:numPr>
      <w:tabs>
        <w:tab w:val="left" w:pos="425"/>
      </w:tabs>
      <w:spacing w:before="240" w:after="120"/>
      <w:jc w:val="center"/>
    </w:pPr>
  </w:style>
  <w:style w:type="paragraph" w:customStyle="1" w:styleId="odsek1">
    <w:name w:val="odsek1"/>
    <w:basedOn w:val="odsek"/>
    <w:qFormat/>
    <w:rsid w:val="002F5804"/>
    <w:pPr>
      <w:numPr>
        <w:ilvl w:val="0"/>
        <w:numId w:val="6"/>
      </w:numPr>
      <w:spacing w:before="120" w:after="120"/>
    </w:pPr>
  </w:style>
  <w:style w:type="paragraph" w:customStyle="1" w:styleId="Poznmkapodiarou">
    <w:name w:val="Poznámka pod čiarou"/>
    <w:basedOn w:val="FootnoteText"/>
    <w:qFormat/>
    <w:rsid w:val="002F5804"/>
    <w:rPr>
      <w:szCs w:val="24"/>
    </w:rPr>
  </w:style>
  <w:style w:type="paragraph" w:styleId="FootnoteText">
    <w:name w:val="footnote text"/>
    <w:basedOn w:val="Normal"/>
    <w:link w:val="TextpoznmkypodiarouChar"/>
    <w:semiHidden/>
    <w:unhideWhenUsed/>
    <w:qFormat/>
    <w:rsid w:val="002F5804"/>
    <w:pPr>
      <w:ind w:left="227" w:hanging="227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link w:val="FootnoteText"/>
    <w:semiHidden/>
    <w:rsid w:val="002F5804"/>
    <w:rPr>
      <w:lang w:val="x-none" w:eastAsia="x-none"/>
    </w:rPr>
  </w:style>
  <w:style w:type="character" w:customStyle="1" w:styleId="Nadpis2Char">
    <w:name w:val="Nadpis 2 Char"/>
    <w:link w:val="Heading2"/>
    <w:uiPriority w:val="9"/>
    <w:semiHidden/>
    <w:rsid w:val="002F5804"/>
    <w:rPr>
      <w:rFonts w:cs="Arial"/>
      <w:b/>
      <w:bCs/>
      <w:sz w:val="24"/>
      <w:szCs w:val="26"/>
      <w:lang w:val="x-none" w:eastAsia="x-none"/>
    </w:rPr>
  </w:style>
  <w:style w:type="character" w:customStyle="1" w:styleId="Nadpis3Char">
    <w:name w:val="Nadpis 3 Char"/>
    <w:link w:val="Heading3"/>
    <w:uiPriority w:val="9"/>
    <w:rsid w:val="002F5804"/>
    <w:rPr>
      <w:rFonts w:cs="Arial"/>
      <w:b/>
      <w:bCs/>
      <w:sz w:val="24"/>
      <w:lang w:val="x-none" w:eastAsia="x-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5804"/>
    <w:pPr>
      <w:spacing w:before="480" w:after="0"/>
      <w:jc w:val="both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E5612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uiPriority w:val="99"/>
    <w:rsid w:val="00E56128"/>
    <w:rPr>
      <w:sz w:val="24"/>
      <w:szCs w:val="24"/>
    </w:rPr>
  </w:style>
  <w:style w:type="paragraph" w:styleId="Footer">
    <w:name w:val="footer"/>
    <w:basedOn w:val="Normal"/>
    <w:link w:val="PtaChar"/>
    <w:uiPriority w:val="99"/>
    <w:unhideWhenUsed/>
    <w:rsid w:val="00E5612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rsid w:val="00E56128"/>
    <w:rPr>
      <w:sz w:val="24"/>
      <w:szCs w:val="24"/>
    </w:rPr>
  </w:style>
  <w:style w:type="character" w:styleId="PlaceholderText">
    <w:name w:val="Placeholder Text"/>
    <w:uiPriority w:val="99"/>
    <w:semiHidden/>
    <w:rsid w:val="00047E21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pavol.matejka</dc:creator>
  <cp:lastModifiedBy>Benová Timea</cp:lastModifiedBy>
  <cp:revision>13</cp:revision>
  <cp:lastPrinted>2013-02-20T11:16:00Z</cp:lastPrinted>
  <dcterms:created xsi:type="dcterms:W3CDTF">2013-02-05T08:23:00Z</dcterms:created>
  <dcterms:modified xsi:type="dcterms:W3CDTF">2013-02-20T12:03:00Z</dcterms:modified>
</cp:coreProperties>
</file>