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3BD2" w:rsidRPr="005E53F3" w:rsidP="00143BD2">
      <w:pPr>
        <w:ind w:right="-108"/>
        <w:jc w:val="center"/>
        <w:rPr>
          <w:rFonts w:ascii="Times New Roman" w:hAnsi="Times New Roman" w:cs="Times New Roman"/>
          <w:b/>
          <w:sz w:val="28"/>
          <w:szCs w:val="24"/>
          <w:lang w:eastAsia="cs-CZ"/>
        </w:rPr>
      </w:pPr>
      <w:r w:rsidRPr="005E53F3">
        <w:rPr>
          <w:rFonts w:ascii="Times New Roman" w:hAnsi="Times New Roman" w:cs="Times New Roman"/>
          <w:b/>
          <w:sz w:val="28"/>
          <w:szCs w:val="24"/>
          <w:lang w:eastAsia="cs-CZ"/>
        </w:rPr>
        <w:t>Doložka vybraných vplyvov</w:t>
      </w:r>
    </w:p>
    <w:p w:rsidR="00143BD2" w:rsidRPr="005E53F3" w:rsidP="00143BD2">
      <w:pPr>
        <w:rPr>
          <w:rFonts w:ascii="Times New Roman" w:hAnsi="Times New Roman" w:cs="Times New Roman"/>
          <w:b/>
          <w:sz w:val="24"/>
          <w:szCs w:val="24"/>
          <w:lang w:eastAsia="cs-CZ"/>
        </w:rPr>
      </w:pPr>
    </w:p>
    <w:p w:rsidR="00143BD2" w:rsidRPr="005E53F3" w:rsidP="00143BD2">
      <w:pPr>
        <w:rPr>
          <w:rFonts w:ascii="Times New Roman" w:hAnsi="Times New Roman" w:cs="Times New Roman"/>
          <w:b/>
          <w:sz w:val="24"/>
          <w:szCs w:val="24"/>
          <w:lang w:eastAsia="cs-CZ"/>
        </w:rPr>
      </w:pPr>
    </w:p>
    <w:p w:rsidR="00143BD2" w:rsidRPr="00D041A3" w:rsidP="00143BD2">
      <w:pPr>
        <w:jc w:val="both"/>
        <w:rPr>
          <w:rFonts w:ascii="Times New Roman" w:hAnsi="Times New Roman" w:cs="Times New Roman"/>
          <w:sz w:val="24"/>
          <w:szCs w:val="24"/>
          <w:lang w:eastAsia="cs-CZ"/>
        </w:rPr>
      </w:pPr>
      <w:r w:rsidRPr="005E53F3">
        <w:rPr>
          <w:rFonts w:ascii="Times New Roman" w:hAnsi="Times New Roman" w:cs="Times New Roman"/>
          <w:b/>
          <w:sz w:val="24"/>
          <w:szCs w:val="24"/>
          <w:lang w:eastAsia="cs-CZ"/>
        </w:rPr>
        <w:t xml:space="preserve">A.1. Názov materiálu: </w:t>
      </w:r>
      <w:r w:rsidRPr="00D041A3" w:rsidR="00D041A3">
        <w:rPr>
          <w:rFonts w:ascii="Times New Roman" w:hAnsi="Times New Roman" w:cs="Times New Roman"/>
          <w:sz w:val="24"/>
          <w:szCs w:val="24"/>
        </w:rPr>
        <w:t xml:space="preserve">Návrh </w:t>
      </w:r>
      <w:r w:rsidRPr="00D041A3" w:rsidR="00D041A3">
        <w:rPr>
          <w:rFonts w:ascii="Times New Roman" w:hAnsi="Times New Roman" w:cs="Times New Roman"/>
          <w:sz w:val="24"/>
          <w:szCs w:val="24"/>
        </w:rPr>
        <w:t>na pr</w:t>
      </w:r>
      <w:r w:rsidR="00CC0722">
        <w:rPr>
          <w:rFonts w:ascii="Times New Roman" w:hAnsi="Times New Roman" w:cs="Times New Roman"/>
          <w:sz w:val="24"/>
          <w:szCs w:val="24"/>
        </w:rPr>
        <w:t>ístup</w:t>
      </w:r>
      <w:r w:rsidRPr="00D041A3" w:rsidR="00D041A3">
        <w:rPr>
          <w:rFonts w:ascii="Times New Roman" w:hAnsi="Times New Roman" w:cs="Times New Roman"/>
          <w:sz w:val="24"/>
          <w:szCs w:val="24"/>
        </w:rPr>
        <w:t xml:space="preserve"> Slovenskej republiky k Medzinárodnému dohovoru o občianskoprávnej zodpovednosti za škody vzniknuté v dôsledku znečistenia olejom </w:t>
      </w:r>
      <w:r w:rsidR="00CC0722">
        <w:rPr>
          <w:rFonts w:ascii="Times New Roman" w:hAnsi="Times New Roman" w:cs="Times New Roman"/>
          <w:sz w:val="24"/>
          <w:szCs w:val="24"/>
        </w:rPr>
        <w:br/>
      </w:r>
      <w:r w:rsidRPr="00D041A3" w:rsidR="00D041A3">
        <w:rPr>
          <w:rFonts w:ascii="Times New Roman" w:hAnsi="Times New Roman" w:cs="Times New Roman"/>
          <w:sz w:val="24"/>
          <w:szCs w:val="24"/>
        </w:rPr>
        <w:t>zo zásobníkov z roku 2001 (BUNKERS 2001)</w:t>
      </w:r>
      <w:r w:rsidRPr="00D041A3">
        <w:rPr>
          <w:rFonts w:ascii="Times New Roman" w:hAnsi="Times New Roman" w:cs="Times New Roman"/>
          <w:vanish/>
          <w:sz w:val="24"/>
          <w:szCs w:val="24"/>
        </w:rPr>
        <w:t xml:space="preserve">Page Content Obsah stránky </w:t>
      </w:r>
    </w:p>
    <w:p w:rsidR="00143BD2" w:rsidRPr="005E53F3" w:rsidP="00143BD2">
      <w:pPr>
        <w:ind w:right="43"/>
        <w:jc w:val="both"/>
        <w:rPr>
          <w:rFonts w:ascii="Times New Roman" w:hAnsi="Times New Roman" w:cs="Times New Roman"/>
          <w:sz w:val="24"/>
          <w:szCs w:val="24"/>
        </w:rPr>
      </w:pPr>
      <w:r w:rsidRPr="005E53F3">
        <w:rPr>
          <w:rFonts w:ascii="Times New Roman" w:hAnsi="Times New Roman" w:cs="Times New Roman"/>
          <w:vanish/>
          <w:sz w:val="24"/>
          <w:szCs w:val="24"/>
        </w:rPr>
        <w:t>​The Convention was adopted to ensure that adequate, prompt, and effective compensation is available to persons who suffer damage caused by spills of oil, when carried as fuel in ships' bunkers.</w:t>
      </w:r>
    </w:p>
    <w:p w:rsidR="00143BD2" w:rsidRPr="005E53F3" w:rsidP="00143BD2">
      <w:pPr>
        <w:jc w:val="both"/>
        <w:rPr>
          <w:rFonts w:ascii="Times New Roman" w:hAnsi="Times New Roman" w:cs="Times New Roman"/>
          <w:sz w:val="24"/>
          <w:szCs w:val="24"/>
          <w:lang w:eastAsia="cs-CZ"/>
        </w:rPr>
      </w:pPr>
    </w:p>
    <w:p w:rsidR="00143BD2" w:rsidRPr="005E53F3" w:rsidP="00143BD2">
      <w:pPr>
        <w:rPr>
          <w:rFonts w:ascii="Times New Roman" w:hAnsi="Times New Roman" w:cs="Times New Roman"/>
          <w:sz w:val="24"/>
          <w:szCs w:val="24"/>
          <w:lang w:eastAsia="cs-CZ"/>
        </w:rPr>
      </w:pPr>
      <w:r w:rsidRPr="005E53F3">
        <w:rPr>
          <w:rFonts w:ascii="Times New Roman" w:hAnsi="Times New Roman" w:cs="Times New Roman"/>
          <w:b/>
          <w:sz w:val="24"/>
          <w:szCs w:val="24"/>
          <w:lang w:eastAsia="cs-CZ"/>
        </w:rPr>
        <w:t xml:space="preserve">        Termín začatia a ukončenia PPK: </w:t>
      </w:r>
      <w:r w:rsidR="00D041A3">
        <w:rPr>
          <w:rFonts w:ascii="Times New Roman" w:hAnsi="Times New Roman" w:cs="Times New Roman"/>
          <w:b/>
          <w:sz w:val="24"/>
          <w:szCs w:val="24"/>
          <w:lang w:eastAsia="cs-CZ"/>
        </w:rPr>
        <w:t>11. – 14. júna 2012</w:t>
      </w:r>
    </w:p>
    <w:p w:rsidR="00143BD2" w:rsidRPr="005E53F3" w:rsidP="00143BD2">
      <w:pPr>
        <w:rPr>
          <w:rFonts w:ascii="Times New Roman" w:hAnsi="Times New Roman" w:cs="Times New Roman"/>
          <w:b/>
          <w:sz w:val="24"/>
          <w:szCs w:val="24"/>
          <w:lang w:eastAsia="cs-CZ"/>
        </w:rPr>
      </w:pPr>
    </w:p>
    <w:p w:rsidR="00143BD2" w:rsidRPr="005E53F3" w:rsidP="00143BD2">
      <w:pPr>
        <w:rPr>
          <w:rFonts w:ascii="Times New Roman" w:hAnsi="Times New Roman" w:cs="Times New Roman"/>
          <w:b/>
          <w:sz w:val="24"/>
          <w:szCs w:val="24"/>
          <w:lang w:eastAsia="cs-CZ"/>
        </w:rPr>
      </w:pPr>
      <w:r w:rsidRPr="005E53F3">
        <w:rPr>
          <w:rFonts w:ascii="Times New Roman" w:hAnsi="Times New Roman" w:cs="Times New Roman"/>
          <w:b/>
          <w:sz w:val="24"/>
          <w:szCs w:val="24"/>
          <w:lang w:eastAsia="cs-CZ"/>
        </w:rPr>
        <w:t>A.2. Vplyvy:</w:t>
      </w:r>
    </w:p>
    <w:p w:rsidR="00143BD2" w:rsidRPr="005E53F3" w:rsidP="00143BD2">
      <w:pPr>
        <w:rPr>
          <w:rFonts w:ascii="Times New Roman" w:hAnsi="Times New Roman" w:cs="Times New Roman"/>
          <w:sz w:val="24"/>
          <w:szCs w:val="24"/>
          <w:lang w:eastAsia="cs-CZ"/>
        </w:rPr>
      </w:pPr>
    </w:p>
    <w:tbl>
      <w:tblPr>
        <w:tblStyle w:val="TableNormal"/>
        <w:tblW w:w="75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rPr>
                <w:rFonts w:ascii="Times New Roman" w:hAnsi="Times New Roman" w:cs="Times New Roman"/>
                <w:sz w:val="24"/>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Pozitívne</w:t>
            </w:r>
            <w:r w:rsidRPr="005E53F3">
              <w:rPr>
                <w:rFonts w:ascii="Times New Roman" w:hAnsi="Times New Roman" w:cs="Times New Roman"/>
                <w:sz w:val="24"/>
                <w:szCs w:val="24"/>
                <w:vertAlign w:val="superscript"/>
                <w:lang w:eastAsia="cs-CZ"/>
              </w:rPr>
              <w:t>*</w:t>
            </w:r>
            <w:r w:rsidRPr="005E53F3">
              <w:rPr>
                <w:rFonts w:ascii="Times New Roman" w:hAnsi="Times New Roman" w:cs="Times New Roman"/>
                <w:sz w:val="24"/>
                <w:szCs w:val="24"/>
                <w:lang w:eastAsia="cs-CZ"/>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Žiadne</w:t>
            </w:r>
            <w:r w:rsidRPr="005E53F3">
              <w:rPr>
                <w:rFonts w:ascii="Times New Roman" w:hAnsi="Times New Roman" w:cs="Times New Roman"/>
                <w:sz w:val="24"/>
                <w:szCs w:val="24"/>
                <w:vertAlign w:val="superscript"/>
                <w:lang w:eastAsia="cs-CZ"/>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Negatívne</w:t>
            </w:r>
            <w:r w:rsidRPr="005E53F3">
              <w:rPr>
                <w:rFonts w:ascii="Times New Roman" w:hAnsi="Times New Roman" w:cs="Times New Roman"/>
                <w:sz w:val="24"/>
                <w:szCs w:val="24"/>
                <w:vertAlign w:val="superscript"/>
                <w:lang w:eastAsia="cs-CZ"/>
              </w:rPr>
              <w:t>*</w:t>
            </w:r>
          </w:p>
        </w:tc>
      </w:tr>
      <w:tr>
        <w:tblPrEx>
          <w:tblW w:w="7564" w:type="dxa"/>
          <w:tblInd w:w="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eastAsia="cs-CZ"/>
              </w:rPr>
              <w:t>1. Vplyvy na rozpočet verejnej správy</w:t>
            </w:r>
          </w:p>
          <w:p w:rsidR="00143BD2" w:rsidRPr="005E53F3" w:rsidP="006A6383">
            <w:pPr>
              <w:rPr>
                <w:rFonts w:ascii="Times New Roman" w:hAnsi="Times New Roman" w:cs="Times New Roman"/>
                <w:i/>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r>
      <w:tr>
        <w:tblPrEx>
          <w:tblW w:w="7564" w:type="dxa"/>
          <w:tblInd w:w="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eastAsia="cs-CZ"/>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r>
      <w:tr>
        <w:tblPrEx>
          <w:tblW w:w="7564" w:type="dxa"/>
          <w:tblInd w:w="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eastAsia="cs-CZ"/>
              </w:rPr>
              <w:t xml:space="preserve">3, Sociálne vplyvy </w:t>
            </w:r>
          </w:p>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eastAsia="cs-CZ"/>
              </w:rPr>
              <w:t>– vplyvy  na hospodárenie obyvateľstva,</w:t>
            </w:r>
          </w:p>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eastAsia="cs-CZ"/>
              </w:rPr>
              <w:t>-sociálnu exklúziu,</w:t>
            </w:r>
          </w:p>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eastAsia="cs-CZ"/>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r>
      <w:tr>
        <w:tblPrEx>
          <w:tblW w:w="7564" w:type="dxa"/>
          <w:tblInd w:w="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rPr>
                <w:rFonts w:ascii="Times New Roman" w:hAnsi="Times New Roman" w:cs="Times New Roman"/>
                <w:szCs w:val="24"/>
                <w:lang w:eastAsia="cs-CZ"/>
              </w:rPr>
            </w:pPr>
            <w:r w:rsidRPr="005E53F3">
              <w:rPr>
                <w:rFonts w:ascii="Times New Roman" w:hAnsi="Times New Roman" w:cs="Times New Roman"/>
                <w:szCs w:val="24"/>
                <w:lang w:val="pt-BR" w:eastAsia="cs-CZ"/>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r>
      <w:tr>
        <w:tblPrEx>
          <w:tblW w:w="7564" w:type="dxa"/>
          <w:tblInd w:w="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rPr>
                <w:rFonts w:ascii="Times New Roman" w:hAnsi="Times New Roman" w:cs="Times New Roman"/>
                <w:szCs w:val="24"/>
                <w:lang w:val="pt-BR" w:eastAsia="cs-CZ"/>
              </w:rPr>
            </w:pPr>
            <w:r w:rsidRPr="005E53F3">
              <w:rPr>
                <w:rFonts w:ascii="Times New Roman" w:hAnsi="Times New Roman" w:cs="Times New Roman"/>
                <w:szCs w:val="24"/>
                <w:lang w:val="pt-BR" w:eastAsia="cs-CZ"/>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r w:rsidRPr="005E53F3">
              <w:rPr>
                <w:rFonts w:ascii="Times New Roman" w:hAnsi="Times New Roman" w:cs="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143BD2" w:rsidRPr="005E53F3" w:rsidP="006A6383">
            <w:pPr>
              <w:jc w:val="center"/>
              <w:rPr>
                <w:rFonts w:ascii="Times New Roman" w:hAnsi="Times New Roman" w:cs="Times New Roman"/>
                <w:sz w:val="24"/>
                <w:szCs w:val="24"/>
                <w:lang w:eastAsia="cs-CZ"/>
              </w:rPr>
            </w:pPr>
          </w:p>
        </w:tc>
      </w:tr>
    </w:tbl>
    <w:p w:rsidR="00143BD2" w:rsidRPr="005E53F3" w:rsidP="00143BD2">
      <w:pPr>
        <w:jc w:val="both"/>
        <w:rPr>
          <w:rFonts w:ascii="Times New Roman" w:hAnsi="Times New Roman" w:cs="Times New Roman"/>
          <w:b/>
          <w:sz w:val="24"/>
          <w:szCs w:val="24"/>
          <w:u w:val="single"/>
          <w:lang w:eastAsia="cs-CZ"/>
        </w:rPr>
      </w:pPr>
    </w:p>
    <w:p w:rsidR="00143BD2" w:rsidRPr="005E53F3" w:rsidP="00143BD2">
      <w:pPr>
        <w:jc w:val="both"/>
        <w:rPr>
          <w:rFonts w:ascii="Times New Roman" w:hAnsi="Times New Roman" w:cs="Times New Roman"/>
          <w:b/>
          <w:sz w:val="24"/>
          <w:szCs w:val="24"/>
          <w:lang w:eastAsia="cs-CZ"/>
        </w:rPr>
      </w:pPr>
      <w:r w:rsidRPr="005E53F3">
        <w:rPr>
          <w:rFonts w:ascii="Times New Roman" w:hAnsi="Times New Roman" w:cs="Times New Roman"/>
          <w:b/>
          <w:sz w:val="24"/>
          <w:szCs w:val="24"/>
          <w:lang w:eastAsia="cs-CZ"/>
        </w:rPr>
        <w:t>A.3. Poznámky</w:t>
      </w:r>
    </w:p>
    <w:p w:rsidR="00143BD2" w:rsidRPr="005E53F3" w:rsidP="00143BD2">
      <w:pPr>
        <w:jc w:val="both"/>
        <w:rPr>
          <w:rFonts w:ascii="Times New Roman" w:hAnsi="Times New Roman" w:cs="Times New Roman"/>
          <w:b/>
          <w:sz w:val="24"/>
          <w:szCs w:val="24"/>
          <w:lang w:eastAsia="cs-CZ"/>
        </w:rPr>
      </w:pPr>
    </w:p>
    <w:p w:rsidR="00143BD2" w:rsidRPr="005E53F3" w:rsidP="00143BD2">
      <w:pPr>
        <w:jc w:val="both"/>
        <w:rPr>
          <w:rFonts w:ascii="Times New Roman" w:hAnsi="Times New Roman" w:cs="Times New Roman"/>
          <w:b/>
          <w:sz w:val="24"/>
          <w:szCs w:val="24"/>
          <w:lang w:eastAsia="cs-CZ"/>
        </w:rPr>
      </w:pPr>
    </w:p>
    <w:p w:rsidR="00143BD2" w:rsidRPr="005E53F3" w:rsidP="00143BD2">
      <w:pPr>
        <w:jc w:val="both"/>
        <w:rPr>
          <w:rFonts w:ascii="Times New Roman" w:hAnsi="Times New Roman" w:cs="Times New Roman"/>
          <w:b/>
          <w:sz w:val="24"/>
          <w:szCs w:val="24"/>
          <w:lang w:eastAsia="cs-CZ"/>
        </w:rPr>
      </w:pPr>
      <w:r w:rsidRPr="005E53F3">
        <w:rPr>
          <w:rFonts w:ascii="Times New Roman" w:hAnsi="Times New Roman" w:cs="Times New Roman"/>
          <w:b/>
          <w:sz w:val="24"/>
          <w:szCs w:val="24"/>
          <w:lang w:eastAsia="cs-CZ"/>
        </w:rPr>
        <w:t>A.4. Alternatívne riešenia</w:t>
      </w:r>
    </w:p>
    <w:p w:rsidR="00143BD2" w:rsidRPr="005E53F3" w:rsidP="00143BD2">
      <w:pPr>
        <w:jc w:val="both"/>
        <w:rPr>
          <w:rFonts w:ascii="Times New Roman" w:hAnsi="Times New Roman" w:cs="Times New Roman"/>
          <w:b/>
          <w:sz w:val="24"/>
          <w:szCs w:val="24"/>
          <w:lang w:eastAsia="cs-CZ"/>
        </w:rPr>
      </w:pPr>
    </w:p>
    <w:p w:rsidR="00143BD2" w:rsidRPr="005E53F3" w:rsidP="00143BD2">
      <w:pPr>
        <w:rPr>
          <w:rFonts w:ascii="Times New Roman" w:hAnsi="Times New Roman" w:cs="Times New Roman"/>
          <w:b/>
          <w:sz w:val="24"/>
          <w:szCs w:val="24"/>
          <w:lang w:eastAsia="cs-CZ"/>
        </w:rPr>
      </w:pPr>
    </w:p>
    <w:p w:rsidR="00143BD2" w:rsidP="00143BD2">
      <w:pPr>
        <w:rPr>
          <w:rFonts w:ascii="Times New Roman" w:hAnsi="Times New Roman" w:cs="Times New Roman"/>
          <w:b/>
          <w:sz w:val="24"/>
          <w:szCs w:val="24"/>
          <w:lang w:eastAsia="cs-CZ"/>
        </w:rPr>
      </w:pPr>
      <w:r w:rsidRPr="005E53F3">
        <w:rPr>
          <w:rFonts w:ascii="Times New Roman" w:hAnsi="Times New Roman" w:cs="Times New Roman"/>
          <w:b/>
          <w:sz w:val="24"/>
          <w:szCs w:val="24"/>
          <w:lang w:eastAsia="cs-CZ"/>
        </w:rPr>
        <w:t>A.5. Stanovisko gestorov</w:t>
      </w:r>
      <w:r w:rsidR="00CC0722">
        <w:rPr>
          <w:rFonts w:ascii="Times New Roman" w:hAnsi="Times New Roman" w:cs="Times New Roman"/>
          <w:b/>
          <w:sz w:val="24"/>
          <w:szCs w:val="24"/>
          <w:lang w:eastAsia="cs-CZ"/>
        </w:rPr>
        <w:t>:</w:t>
      </w:r>
    </w:p>
    <w:p w:rsidR="00CF21F3" w:rsidP="00143BD2">
      <w:pPr>
        <w:rPr>
          <w:rFonts w:ascii="Times New Roman" w:hAnsi="Times New Roman" w:cs="Times New Roman"/>
          <w:b/>
          <w:sz w:val="24"/>
          <w:szCs w:val="24"/>
          <w:lang w:eastAsia="cs-CZ"/>
        </w:rPr>
      </w:pPr>
    </w:p>
    <w:p w:rsidR="00CC0722" w:rsidRPr="005E53F3" w:rsidP="00143BD2">
      <w:pPr>
        <w:rPr>
          <w:rFonts w:ascii="Times New Roman" w:hAnsi="Times New Roman" w:cs="Times New Roman"/>
          <w:b/>
          <w:sz w:val="24"/>
          <w:szCs w:val="24"/>
          <w:lang w:eastAsia="cs-CZ"/>
        </w:rPr>
      </w:pPr>
      <w:r>
        <w:rPr>
          <w:rFonts w:ascii="Times New Roman" w:hAnsi="Times New Roman" w:cs="Times New Roman"/>
          <w:b/>
          <w:sz w:val="24"/>
          <w:szCs w:val="24"/>
          <w:lang w:eastAsia="cs-CZ"/>
        </w:rPr>
        <w:t>Bez pripomienok.</w:t>
      </w:r>
    </w:p>
    <w:p w:rsidR="00143BD2" w:rsidP="00143BD2">
      <w:pPr>
        <w:pStyle w:val="Title"/>
        <w:rPr>
          <w:rFonts w:ascii="Times New Roman" w:hAnsi="Times New Roman" w:cs="Times New Roman"/>
          <w:b w:val="0"/>
          <w:szCs w:val="24"/>
          <w:u w:val="none"/>
          <w:lang w:val="sk-SK"/>
        </w:rPr>
      </w:pPr>
    </w:p>
    <w:p w:rsidR="00143BD2" w:rsidP="00143BD2">
      <w:pPr>
        <w:pStyle w:val="Title"/>
        <w:rPr>
          <w:rFonts w:ascii="Times New Roman" w:hAnsi="Times New Roman" w:cs="Times New Roman"/>
          <w:b w:val="0"/>
          <w:szCs w:val="24"/>
          <w:u w:val="none"/>
          <w:lang w:val="sk-SK"/>
        </w:rPr>
      </w:pPr>
    </w:p>
    <w:p w:rsidR="00143BD2" w:rsidP="00143BD2">
      <w:pPr>
        <w:pStyle w:val="Title"/>
        <w:rPr>
          <w:rFonts w:ascii="Times New Roman" w:hAnsi="Times New Roman" w:cs="Times New Roman"/>
          <w:b w:val="0"/>
          <w:szCs w:val="24"/>
          <w:u w:val="none"/>
          <w:lang w:val="sk-SK"/>
        </w:rPr>
      </w:pPr>
    </w:p>
    <w:p w:rsidR="00143BD2" w:rsidP="00143BD2">
      <w:pPr>
        <w:pStyle w:val="Title"/>
        <w:rPr>
          <w:rFonts w:ascii="Times New Roman" w:hAnsi="Times New Roman" w:cs="Times New Roman"/>
          <w:b w:val="0"/>
          <w:szCs w:val="24"/>
          <w:u w:val="none"/>
          <w:lang w:val="sk-SK"/>
        </w:rPr>
      </w:pPr>
    </w:p>
    <w:p w:rsidR="00143BD2" w:rsidP="00143BD2">
      <w:pPr>
        <w:pStyle w:val="Title"/>
        <w:rPr>
          <w:rFonts w:ascii="Times New Roman" w:hAnsi="Times New Roman" w:cs="Times New Roman"/>
          <w:b w:val="0"/>
          <w:szCs w:val="24"/>
          <w:u w:val="none"/>
          <w:lang w:val="sk-SK"/>
        </w:rPr>
      </w:pPr>
    </w:p>
    <w:p w:rsidR="0008752C">
      <w:pPr>
        <w:rPr>
          <w:rFonts w:ascii="Times New Roman" w:hAnsi="Times New Roman" w:cs="Times New Roman"/>
          <w:szCs w:val="24"/>
        </w:rPr>
      </w:pPr>
    </w:p>
    <w:sectPr w:rsidSect="009E0B56">
      <w:pgSz w:w="11906" w:h="16838"/>
      <w:pgMar w:top="1417" w:right="1417" w:bottom="1417" w:left="1417"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libri">
    <w:altName w:val="Gentium"/>
    <w:panose1 w:val="00000000000000000000"/>
    <w:charset w:val="EE"/>
    <w:family w:val="swiss"/>
    <w:pitch w:val="variable"/>
    <w:sig w:usb0="00000000"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oNotHyphenateCaps/>
  <w:drawingGridHorizontalSpacing w:val="120"/>
  <w:displayHorizontalDrawingGridEvery w:val="2"/>
  <w:displayVerticalDrawingGridEvery w:val="2"/>
  <w:characterSpacingControl w:val="doNotCompress"/>
  <w:compat>
    <w:useWord2002TableStyleRules/>
    <w:growAutofit/>
    <w:doNotUseIndentAsNumberingTabStop/>
    <w:allowSpaceOfSameStyleInTable/>
    <w:splitPgBreakAndParaMark/>
    <w:useAnsiKerningPairs/>
  </w:compat>
  <w:rsids>
    <w:rsidRoot w:val="00143BD2"/>
    <w:rsid w:val="0008752C"/>
    <w:rsid w:val="00143BD2"/>
    <w:rsid w:val="005E53F3"/>
    <w:rsid w:val="006A6383"/>
    <w:rsid w:val="0080339B"/>
    <w:rsid w:val="009E0B56"/>
    <w:rsid w:val="00CC0722"/>
    <w:rsid w:val="00CF21F3"/>
    <w:rsid w:val="00D041A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143BD2"/>
    <w:pPr>
      <w:widowControl/>
      <w:autoSpaceDE/>
      <w:autoSpaceDN/>
      <w:adjustRightInd/>
      <w:ind w:left="0" w:right="0"/>
      <w:jc w:val="left"/>
      <w:textAlignment w:val="auto"/>
    </w:pPr>
    <w:rPr>
      <w:sz w:val="22"/>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Title">
    <w:name w:val="Title"/>
    <w:basedOn w:val="Normal"/>
    <w:link w:val="NzovChar"/>
    <w:uiPriority w:val="99"/>
    <w:rsid w:val="00143BD2"/>
    <w:pPr>
      <w:widowControl w:val="0"/>
      <w:jc w:val="center"/>
    </w:pPr>
    <w:rPr>
      <w:b/>
      <w:sz w:val="24"/>
      <w:u w:val="single"/>
      <w:lang w:val="cs-CZ" w:eastAsia="cs-CZ"/>
    </w:rPr>
  </w:style>
  <w:style w:type="character" w:customStyle="1" w:styleId="NzovChar">
    <w:name w:val="Názov Char"/>
    <w:basedOn w:val="DefaultParagraphFont"/>
    <w:link w:val="Title"/>
    <w:uiPriority w:val="99"/>
    <w:rsid w:val="00143BD2"/>
    <w:rPr>
      <w:rFonts w:ascii="Times New Roman" w:hAnsi="Times New Roman" w:cs="Times New Roman"/>
      <w:b/>
      <w:sz w:val="20"/>
      <w:u w:val="single"/>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153</Words>
  <Characters>877</Characters>
  <Application>Microsoft Office Word</Application>
  <DocSecurity>0</DocSecurity>
  <Lines>0</Lines>
  <Paragraphs>0</Paragraphs>
  <ScaleCrop>false</ScaleCrop>
  <Company>AB</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bauml</dc:creator>
  <cp:lastModifiedBy>AB</cp:lastModifiedBy>
  <cp:revision>4</cp:revision>
  <cp:lastPrinted>2012-08-03T18:07:00Z</cp:lastPrinted>
  <dcterms:created xsi:type="dcterms:W3CDTF">2012-06-06T11:20:00Z</dcterms:created>
  <dcterms:modified xsi:type="dcterms:W3CDTF">2012-08-21T21:23:00Z</dcterms:modified>
</cp:coreProperties>
</file>