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5430" w:rsidRPr="000279BD" w:rsidP="002D1ADD">
      <w:pPr>
        <w:bidi w:val="0"/>
        <w:jc w:val="center"/>
        <w:outlineLvl w:val="0"/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</w:pPr>
      <w:r w:rsidRPr="000279BD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>Návrh</w:t>
      </w:r>
    </w:p>
    <w:p w:rsidR="00835430" w:rsidRPr="000279BD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</w:pPr>
    </w:p>
    <w:p w:rsidR="00835430" w:rsidRPr="000279BD" w:rsidP="00C03BAF">
      <w:pPr>
        <w:bidi w:val="0"/>
        <w:jc w:val="both"/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</w:pPr>
      <w:r w:rsidRPr="000279BD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>vyhlásenia Slov</w:t>
      </w:r>
      <w:r w:rsidRPr="000279BD" w:rsidR="00B266E9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 xml:space="preserve">enskej republiky </w:t>
      </w:r>
      <w:r w:rsidRPr="000279BD" w:rsidR="00C03BAF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>k</w:t>
      </w:r>
      <w:r w:rsidRPr="000279BD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 xml:space="preserve"> </w:t>
      </w:r>
      <w:r w:rsidRPr="000279BD" w:rsidR="00B266E9">
        <w:rPr>
          <w:rFonts w:ascii="Times New Roman" w:hAnsi="Times New Roman"/>
          <w:b/>
          <w:color w:val="000000" w:themeColor="tx1" w:themeShade="FF"/>
          <w:sz w:val="28"/>
          <w:szCs w:val="28"/>
        </w:rPr>
        <w:t>Medzinárodné</w:t>
      </w:r>
      <w:r w:rsidRPr="000279BD" w:rsidR="00C03BAF">
        <w:rPr>
          <w:rFonts w:ascii="Times New Roman" w:hAnsi="Times New Roman"/>
          <w:b/>
          <w:color w:val="000000" w:themeColor="tx1" w:themeShade="FF"/>
          <w:sz w:val="28"/>
          <w:szCs w:val="28"/>
        </w:rPr>
        <w:t>mu</w:t>
      </w:r>
      <w:r w:rsidRPr="000279BD" w:rsidR="00B266E9">
        <w:rPr>
          <w:rFonts w:ascii="Times New Roman" w:hAnsi="Times New Roman"/>
          <w:b/>
          <w:color w:val="000000" w:themeColor="tx1" w:themeShade="FF"/>
          <w:sz w:val="28"/>
          <w:szCs w:val="28"/>
        </w:rPr>
        <w:t xml:space="preserve"> dohovoru o občianskoprávnej zod</w:t>
      </w:r>
      <w:r w:rsidRPr="000279BD" w:rsidR="002D1ADD">
        <w:rPr>
          <w:rFonts w:ascii="Times New Roman" w:hAnsi="Times New Roman"/>
          <w:b/>
          <w:color w:val="000000" w:themeColor="tx1" w:themeShade="FF"/>
          <w:sz w:val="28"/>
          <w:szCs w:val="28"/>
        </w:rPr>
        <w:t xml:space="preserve">povednosti za škody vzniknuté v </w:t>
      </w:r>
      <w:r w:rsidRPr="000279BD" w:rsidR="00B266E9">
        <w:rPr>
          <w:rFonts w:ascii="Times New Roman" w:hAnsi="Times New Roman"/>
          <w:b/>
          <w:color w:val="000000" w:themeColor="tx1" w:themeShade="FF"/>
          <w:sz w:val="28"/>
          <w:szCs w:val="28"/>
        </w:rPr>
        <w:t xml:space="preserve">dôsledku znečistenia olejom zo zásobníkov z roku 2001 (BUNKERS 2001) </w:t>
      </w:r>
      <w:r w:rsidRPr="000279BD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 xml:space="preserve"> </w:t>
      </w:r>
    </w:p>
    <w:p w:rsidR="00835430" w:rsidRPr="000279BD" w:rsidP="00C03BAF">
      <w:pPr>
        <w:pStyle w:val="BodyTextIndent3"/>
        <w:bidi w:val="0"/>
        <w:ind w:firstLine="851"/>
        <w:rPr>
          <w:color w:val="000000" w:themeColor="tx1" w:themeShade="FF"/>
          <w:lang w:eastAsia="cs-CZ"/>
        </w:rPr>
      </w:pPr>
    </w:p>
    <w:p w:rsidR="00835430" w:rsidRPr="000279BD" w:rsidP="002D1ADD">
      <w:pPr>
        <w:pStyle w:val="BodyTextIndent3"/>
        <w:bidi w:val="0"/>
        <w:ind w:firstLine="0"/>
        <w:rPr>
          <w:color w:val="000000" w:themeColor="tx1" w:themeShade="FF"/>
          <w:lang w:eastAsia="cs-CZ"/>
        </w:rPr>
      </w:pPr>
    </w:p>
    <w:p w:rsidR="00835430" w:rsidRPr="000279BD">
      <w:pPr>
        <w:pStyle w:val="BodyTextIndent3"/>
        <w:bidi w:val="0"/>
        <w:ind w:firstLine="851"/>
        <w:rPr>
          <w:color w:val="000000" w:themeColor="tx1" w:themeShade="FF"/>
          <w:lang w:eastAsia="cs-CZ"/>
        </w:rPr>
      </w:pPr>
    </w:p>
    <w:p w:rsidR="001F04D0" w:rsidRPr="000279BD">
      <w:pPr>
        <w:pStyle w:val="BodyTextIndent3"/>
        <w:bidi w:val="0"/>
        <w:ind w:firstLine="851"/>
        <w:rPr>
          <w:color w:val="000000" w:themeColor="tx1" w:themeShade="FF"/>
          <w:lang w:eastAsia="cs-CZ"/>
        </w:rPr>
      </w:pPr>
    </w:p>
    <w:p w:rsidR="00835430" w:rsidRPr="000279BD" w:rsidP="00C03BAF">
      <w:pPr>
        <w:pStyle w:val="BodyTextIndent3"/>
        <w:bidi w:val="0"/>
        <w:ind w:right="0" w:firstLine="709"/>
        <w:rPr>
          <w:rFonts w:ascii="Times New Roman" w:hAnsi="Times New Roman" w:cs="Times New Roman"/>
          <w:color w:val="000000" w:themeColor="tx1" w:themeShade="FF"/>
          <w:lang w:eastAsia="cs-CZ"/>
        </w:rPr>
      </w:pPr>
      <w:r w:rsidRPr="000279BD">
        <w:rPr>
          <w:rFonts w:ascii="Times New Roman" w:hAnsi="Times New Roman" w:cs="Times New Roman"/>
          <w:color w:val="000000" w:themeColor="tx1" w:themeShade="FF"/>
          <w:lang w:eastAsia="cs-CZ"/>
        </w:rPr>
        <w:t>Vyhlásenie Slovenskej republiky podľa čl</w:t>
      </w:r>
      <w:r w:rsidRPr="000279BD" w:rsidR="00B266E9">
        <w:rPr>
          <w:rFonts w:ascii="Times New Roman" w:hAnsi="Times New Roman" w:cs="Times New Roman"/>
          <w:color w:val="000000" w:themeColor="tx1" w:themeShade="FF"/>
          <w:lang w:eastAsia="cs-CZ"/>
        </w:rPr>
        <w:t xml:space="preserve">ánku </w:t>
      </w:r>
      <w:r w:rsidRPr="000279BD" w:rsidR="00C03BAF">
        <w:rPr>
          <w:rFonts w:ascii="Times New Roman" w:hAnsi="Times New Roman" w:cs="Times New Roman"/>
          <w:color w:val="000000" w:themeColor="tx1" w:themeShade="FF"/>
          <w:lang w:eastAsia="cs-CZ"/>
        </w:rPr>
        <w:t xml:space="preserve">2 </w:t>
      </w:r>
      <w:r w:rsidRPr="000279BD" w:rsidR="00C03BAF">
        <w:rPr>
          <w:rFonts w:ascii="Times New Roman" w:hAnsi="Times New Roman" w:cs="Times New Roman"/>
          <w:color w:val="000000" w:themeColor="tx1" w:themeShade="FF"/>
        </w:rPr>
        <w:t xml:space="preserve">Rozhodnutia Rady </w:t>
        <w:br/>
        <w:t>z 19. septembra 2002, ktoré splnomocňuje členské štáty, aby v záujme spoločenstva podpísali, ratifikovali alebo pristúpili k Medzinárodnému dohovoru o občianskoprávnej zodpovednosti za škody vzniknuté v dôsledku znečistenia olejom zo zásobníkov z roku 2001 (zásobníkový dohovor) (2002/7</w:t>
      </w:r>
      <w:r w:rsidRPr="000279BD" w:rsidR="00F139B3">
        <w:rPr>
          <w:rFonts w:ascii="Times New Roman" w:hAnsi="Times New Roman" w:cs="Times New Roman"/>
          <w:color w:val="000000" w:themeColor="tx1" w:themeShade="FF"/>
        </w:rPr>
        <w:t>62/ES)</w:t>
      </w:r>
      <w:r w:rsidRPr="000279BD" w:rsidR="00C03BAF">
        <w:rPr>
          <w:rFonts w:ascii="Times New Roman" w:hAnsi="Times New Roman" w:cs="Times New Roman"/>
          <w:color w:val="000000" w:themeColor="tx1" w:themeShade="FF"/>
        </w:rPr>
        <w:t xml:space="preserve"> a v súlade s</w:t>
      </w:r>
      <w:r w:rsidRPr="000279BD" w:rsidR="002D1ADD">
        <w:rPr>
          <w:rFonts w:ascii="Times New Roman" w:hAnsi="Times New Roman" w:cs="Times New Roman"/>
          <w:color w:val="000000" w:themeColor="tx1" w:themeShade="FF"/>
        </w:rPr>
        <w:t xml:space="preserve"> </w:t>
      </w:r>
      <w:r w:rsidRPr="000279BD" w:rsidR="00C03BAF">
        <w:rPr>
          <w:rFonts w:ascii="Times New Roman" w:hAnsi="Times New Roman" w:cs="Times New Roman"/>
          <w:color w:val="000000" w:themeColor="tx1" w:themeShade="FF"/>
        </w:rPr>
        <w:t xml:space="preserve">článkom </w:t>
      </w:r>
      <w:r w:rsidRPr="000279BD" w:rsidR="00B266E9">
        <w:rPr>
          <w:rFonts w:ascii="Times New Roman" w:hAnsi="Times New Roman" w:cs="Times New Roman"/>
          <w:color w:val="000000" w:themeColor="tx1" w:themeShade="FF"/>
          <w:lang w:eastAsia="cs-CZ"/>
        </w:rPr>
        <w:t>1</w:t>
      </w:r>
      <w:r w:rsidRPr="000279BD">
        <w:rPr>
          <w:rFonts w:ascii="Times New Roman" w:hAnsi="Times New Roman" w:cs="Times New Roman"/>
          <w:color w:val="000000" w:themeColor="tx1" w:themeShade="FF"/>
          <w:lang w:eastAsia="cs-CZ"/>
        </w:rPr>
        <w:t xml:space="preserve">2 </w:t>
      </w:r>
      <w:r w:rsidRPr="000279BD" w:rsidR="002D1ADD">
        <w:rPr>
          <w:rFonts w:ascii="Times New Roman" w:hAnsi="Times New Roman" w:cs="Times New Roman"/>
          <w:color w:val="000000" w:themeColor="tx1" w:themeShade="FF"/>
          <w:lang w:eastAsia="cs-CZ"/>
        </w:rPr>
        <w:t>(</w:t>
      </w:r>
      <w:r w:rsidRPr="000279BD" w:rsidR="002D1ADD">
        <w:rPr>
          <w:rFonts w:ascii="Times New Roman" w:hAnsi="Times New Roman" w:cs="Times New Roman"/>
          <w:bCs/>
          <w:color w:val="000000" w:themeColor="tx1" w:themeShade="FF"/>
        </w:rPr>
        <w:t>Podpis, ratifikácia, prijatie, schválenie a prístup)</w:t>
      </w:r>
      <w:r w:rsidRPr="000279BD" w:rsidR="002D1ADD">
        <w:rPr>
          <w:rFonts w:ascii="Times New Roman" w:hAnsi="Times New Roman" w:cs="Times New Roman"/>
          <w:color w:val="000000" w:themeColor="tx1" w:themeShade="FF"/>
          <w:lang w:eastAsia="cs-CZ"/>
        </w:rPr>
        <w:t xml:space="preserve"> </w:t>
      </w:r>
      <w:r w:rsidRPr="000279BD" w:rsidR="00B266E9">
        <w:rPr>
          <w:rFonts w:ascii="Times New Roman" w:hAnsi="Times New Roman" w:cs="Times New Roman"/>
          <w:color w:val="000000" w:themeColor="tx1" w:themeShade="FF"/>
          <w:lang w:eastAsia="cs-CZ"/>
        </w:rPr>
        <w:t>zásobníkového dohovoru</w:t>
      </w:r>
      <w:r w:rsidRPr="000279BD">
        <w:rPr>
          <w:rFonts w:ascii="Times New Roman" w:hAnsi="Times New Roman" w:cs="Times New Roman"/>
          <w:color w:val="000000" w:themeColor="tx1" w:themeShade="FF"/>
          <w:lang w:eastAsia="cs-CZ"/>
        </w:rPr>
        <w:t>:</w:t>
      </w:r>
    </w:p>
    <w:p w:rsidR="00835430" w:rsidRPr="000279BD" w:rsidP="00C03BAF">
      <w:pPr>
        <w:pStyle w:val="BodyTextIndent3"/>
        <w:bidi w:val="0"/>
        <w:ind w:right="0" w:firstLine="709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0F212F" w:rsidRPr="000279BD" w:rsidP="002D1ADD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eastAsia="EUAlbertina-Regular-Identity-H" w:hAnsi="Times New Roman"/>
          <w:color w:val="000000" w:themeColor="tx1" w:themeShade="FF"/>
          <w:sz w:val="24"/>
          <w:szCs w:val="24"/>
        </w:rPr>
      </w:pPr>
      <w:r w:rsidRPr="000279B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„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Č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lenské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 xml:space="preserve"> š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tá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ty poskytnú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 xml:space="preserve"> pri podpisovaní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, ratifiká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cii alebo pristú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pení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 xml:space="preserve"> k zá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sobní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kové</w:t>
      </w:r>
      <w:r w:rsidRPr="000279BD" w:rsidR="002D1ADD">
        <w:rPr>
          <w:rFonts w:ascii="Times New Roman" w:eastAsia="EUAlbertina-Regular-Identity-H" w:hAnsi="Times New Roman" w:hint="default"/>
          <w:color w:val="000000" w:themeColor="tx1" w:themeShade="FF"/>
          <w:sz w:val="24"/>
          <w:szCs w:val="24"/>
        </w:rPr>
        <w:t>mu dohov</w:t>
      </w:r>
      <w:r w:rsidRPr="00C30503" w:rsidR="002D1ADD">
        <w:rPr>
          <w:rFonts w:ascii="Times New Roman" w:eastAsia="EUAlbertina-Regular-Identity-H" w:hAnsi="Times New Roman" w:hint="default"/>
          <w:sz w:val="24"/>
          <w:szCs w:val="24"/>
        </w:rPr>
        <w:t>oru toto vyhlá</w:t>
      </w:r>
      <w:r w:rsidRPr="00C30503" w:rsidR="002D1ADD">
        <w:rPr>
          <w:rFonts w:ascii="Times New Roman" w:eastAsia="EUAlbertina-Regular-Identity-H" w:hAnsi="Times New Roman" w:hint="default"/>
          <w:sz w:val="24"/>
          <w:szCs w:val="24"/>
        </w:rPr>
        <w:t xml:space="preserve">senie: </w:t>
      </w:r>
      <w:r w:rsidRPr="00C30503" w:rsidR="00E7692D">
        <w:rPr>
          <w:rFonts w:ascii="Times New Roman" w:eastAsia="EUAlbertina-Regular-Identity-H" w:hAnsi="Times New Roman" w:hint="default"/>
          <w:sz w:val="24"/>
          <w:szCs w:val="24"/>
        </w:rPr>
        <w:t>„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Ak rozsudky vo veciach, na ktoré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 xml:space="preserve"> sa vzť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ahuje tento dohovor, vynesie sú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d v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 xml:space="preserve"> 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>Belgick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om kráľ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ovstve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>, Bulharsk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 republike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 xml:space="preserve">, 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Cypersk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 republike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, </w:t>
        <w:br/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Č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>esk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 republike</w:t>
      </w:r>
      <w:r w:rsidRPr="00C30503" w:rsidR="00B45EE5">
        <w:rPr>
          <w:rFonts w:ascii="Times New Roman" w:eastAsia="EUAlbertina-Regular-Identity-H" w:hAnsi="Times New Roman" w:hint="default"/>
          <w:sz w:val="24"/>
          <w:szCs w:val="24"/>
        </w:rPr>
        <w:t>, Estó</w:t>
      </w:r>
      <w:r w:rsidRPr="00C30503" w:rsidR="00B45EE5">
        <w:rPr>
          <w:rFonts w:ascii="Times New Roman" w:eastAsia="EUAlbertina-Regular-Identity-H" w:hAnsi="Times New Roman" w:hint="default"/>
          <w:sz w:val="24"/>
          <w:szCs w:val="24"/>
        </w:rPr>
        <w:t>nsk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B45EE5">
        <w:rPr>
          <w:rFonts w:ascii="Times New Roman" w:eastAsia="EUAlbertina-Regular-Identity-H" w:hAnsi="Times New Roman" w:hint="default"/>
          <w:sz w:val="24"/>
          <w:szCs w:val="24"/>
        </w:rPr>
        <w:t>, Fí</w:t>
      </w:r>
      <w:r w:rsidRPr="00C30503" w:rsidR="00B45EE5">
        <w:rPr>
          <w:rFonts w:ascii="Times New Roman" w:eastAsia="EUAlbertina-Regular-Identity-H" w:hAnsi="Times New Roman" w:hint="default"/>
          <w:sz w:val="24"/>
          <w:szCs w:val="24"/>
        </w:rPr>
        <w:t>nsk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B45EE5">
        <w:rPr>
          <w:rFonts w:ascii="Times New Roman" w:eastAsia="EUAlbertina-Regular-Identity-H" w:hAnsi="Times New Roman" w:hint="default"/>
          <w:sz w:val="24"/>
          <w:szCs w:val="24"/>
        </w:rPr>
        <w:t>, Francú</w:t>
      </w:r>
      <w:r w:rsidRPr="00C30503" w:rsidR="00B45EE5">
        <w:rPr>
          <w:rFonts w:ascii="Times New Roman" w:eastAsia="EUAlbertina-Regular-Identity-H" w:hAnsi="Times New Roman" w:hint="default"/>
          <w:sz w:val="24"/>
          <w:szCs w:val="24"/>
        </w:rPr>
        <w:t>zsk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 republike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 xml:space="preserve">, 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br/>
      </w:r>
      <w:r w:rsidRPr="00C30503" w:rsidR="00B45EE5">
        <w:rPr>
          <w:rFonts w:ascii="Times New Roman" w:eastAsia="EUAlbertina-Regular-Identity-H" w:hAnsi="Times New Roman" w:hint="default"/>
          <w:sz w:val="24"/>
          <w:szCs w:val="24"/>
        </w:rPr>
        <w:t>Helé</w:t>
      </w:r>
      <w:r w:rsidRPr="00C30503" w:rsidR="00B45EE5">
        <w:rPr>
          <w:rFonts w:ascii="Times New Roman" w:eastAsia="EUAlbertina-Regular-Identity-H" w:hAnsi="Times New Roman" w:hint="default"/>
          <w:sz w:val="24"/>
          <w:szCs w:val="24"/>
        </w:rPr>
        <w:t>nsk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>, Holandsk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om kráľ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ovstve, Í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rsku</w:t>
      </w:r>
      <w:r w:rsidRPr="00C30503" w:rsidR="00B45EE5">
        <w:rPr>
          <w:rFonts w:ascii="Times New Roman" w:eastAsia="EUAlbertina-Regular-Identity-H" w:hAnsi="Times New Roman"/>
          <w:sz w:val="24"/>
          <w:szCs w:val="24"/>
        </w:rPr>
        <w:t xml:space="preserve">, 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Litovsk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, Lotyš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, Luxembursk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om kráľ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ovst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ve, Maď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arsku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, Maltsk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, Spolkov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 xml:space="preserve">e 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Nemecko, Poľ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 xml:space="preserve">ej 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republ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, Portugalsk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, Rakú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, Rumunsk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, Slovinsk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, Spojen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om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 xml:space="preserve"> kráľ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ovstv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 xml:space="preserve"> Veľ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kej Britá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nie a 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Severné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ho Í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rska, Š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panielsk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om kráľ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ovstve, Š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vé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dskom kráľ</w:t>
      </w:r>
      <w:r w:rsidRPr="00C30503" w:rsidR="00C30503">
        <w:rPr>
          <w:rFonts w:ascii="Times New Roman" w:eastAsia="EUAlbertina-Regular-Identity-H" w:hAnsi="Times New Roman" w:hint="default"/>
          <w:sz w:val="24"/>
          <w:szCs w:val="24"/>
        </w:rPr>
        <w:t>ovstve a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Taliansk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ej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republik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>e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, uzná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vajú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 xml:space="preserve"> sa a vykoná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vajú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 xml:space="preserve"> sa </w:t>
      </w:r>
      <w:r w:rsidR="00455F0C">
        <w:rPr>
          <w:rFonts w:ascii="Times New Roman" w:eastAsia="EUAlbertina-Regular-Identity-H" w:hAnsi="Times New Roman"/>
          <w:sz w:val="24"/>
          <w:szCs w:val="24"/>
        </w:rPr>
        <w:br/>
      </w:r>
      <w:r w:rsidRPr="00C30503">
        <w:rPr>
          <w:rFonts w:ascii="Times New Roman" w:eastAsia="EUAlbertina-Regular-Identity-H" w:hAnsi="Times New Roman"/>
          <w:sz w:val="24"/>
          <w:szCs w:val="24"/>
        </w:rPr>
        <w:t xml:space="preserve">v 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Slovenskej rep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ublike</w:t>
      </w:r>
      <w:r w:rsidRPr="00C30503" w:rsidR="00C30503">
        <w:rPr>
          <w:rFonts w:ascii="Times New Roman" w:eastAsia="EUAlbertina-Regular-Identity-H" w:hAnsi="Times New Roman"/>
          <w:sz w:val="24"/>
          <w:szCs w:val="24"/>
        </w:rPr>
        <w:t xml:space="preserve"> 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podľ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a prí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sluš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ný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ch vnú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torný</w:t>
      </w:r>
      <w:r w:rsidRPr="00C30503">
        <w:rPr>
          <w:rFonts w:ascii="Times New Roman" w:eastAsia="EUAlbertina-Regular-Identity-H" w:hAnsi="Times New Roman" w:hint="default"/>
          <w:sz w:val="24"/>
          <w:szCs w:val="24"/>
        </w:rPr>
        <w:t>ch predp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isov spoloč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enstva v danej veci</w:t>
      </w:r>
      <w:r w:rsidRPr="00C30503">
        <w:rPr>
          <w:rFonts w:ascii="Times New Roman" w:eastAsia="EUAlbertina-Regular-Identity-H" w:hAnsi="Times New Roman"/>
          <w:sz w:val="24"/>
          <w:szCs w:val="24"/>
        </w:rPr>
        <w:t xml:space="preserve"> (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Nariadenie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 xml:space="preserve"> </w:t>
      </w:r>
      <w:r w:rsidRPr="00C30503" w:rsidR="005217FF">
        <w:rPr>
          <w:rFonts w:ascii="Times New Roman" w:eastAsia="EUAlbertina-Regular-Identity-H" w:hAnsi="Times New Roman"/>
          <w:sz w:val="24"/>
          <w:szCs w:val="24"/>
        </w:rPr>
        <w:t>(</w:t>
      </w:r>
      <w:r w:rsidRPr="00C30503" w:rsidR="00C86E6A">
        <w:rPr>
          <w:rFonts w:ascii="Times New Roman" w:eastAsia="EUAlbertina-Regular-Identity-H" w:hAnsi="Times New Roman"/>
          <w:sz w:val="24"/>
          <w:szCs w:val="24"/>
        </w:rPr>
        <w:t>ES</w:t>
      </w:r>
      <w:r w:rsidRPr="00C30503" w:rsidR="005217FF">
        <w:rPr>
          <w:rFonts w:ascii="Times New Roman" w:eastAsia="EUAlbertina-Regular-Identity-H" w:hAnsi="Times New Roman"/>
          <w:sz w:val="24"/>
          <w:szCs w:val="24"/>
        </w:rPr>
        <w:t>)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 xml:space="preserve"> č</w:t>
      </w:r>
      <w:r w:rsidRPr="00C30503" w:rsidR="00C86E6A">
        <w:rPr>
          <w:rFonts w:ascii="Times New Roman" w:eastAsia="EUAlbertina-Regular-Identity-H" w:hAnsi="Times New Roman" w:hint="default"/>
          <w:sz w:val="24"/>
          <w:szCs w:val="24"/>
        </w:rPr>
        <w:t>. 44/2001</w:t>
      </w:r>
      <w:r w:rsidRPr="00C30503">
        <w:rPr>
          <w:rFonts w:ascii="Times New Roman" w:eastAsia="EUAlbertina-Regular-Identity-H" w:hAnsi="Times New Roman"/>
          <w:sz w:val="24"/>
          <w:szCs w:val="24"/>
        </w:rPr>
        <w:t>)</w:t>
      </w:r>
      <w:r w:rsidRPr="00455F0C" w:rsidR="00C86E6A">
        <w:rPr>
          <w:rFonts w:ascii="Times New Roman" w:eastAsia="EUAlbertina-Regular-Identity-H" w:hAnsi="Times New Roman" w:hint="default"/>
          <w:sz w:val="24"/>
          <w:szCs w:val="24"/>
        </w:rPr>
        <w:t>“.“.</w:t>
      </w:r>
    </w:p>
    <w:p w:rsidR="00835430" w:rsidRPr="000279BD" w:rsidP="00C03BAF">
      <w:pPr>
        <w:pStyle w:val="BodyTextIndent3"/>
        <w:bidi w:val="0"/>
        <w:ind w:right="0" w:firstLine="0"/>
        <w:rPr>
          <w:color w:val="000000" w:themeColor="tx1" w:themeShade="FF"/>
          <w:lang w:eastAsia="cs-CZ"/>
        </w:rPr>
      </w:pPr>
    </w:p>
    <w:p w:rsidR="00835430" w:rsidRPr="000279BD">
      <w:pPr>
        <w:pStyle w:val="BodyTextIndent3"/>
        <w:bidi w:val="0"/>
        <w:ind w:firstLine="851"/>
        <w:rPr>
          <w:color w:val="000000" w:themeColor="tx1" w:themeShade="FF"/>
          <w:lang w:eastAsia="cs-CZ"/>
        </w:rPr>
      </w:pPr>
    </w:p>
    <w:p w:rsidR="000F212F" w:rsidRPr="000279BD">
      <w:pPr>
        <w:pStyle w:val="BodyTextIndent3"/>
        <w:bidi w:val="0"/>
        <w:ind w:firstLine="851"/>
        <w:rPr>
          <w:color w:val="000000" w:themeColor="tx1" w:themeShade="FF"/>
          <w:lang w:eastAsia="cs-CZ"/>
        </w:rPr>
      </w:pPr>
    </w:p>
    <w:p w:rsidR="00C03BAF" w:rsidRPr="000279BD">
      <w:pPr>
        <w:pStyle w:val="BodyTextIndent3"/>
        <w:bidi w:val="0"/>
        <w:ind w:firstLine="851"/>
        <w:rPr>
          <w:color w:val="000000" w:themeColor="tx1" w:themeShade="FF"/>
          <w:lang w:eastAsia="cs-CZ"/>
        </w:rPr>
      </w:pPr>
    </w:p>
    <w:p w:rsidR="001F04D0" w:rsidRPr="000279BD" w:rsidP="001F04D0">
      <w:pPr>
        <w:pStyle w:val="BodyTextIndent3"/>
        <w:bidi w:val="0"/>
        <w:ind w:firstLine="0"/>
        <w:rPr>
          <w:rFonts w:ascii="Times New Roman" w:hAnsi="Times New Roman" w:cs="Times New Roman"/>
          <w:color w:val="000000" w:themeColor="tx1" w:themeShade="FF"/>
          <w:lang w:eastAsia="cs-CZ"/>
        </w:rPr>
      </w:pPr>
      <w:r w:rsidRPr="000279BD">
        <w:rPr>
          <w:rFonts w:ascii="Times New Roman" w:hAnsi="Times New Roman" w:cs="Times New Roman"/>
          <w:color w:val="000000" w:themeColor="tx1" w:themeShade="FF"/>
          <w:lang w:eastAsia="cs-CZ"/>
        </w:rPr>
        <w:t>Za Slovenskú republiku</w:t>
      </w:r>
    </w:p>
    <w:p w:rsidR="001F04D0" w:rsidRPr="000279BD" w:rsidP="001F04D0">
      <w:pPr>
        <w:pStyle w:val="BodyTextIndent3"/>
        <w:bidi w:val="0"/>
        <w:ind w:firstLine="0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C03BAF" w:rsidRPr="000279BD" w:rsidP="001F04D0">
      <w:pPr>
        <w:pStyle w:val="BodyTextIndent3"/>
        <w:bidi w:val="0"/>
        <w:ind w:firstLine="0"/>
        <w:rPr>
          <w:color w:val="000000" w:themeColor="tx1" w:themeShade="FF"/>
          <w:lang w:eastAsia="cs-CZ"/>
        </w:rPr>
      </w:pPr>
      <w:r w:rsidRPr="000279BD">
        <w:rPr>
          <w:color w:val="000000" w:themeColor="tx1" w:themeShade="FF"/>
          <w:lang w:eastAsia="cs-CZ"/>
        </w:rPr>
        <w:t xml:space="preserve">                                                     </w:t>
      </w:r>
      <w:r w:rsidRPr="000279BD" w:rsidR="001F04D0">
        <w:rPr>
          <w:color w:val="000000" w:themeColor="tx1" w:themeShade="FF"/>
          <w:lang w:eastAsia="cs-CZ"/>
        </w:rPr>
        <w:t xml:space="preserve">                    </w:t>
      </w:r>
      <w:r w:rsidRPr="000279BD">
        <w:rPr>
          <w:color w:val="000000" w:themeColor="tx1" w:themeShade="FF"/>
          <w:lang w:eastAsia="cs-CZ"/>
        </w:rPr>
        <w:t xml:space="preserve">   .................................................</w:t>
      </w:r>
    </w:p>
    <w:p w:rsidR="00835430" w:rsidRPr="000279BD">
      <w:pPr>
        <w:pStyle w:val="BodyTextIndent3"/>
        <w:bidi w:val="0"/>
        <w:ind w:firstLine="851"/>
        <w:rPr>
          <w:rFonts w:ascii="Times New Roman" w:hAnsi="Times New Roman" w:cs="Times New Roman"/>
          <w:color w:val="000000" w:themeColor="tx1" w:themeShade="FF"/>
          <w:lang w:eastAsia="cs-CZ"/>
        </w:rPr>
      </w:pPr>
      <w:r w:rsidRPr="000279BD">
        <w:rPr>
          <w:color w:val="000000" w:themeColor="tx1" w:themeShade="FF"/>
          <w:lang w:eastAsia="cs-CZ"/>
        </w:rPr>
        <w:tab/>
        <w:tab/>
        <w:tab/>
        <w:tab/>
        <w:tab/>
        <w:tab/>
        <w:tab/>
        <w:tab/>
      </w:r>
      <w:r w:rsidRPr="000279BD">
        <w:rPr>
          <w:rFonts w:ascii="Times New Roman" w:hAnsi="Times New Roman" w:cs="Times New Roman"/>
          <w:color w:val="000000" w:themeColor="tx1" w:themeShade="FF"/>
          <w:lang w:eastAsia="cs-CZ"/>
        </w:rPr>
        <w:t>(podpis)</w:t>
      </w:r>
    </w:p>
    <w:p w:rsidR="00835430" w:rsidRPr="000279BD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835430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C30503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C30503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C30503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C30503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C30503" w:rsidRPr="000279BD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2D1ADD" w:rsidRPr="000279BD" w:rsidP="000F212F">
      <w:pPr>
        <w:pStyle w:val="BodyTextIndent3"/>
        <w:bidi w:val="0"/>
        <w:ind w:firstLine="0"/>
        <w:jc w:val="left"/>
        <w:outlineLvl w:val="0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0F212F" w:rsidRPr="0094101A" w:rsidP="000F212F">
      <w:pPr>
        <w:pStyle w:val="BodyTextIndent3"/>
        <w:bidi w:val="0"/>
        <w:ind w:firstLine="0"/>
        <w:jc w:val="left"/>
        <w:outlineLvl w:val="0"/>
        <w:rPr>
          <w:rFonts w:ascii="Times New Roman" w:hAnsi="Times New Roman" w:cs="Times New Roman"/>
          <w:color w:val="000000" w:themeColor="tx1" w:themeShade="FF"/>
          <w:lang w:eastAsia="cs-CZ"/>
        </w:rPr>
      </w:pPr>
      <w:r w:rsidRPr="0094101A" w:rsidR="00835430">
        <w:rPr>
          <w:rFonts w:ascii="Times New Roman" w:hAnsi="Times New Roman" w:cs="Times New Roman"/>
          <w:color w:val="000000" w:themeColor="tx1" w:themeShade="FF"/>
          <w:lang w:eastAsia="cs-CZ"/>
        </w:rPr>
        <w:t xml:space="preserve">Depozitárovi </w:t>
      </w:r>
      <w:r w:rsidRPr="0094101A">
        <w:rPr>
          <w:rFonts w:ascii="Times New Roman" w:hAnsi="Times New Roman" w:cs="Times New Roman"/>
          <w:color w:val="000000" w:themeColor="tx1" w:themeShade="FF"/>
        </w:rPr>
        <w:t>Medzinárodnej námornej organizácie (IMO)</w:t>
      </w:r>
    </w:p>
    <w:p w:rsidR="000F212F" w:rsidRPr="0094101A" w:rsidP="000F212F">
      <w:pPr>
        <w:pStyle w:val="BalloonText"/>
        <w:bidi w:val="0"/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</w:pPr>
    </w:p>
    <w:p w:rsidR="000F212F" w:rsidRPr="0094101A" w:rsidP="000F212F">
      <w:pPr>
        <w:pStyle w:val="BalloonText"/>
        <w:bidi w:val="0"/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</w:pPr>
      <w:r w:rsidRPr="0094101A"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  <w:t xml:space="preserve">pán Koji Sekimizu </w:t>
      </w:r>
    </w:p>
    <w:p w:rsidR="000F212F" w:rsidRPr="0094101A" w:rsidP="000F212F">
      <w:pPr>
        <w:pStyle w:val="BalloonText"/>
        <w:bidi w:val="0"/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</w:pPr>
      <w:r w:rsidRPr="0094101A"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  <w:t>generálny tajomník</w:t>
      </w:r>
    </w:p>
    <w:p w:rsidR="000F212F" w:rsidRPr="000279BD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</w:p>
    <w:p w:rsidR="00576A85" w:rsidRPr="000279BD" w:rsidP="001F04D0">
      <w:pPr>
        <w:pStyle w:val="BodyTextIndent3"/>
        <w:bidi w:val="0"/>
        <w:ind w:firstLine="0"/>
        <w:jc w:val="left"/>
        <w:rPr>
          <w:rFonts w:ascii="Times New Roman" w:hAnsi="Times New Roman" w:cs="Times New Roman"/>
          <w:color w:val="000000" w:themeColor="tx1" w:themeShade="FF"/>
          <w:lang w:eastAsia="cs-CZ"/>
        </w:rPr>
      </w:pPr>
      <w:r w:rsidRPr="000279BD" w:rsidR="000F212F">
        <w:rPr>
          <w:rFonts w:ascii="Times New Roman" w:hAnsi="Times New Roman" w:cs="Times New Roman"/>
          <w:color w:val="000000" w:themeColor="tx1" w:themeShade="FF"/>
          <w:lang w:eastAsia="cs-CZ"/>
        </w:rPr>
        <w:t>Veľká Británia</w:t>
      </w:r>
    </w:p>
    <w:p w:rsidR="002D1ADD" w:rsidRPr="000279BD" w:rsidP="00B266E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cs-CZ"/>
        </w:rPr>
      </w:pPr>
    </w:p>
    <w:p w:rsidR="00B266E9" w:rsidRPr="000279BD" w:rsidP="00B266E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</w:pPr>
      <w:r w:rsidRPr="000279BD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>Draft</w:t>
      </w:r>
    </w:p>
    <w:p w:rsidR="00C03BAF" w:rsidRPr="000279BD" w:rsidP="00B266E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</w:pPr>
    </w:p>
    <w:p w:rsidR="00576A85" w:rsidRPr="000279BD" w:rsidP="002D1AD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</w:pPr>
      <w:r w:rsidRPr="000279BD" w:rsidR="00B266E9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 xml:space="preserve">of </w:t>
      </w:r>
      <w:r w:rsidRPr="000279BD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>Declarat</w:t>
      </w:r>
      <w:r w:rsidRPr="000279BD" w:rsidR="00B266E9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 xml:space="preserve">ion </w:t>
      </w:r>
      <w:r w:rsidRPr="000279BD" w:rsidR="002D1ADD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 xml:space="preserve">of the Slovak Republic </w:t>
      </w:r>
      <w:r w:rsidRPr="000279BD" w:rsidR="00C03BAF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>to</w:t>
      </w:r>
      <w:r w:rsidRPr="000279BD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 xml:space="preserve"> </w:t>
      </w:r>
      <w:r w:rsidRPr="000279BD" w:rsidR="00B266E9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 xml:space="preserve">the International Convention </w:t>
      </w:r>
      <w:r w:rsidRPr="000279BD" w:rsidR="002D1ADD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br/>
      </w:r>
      <w:r w:rsidRPr="000279BD" w:rsidR="00B266E9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>on Civil Liab</w:t>
      </w:r>
      <w:r w:rsidRPr="000279BD" w:rsidR="002D1ADD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>ility for Bunker Oil Pollution D</w:t>
      </w:r>
      <w:r w:rsidRPr="000279BD" w:rsidR="00B266E9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>amage, 2001</w:t>
      </w:r>
      <w:r w:rsidRPr="000279BD" w:rsidR="002D1ADD">
        <w:rPr>
          <w:rFonts w:ascii="Times New Roman" w:hAnsi="Times New Roman"/>
          <w:b/>
          <w:bCs/>
          <w:color w:val="000000" w:themeColor="tx1" w:themeShade="FF"/>
          <w:sz w:val="28"/>
          <w:szCs w:val="28"/>
          <w:lang w:val="en-GB"/>
        </w:rPr>
        <w:t xml:space="preserve"> (BUNKERS 2001)</w:t>
      </w:r>
    </w:p>
    <w:p w:rsidR="00576A85" w:rsidRPr="000279BD" w:rsidP="00576A85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  <w:lang w:val="en-GB"/>
        </w:rPr>
      </w:pPr>
    </w:p>
    <w:p w:rsidR="00576A85" w:rsidRPr="000279BD" w:rsidP="00576A85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  <w:lang w:val="en-GB"/>
        </w:rPr>
      </w:pPr>
    </w:p>
    <w:p w:rsidR="002D1ADD" w:rsidRPr="000279BD" w:rsidP="00C30503">
      <w:pPr>
        <w:bidi w:val="0"/>
        <w:rPr>
          <w:rFonts w:ascii="Times New Roman" w:hAnsi="Times New Roman"/>
          <w:b/>
          <w:bCs/>
          <w:color w:val="000000" w:themeColor="tx1" w:themeShade="FF"/>
          <w:sz w:val="24"/>
          <w:szCs w:val="24"/>
          <w:lang w:val="en-GB"/>
        </w:rPr>
      </w:pPr>
    </w:p>
    <w:p w:rsidR="00576A85" w:rsidRPr="000279BD" w:rsidP="00576A85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</w:pPr>
    </w:p>
    <w:p w:rsidR="00C03BAF" w:rsidRPr="000279BD" w:rsidP="002D1ADD">
      <w:pPr>
        <w:bidi w:val="0"/>
        <w:ind w:firstLine="709"/>
        <w:jc w:val="both"/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</w:pPr>
      <w:r w:rsidRPr="000279BD"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  <w:t>The Declaration of the Slovak Republic under Article 2 of</w:t>
      </w:r>
      <w:r w:rsidRPr="000279BD" w:rsidR="00F139B3"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  <w:t xml:space="preserve"> the</w:t>
      </w:r>
      <w:r w:rsidRPr="000279BD" w:rsidR="00F139B3">
        <w:rPr>
          <w:rStyle w:val="Strong"/>
          <w:rFonts w:ascii="Tahoma" w:hAnsi="Tahoma" w:cs="Tahoma"/>
          <w:color w:val="000000" w:themeColor="tx1" w:themeShade="FF"/>
          <w:lang w:val="en-GB"/>
        </w:rPr>
        <w:t xml:space="preserve"> </w:t>
      </w:r>
      <w:r w:rsidRPr="000279BD" w:rsidR="00F139B3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t xml:space="preserve">Council Decision </w:t>
        <w:br/>
        <w:t xml:space="preserve">of 19 September 2002 authorising the Member States, in the interest of the Community, </w:t>
      </w:r>
      <w:r w:rsidRPr="000279BD" w:rsidR="002D1ADD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br/>
      </w:r>
      <w:r w:rsidRPr="000279BD" w:rsidR="00F139B3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t xml:space="preserve">to sign, ratify or accede to the International Convention on Civil Liability for Bunker Oil Pollution Damage, 2001 (the Bunkers Convention) (2002/762/EC) and in accordance </w:t>
      </w:r>
      <w:r w:rsidRPr="000279BD" w:rsidR="002D1ADD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br/>
      </w:r>
      <w:r w:rsidRPr="000279BD" w:rsidR="00F139B3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t xml:space="preserve">with the </w:t>
      </w:r>
      <w:r w:rsidRPr="000279BD" w:rsidR="009357A9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t>A</w:t>
      </w:r>
      <w:r w:rsidRPr="000279BD" w:rsidR="00F139B3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t xml:space="preserve">rticle </w:t>
      </w:r>
      <w:r w:rsidRPr="000279BD" w:rsidR="002D1ADD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t>12 (</w:t>
      </w:r>
      <w:r w:rsidRPr="000279BD" w:rsidR="002D1ADD">
        <w:rPr>
          <w:rFonts w:ascii="Times New Roman" w:hAnsi="Times New Roman"/>
          <w:bCs/>
          <w:color w:val="000000" w:themeColor="tx1" w:themeShade="FF"/>
          <w:sz w:val="24"/>
          <w:szCs w:val="24"/>
          <w:lang w:val="en-GB"/>
        </w:rPr>
        <w:t>Signature, ratification, acceptance, approval and accession) of the</w:t>
      </w:r>
      <w:r w:rsidRPr="000279BD" w:rsidR="002D1ADD">
        <w:rPr>
          <w:rStyle w:val="Strong"/>
          <w:rFonts w:ascii="Times New Roman" w:hAnsi="Times New Roman"/>
          <w:color w:val="000000" w:themeColor="tx1" w:themeShade="FF"/>
          <w:sz w:val="24"/>
          <w:szCs w:val="24"/>
          <w:lang w:val="en-GB"/>
        </w:rPr>
        <w:t xml:space="preserve"> </w:t>
      </w:r>
      <w:r w:rsidRPr="000279BD" w:rsidR="002D1ADD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t>Bunkers Convention</w:t>
      </w:r>
      <w:r w:rsidRPr="000279BD" w:rsidR="00F139B3">
        <w:rPr>
          <w:rStyle w:val="Strong"/>
          <w:rFonts w:ascii="Times New Roman" w:hAnsi="Times New Roman"/>
          <w:b w:val="0"/>
          <w:color w:val="000000" w:themeColor="tx1" w:themeShade="FF"/>
          <w:sz w:val="24"/>
          <w:szCs w:val="24"/>
          <w:lang w:val="en-GB"/>
        </w:rPr>
        <w:t>:</w:t>
      </w:r>
    </w:p>
    <w:p w:rsidR="00F139B3" w:rsidRPr="000279BD" w:rsidP="002D1ADD">
      <w:pPr>
        <w:bidi w:val="0"/>
        <w:ind w:firstLine="709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F139B3" w:rsidRPr="00C30503" w:rsidP="002D1ADD">
      <w:pPr>
        <w:bidi w:val="0"/>
        <w:spacing w:before="51"/>
        <w:ind w:firstLine="709"/>
        <w:jc w:val="both"/>
        <w:rPr>
          <w:rFonts w:ascii="Times New Roman" w:hAnsi="Times New Roman"/>
          <w:sz w:val="24"/>
          <w:szCs w:val="24"/>
          <w:lang w:val="en"/>
        </w:rPr>
      </w:pPr>
      <w:r w:rsidRPr="000279BD">
        <w:rPr>
          <w:rFonts w:ascii="Times New Roman" w:hAnsi="Times New Roman"/>
          <w:color w:val="000000" w:themeColor="tx1" w:themeShade="FF"/>
          <w:sz w:val="24"/>
          <w:szCs w:val="24"/>
          <w:lang w:val="en"/>
        </w:rPr>
        <w:t>“When signing, ratifying or acceding to the Bunkers Convention, Member States shall m</w:t>
      </w:r>
      <w:r w:rsidRPr="000279BD" w:rsidR="002D1ADD">
        <w:rPr>
          <w:rFonts w:ascii="Times New Roman" w:hAnsi="Times New Roman"/>
          <w:color w:val="000000" w:themeColor="tx1" w:themeShade="FF"/>
          <w:sz w:val="24"/>
          <w:szCs w:val="24"/>
          <w:lang w:val="en"/>
        </w:rPr>
        <w:t>ake the following declaration: “</w:t>
      </w:r>
      <w:r w:rsidRPr="000279BD">
        <w:rPr>
          <w:rFonts w:ascii="Times New Roman" w:hAnsi="Times New Roman"/>
          <w:color w:val="000000" w:themeColor="tx1" w:themeShade="FF"/>
          <w:sz w:val="24"/>
          <w:szCs w:val="24"/>
          <w:lang w:val="en"/>
        </w:rPr>
        <w:t xml:space="preserve">Judgments on matters covered by the Convention shall, when given by a court </w:t>
      </w:r>
      <w:r w:rsidRPr="005E6A67">
        <w:rPr>
          <w:rFonts w:ascii="Times New Roman" w:hAnsi="Times New Roman"/>
          <w:color w:val="000000" w:themeColor="tx1" w:themeShade="FF"/>
          <w:sz w:val="24"/>
          <w:szCs w:val="24"/>
          <w:lang w:val="en"/>
        </w:rPr>
        <w:t xml:space="preserve">of </w:t>
      </w:r>
      <w:r w:rsidRPr="00C30503" w:rsidR="005E6A67">
        <w:rPr>
          <w:rFonts w:ascii="Times New Roman" w:hAnsi="Times New Roman"/>
          <w:bCs/>
          <w:iCs/>
          <w:sz w:val="24"/>
          <w:szCs w:val="24"/>
          <w:lang w:val="en-GB"/>
        </w:rPr>
        <w:t xml:space="preserve">the Kingdom of Belgium, the Republic of Bulgaria, </w:t>
      </w:r>
      <w:r w:rsidRPr="00C30503" w:rsidR="00AA623E">
        <w:rPr>
          <w:rFonts w:ascii="Times New Roman" w:hAnsi="Times New Roman"/>
          <w:bCs/>
          <w:iCs/>
          <w:sz w:val="24"/>
          <w:szCs w:val="24"/>
          <w:lang w:val="en-GB"/>
        </w:rPr>
        <w:br/>
      </w:r>
      <w:r w:rsidRPr="00C30503" w:rsidR="005E6A67">
        <w:rPr>
          <w:rFonts w:ascii="Times New Roman" w:hAnsi="Times New Roman"/>
          <w:bCs/>
          <w:iCs/>
          <w:sz w:val="24"/>
          <w:szCs w:val="24"/>
          <w:lang w:val="en-GB"/>
        </w:rPr>
        <w:t xml:space="preserve">the Czech Republic, the federal Republic of Germany, the Republic of Estonia, Ireland, </w:t>
      </w:r>
      <w:r w:rsidRPr="00C30503" w:rsidR="00AA623E">
        <w:rPr>
          <w:rFonts w:ascii="Times New Roman" w:hAnsi="Times New Roman"/>
          <w:bCs/>
          <w:iCs/>
          <w:sz w:val="24"/>
          <w:szCs w:val="24"/>
          <w:lang w:val="en-GB"/>
        </w:rPr>
        <w:br/>
      </w:r>
      <w:r w:rsidRPr="00C30503" w:rsidR="005E6A67">
        <w:rPr>
          <w:rFonts w:ascii="Times New Roman" w:hAnsi="Times New Roman"/>
          <w:bCs/>
          <w:iCs/>
          <w:sz w:val="24"/>
          <w:szCs w:val="24"/>
          <w:lang w:val="en-GB"/>
        </w:rPr>
        <w:t xml:space="preserve">the Hellenic Republic, the Kingdom of Spain, the French Republic, the Italian Republic, </w:t>
      </w:r>
      <w:r w:rsidRPr="00C30503" w:rsidR="00AA623E">
        <w:rPr>
          <w:rFonts w:ascii="Times New Roman" w:hAnsi="Times New Roman"/>
          <w:bCs/>
          <w:iCs/>
          <w:sz w:val="24"/>
          <w:szCs w:val="24"/>
          <w:lang w:val="en-GB"/>
        </w:rPr>
        <w:br/>
      </w:r>
      <w:r w:rsidRPr="00C30503" w:rsidR="005E6A67">
        <w:rPr>
          <w:rFonts w:ascii="Times New Roman" w:hAnsi="Times New Roman"/>
          <w:bCs/>
          <w:iCs/>
          <w:sz w:val="24"/>
          <w:szCs w:val="24"/>
          <w:lang w:val="en-GB"/>
        </w:rPr>
        <w:t xml:space="preserve">the Republic of Cyprus, the Republic of Latvia, the Republic of Lithuania, </w:t>
      </w:r>
      <w:r w:rsidRPr="00C30503" w:rsidR="00AA623E">
        <w:rPr>
          <w:rFonts w:ascii="Times New Roman" w:hAnsi="Times New Roman"/>
          <w:bCs/>
          <w:iCs/>
          <w:sz w:val="24"/>
          <w:szCs w:val="24"/>
          <w:lang w:val="en-GB"/>
        </w:rPr>
        <w:br/>
      </w:r>
      <w:r w:rsidRPr="00C30503" w:rsidR="005E6A67">
        <w:rPr>
          <w:rFonts w:ascii="Times New Roman" w:hAnsi="Times New Roman"/>
          <w:bCs/>
          <w:iCs/>
          <w:sz w:val="24"/>
          <w:szCs w:val="24"/>
          <w:lang w:val="en-GB"/>
        </w:rPr>
        <w:t xml:space="preserve">the Grand Duchy of Luxembourg, Hungary, Malta, the Kingdom of the Netherlands, </w:t>
      </w:r>
      <w:r w:rsidRPr="00C30503" w:rsidR="00AA623E">
        <w:rPr>
          <w:rFonts w:ascii="Times New Roman" w:hAnsi="Times New Roman"/>
          <w:bCs/>
          <w:iCs/>
          <w:sz w:val="24"/>
          <w:szCs w:val="24"/>
          <w:lang w:val="en-GB"/>
        </w:rPr>
        <w:br/>
      </w:r>
      <w:r w:rsidRPr="00C30503" w:rsidR="005E6A67">
        <w:rPr>
          <w:rFonts w:ascii="Times New Roman" w:hAnsi="Times New Roman"/>
          <w:bCs/>
          <w:iCs/>
          <w:sz w:val="24"/>
          <w:szCs w:val="24"/>
          <w:lang w:val="en-GB"/>
        </w:rPr>
        <w:t xml:space="preserve">the republic of Austria, the Republic of Poland, the Portuguese Republic, Romania, </w:t>
      </w:r>
      <w:r w:rsidRPr="00C30503" w:rsidR="00AA623E">
        <w:rPr>
          <w:rFonts w:ascii="Times New Roman" w:hAnsi="Times New Roman"/>
          <w:bCs/>
          <w:iCs/>
          <w:sz w:val="24"/>
          <w:szCs w:val="24"/>
          <w:lang w:val="en-GB"/>
        </w:rPr>
        <w:br/>
      </w:r>
      <w:r w:rsidRPr="00C30503" w:rsidR="005E6A67">
        <w:rPr>
          <w:rFonts w:ascii="Times New Roman" w:hAnsi="Times New Roman"/>
          <w:bCs/>
          <w:iCs/>
          <w:sz w:val="24"/>
          <w:szCs w:val="24"/>
          <w:lang w:val="en-GB"/>
        </w:rPr>
        <w:t xml:space="preserve">the Republic of Slovenia, the republic of Finland, the Kingdom of Sweden, </w:t>
      </w:r>
      <w:r w:rsidRPr="00C30503" w:rsidR="00AA623E">
        <w:rPr>
          <w:rFonts w:ascii="Times New Roman" w:hAnsi="Times New Roman"/>
          <w:bCs/>
          <w:iCs/>
          <w:sz w:val="24"/>
          <w:szCs w:val="24"/>
          <w:lang w:val="en-GB"/>
        </w:rPr>
        <w:br/>
      </w:r>
      <w:r w:rsidRPr="00C30503" w:rsidR="005E6A67">
        <w:rPr>
          <w:rFonts w:ascii="Times New Roman" w:hAnsi="Times New Roman"/>
          <w:bCs/>
          <w:iCs/>
          <w:sz w:val="24"/>
          <w:szCs w:val="24"/>
          <w:lang w:val="en-GB"/>
        </w:rPr>
        <w:t>the United Kingdom of Great Britain and Northern Ireland</w:t>
      </w:r>
      <w:r w:rsidRPr="00C30503">
        <w:rPr>
          <w:rFonts w:ascii="Times New Roman" w:hAnsi="Times New Roman"/>
          <w:sz w:val="24"/>
          <w:szCs w:val="24"/>
          <w:lang w:val="en"/>
        </w:rPr>
        <w:t xml:space="preserve">, be </w:t>
      </w:r>
      <w:r w:rsidRPr="00C30503" w:rsidR="005E6A67">
        <w:rPr>
          <w:rFonts w:ascii="Times New Roman" w:hAnsi="Times New Roman"/>
          <w:sz w:val="24"/>
          <w:szCs w:val="24"/>
          <w:lang w:val="en"/>
        </w:rPr>
        <w:t>recognised</w:t>
      </w:r>
      <w:r w:rsidRPr="00C30503">
        <w:rPr>
          <w:rFonts w:ascii="Times New Roman" w:hAnsi="Times New Roman"/>
          <w:sz w:val="24"/>
          <w:szCs w:val="24"/>
          <w:lang w:val="en"/>
        </w:rPr>
        <w:t xml:space="preserve"> and enforced </w:t>
      </w:r>
      <w:r w:rsidR="00C30503">
        <w:rPr>
          <w:rFonts w:ascii="Times New Roman" w:hAnsi="Times New Roman"/>
          <w:sz w:val="24"/>
          <w:szCs w:val="24"/>
          <w:lang w:val="en"/>
        </w:rPr>
        <w:br/>
      </w:r>
      <w:r w:rsidRPr="00C30503">
        <w:rPr>
          <w:rFonts w:ascii="Times New Roman" w:hAnsi="Times New Roman"/>
          <w:sz w:val="24"/>
          <w:szCs w:val="24"/>
          <w:lang w:val="en"/>
        </w:rPr>
        <w:t xml:space="preserve">in </w:t>
      </w:r>
      <w:r w:rsidRPr="00C30503" w:rsidR="005E6A67">
        <w:rPr>
          <w:rFonts w:ascii="Times New Roman" w:hAnsi="Times New Roman"/>
          <w:sz w:val="24"/>
          <w:szCs w:val="24"/>
          <w:lang w:val="en"/>
        </w:rPr>
        <w:t>the Slovak Republic</w:t>
      </w:r>
      <w:r w:rsidRPr="00C30503">
        <w:rPr>
          <w:rFonts w:ascii="Times New Roman" w:hAnsi="Times New Roman"/>
          <w:sz w:val="24"/>
          <w:szCs w:val="24"/>
          <w:lang w:val="en"/>
        </w:rPr>
        <w:t xml:space="preserve"> according to the relevant internal </w:t>
      </w:r>
      <w:r w:rsidRPr="00C30503" w:rsidR="005217FF">
        <w:rPr>
          <w:rFonts w:ascii="Times New Roman" w:hAnsi="Times New Roman"/>
          <w:sz w:val="24"/>
          <w:szCs w:val="24"/>
          <w:lang w:val="en"/>
        </w:rPr>
        <w:t>Community rules on the subject</w:t>
      </w:r>
      <w:r w:rsidRPr="00C30503">
        <w:rPr>
          <w:rFonts w:ascii="Times New Roman" w:hAnsi="Times New Roman"/>
          <w:sz w:val="24"/>
          <w:szCs w:val="24"/>
          <w:lang w:val="en"/>
        </w:rPr>
        <w:t xml:space="preserve"> </w:t>
      </w:r>
      <w:r w:rsidR="00C30503">
        <w:rPr>
          <w:rFonts w:ascii="Times New Roman" w:hAnsi="Times New Roman"/>
          <w:sz w:val="24"/>
          <w:szCs w:val="24"/>
          <w:lang w:val="en"/>
        </w:rPr>
        <w:t>(</w:t>
      </w:r>
      <w:r w:rsidRPr="00C30503" w:rsidR="005217FF">
        <w:rPr>
          <w:rFonts w:ascii="Times New Roman" w:hAnsi="Times New Roman"/>
          <w:sz w:val="24"/>
          <w:szCs w:val="24"/>
          <w:lang w:val="en"/>
        </w:rPr>
        <w:t>Regulation (EC) No. 44/2001</w:t>
      </w:r>
      <w:r w:rsidR="00C30503">
        <w:rPr>
          <w:rFonts w:ascii="Times New Roman" w:hAnsi="Times New Roman"/>
          <w:sz w:val="24"/>
          <w:szCs w:val="24"/>
          <w:lang w:val="en"/>
        </w:rPr>
        <w:t>)</w:t>
      </w:r>
      <w:r w:rsidRPr="00455F0C" w:rsidR="005217FF">
        <w:rPr>
          <w:rFonts w:ascii="Times New Roman" w:hAnsi="Times New Roman"/>
          <w:sz w:val="24"/>
          <w:szCs w:val="24"/>
          <w:lang w:val="en"/>
        </w:rPr>
        <w:t>”.”.</w:t>
      </w:r>
    </w:p>
    <w:p w:rsidR="00576A85" w:rsidRPr="000279BD" w:rsidP="00576A85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lang w:val="en"/>
        </w:rPr>
      </w:pPr>
    </w:p>
    <w:p w:rsidR="00966E15" w:rsidRPr="000279BD" w:rsidP="00576A85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</w:pPr>
    </w:p>
    <w:p w:rsidR="00966E15" w:rsidRPr="000279BD" w:rsidP="00576A85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</w:pPr>
    </w:p>
    <w:p w:rsidR="00576A85" w:rsidRPr="000279BD" w:rsidP="00576A85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</w:pPr>
      <w:r w:rsidRPr="000279BD"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  <w:t>For the Slovak Republic</w:t>
      </w:r>
    </w:p>
    <w:p w:rsidR="00966E15" w:rsidRPr="000279BD" w:rsidP="00576A85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</w:pPr>
    </w:p>
    <w:p w:rsidR="00966E15" w:rsidRPr="000279BD" w:rsidP="001F04D0">
      <w:pPr>
        <w:bidi w:val="0"/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</w:pPr>
      <w:r w:rsidRPr="000279BD" w:rsidR="001F04D0"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  <w:t xml:space="preserve">                                                                                            </w:t>
      </w:r>
      <w:r w:rsidRPr="000279BD"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  <w:t>.........</w:t>
      </w:r>
      <w:r w:rsidRPr="000279BD" w:rsidR="001F04D0"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  <w:t>..</w:t>
      </w:r>
      <w:r w:rsidRPr="000279BD"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  <w:t>...........................................</w:t>
      </w:r>
    </w:p>
    <w:p w:rsidR="001F04D0" w:rsidRPr="000279BD" w:rsidP="001F04D0">
      <w:pPr>
        <w:bidi w:val="0"/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</w:pPr>
      <w:r w:rsidRPr="000279BD">
        <w:rPr>
          <w:rFonts w:ascii="Times New Roman" w:hAnsi="Times New Roman"/>
          <w:color w:val="000000" w:themeColor="tx1" w:themeShade="FF"/>
          <w:sz w:val="24"/>
          <w:szCs w:val="24"/>
          <w:lang w:val="en-GB"/>
        </w:rPr>
        <w:t xml:space="preserve">                                                                                                                (signature)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Regular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44D6E"/>
    <w:multiLevelType w:val="hybridMultilevel"/>
    <w:tmpl w:val="8496CF86"/>
    <w:lvl w:ilvl="0">
      <w:start w:val="0"/>
      <w:numFmt w:val="bullet"/>
      <w:lvlText w:val="-"/>
      <w:lvlJc w:val="left"/>
      <w:pPr>
        <w:tabs>
          <w:tab w:val="num" w:pos="3709"/>
        </w:tabs>
        <w:ind w:left="370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EB1583E"/>
    <w:multiLevelType w:val="hybridMultilevel"/>
    <w:tmpl w:val="F06620E4"/>
    <w:lvl w:ilvl="0">
      <w:start w:val="0"/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35430"/>
    <w:rsid w:val="000279BD"/>
    <w:rsid w:val="000E354C"/>
    <w:rsid w:val="000F212F"/>
    <w:rsid w:val="001344FC"/>
    <w:rsid w:val="001F04D0"/>
    <w:rsid w:val="002A3980"/>
    <w:rsid w:val="002D1ADD"/>
    <w:rsid w:val="00455F0C"/>
    <w:rsid w:val="005217FF"/>
    <w:rsid w:val="00576A85"/>
    <w:rsid w:val="005E6A67"/>
    <w:rsid w:val="00835430"/>
    <w:rsid w:val="009357A9"/>
    <w:rsid w:val="0094101A"/>
    <w:rsid w:val="00966E15"/>
    <w:rsid w:val="009B4349"/>
    <w:rsid w:val="00AA623E"/>
    <w:rsid w:val="00B266E9"/>
    <w:rsid w:val="00B45EE5"/>
    <w:rsid w:val="00C03BAF"/>
    <w:rsid w:val="00C30503"/>
    <w:rsid w:val="00C86E6A"/>
    <w:rsid w:val="00E7692D"/>
    <w:rsid w:val="00F139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pPr>
      <w:ind w:right="282" w:firstLine="720"/>
      <w:jc w:val="both"/>
    </w:pPr>
    <w:rPr>
      <w:rFonts w:ascii="Arial" w:hAnsi="Arial" w:cs="Arial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835430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F212F"/>
    <w:pPr>
      <w:jc w:val="left"/>
    </w:pPr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F212F"/>
    <w:rPr>
      <w:rFonts w:ascii="Tahoma" w:hAnsi="Tahoma" w:cs="Tahoma"/>
      <w:sz w:val="16"/>
      <w:szCs w:val="16"/>
      <w:rtl w:val="0"/>
      <w:cs w:val="0"/>
      <w:lang w:val="cs-CZ" w:eastAsia="cs-CZ"/>
    </w:rPr>
  </w:style>
  <w:style w:type="paragraph" w:customStyle="1" w:styleId="s4-wptoptable1">
    <w:name w:val="s4-wptoptable1"/>
    <w:basedOn w:val="Normal"/>
    <w:rsid w:val="000F212F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139B3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438</Words>
  <Characters>3248</Characters>
  <Application>Microsoft Office Word</Application>
  <DocSecurity>0</DocSecurity>
  <Lines>0</Lines>
  <Paragraphs>0</Paragraphs>
  <ScaleCrop>false</ScaleCrop>
  <Company>MDPT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Tkac</dc:creator>
  <cp:lastModifiedBy>bauml</cp:lastModifiedBy>
  <cp:revision>5</cp:revision>
  <cp:lastPrinted>2006-10-30T11:10:00Z</cp:lastPrinted>
  <dcterms:created xsi:type="dcterms:W3CDTF">2012-08-27T13:39:00Z</dcterms:created>
  <dcterms:modified xsi:type="dcterms:W3CDTF">2012-08-27T13:47:00Z</dcterms:modified>
</cp:coreProperties>
</file>