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D0BE9"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P="00E12AD0">
      <w:pPr>
        <w:bidi w:val="0"/>
        <w:jc w:val="center"/>
        <w:rPr>
          <w:rFonts w:ascii="Times New Roman" w:hAnsi="Times New Roman"/>
          <w:b/>
        </w:rPr>
      </w:pPr>
    </w:p>
    <w:p w:rsidR="002764FA" w:rsidRPr="006B0548" w:rsidP="00E12AD0">
      <w:pPr>
        <w:bidi w:val="0"/>
        <w:jc w:val="center"/>
        <w:rPr>
          <w:rFonts w:ascii="Times New Roman" w:hAnsi="Times New Roman"/>
          <w:b/>
        </w:rPr>
      </w:pPr>
    </w:p>
    <w:p w:rsidR="00BD0BE9" w:rsidRPr="006B0548" w:rsidP="00E12AD0">
      <w:pPr>
        <w:bidi w:val="0"/>
        <w:jc w:val="center"/>
        <w:rPr>
          <w:rFonts w:ascii="Times New Roman" w:hAnsi="Times New Roman"/>
          <w:b/>
        </w:rPr>
      </w:pPr>
      <w:r w:rsidRPr="006B0548">
        <w:rPr>
          <w:rFonts w:ascii="Times New Roman" w:hAnsi="Times New Roman"/>
          <w:b/>
        </w:rPr>
        <w:t>z</w:t>
      </w:r>
      <w:r w:rsidR="004B0241">
        <w:rPr>
          <w:rFonts w:ascii="Times New Roman" w:hAnsi="Times New Roman"/>
          <w:b/>
        </w:rPr>
        <w:t> 5. februára</w:t>
      </w:r>
      <w:r w:rsidRPr="006B0548">
        <w:rPr>
          <w:rFonts w:ascii="Times New Roman" w:hAnsi="Times New Roman"/>
          <w:b/>
        </w:rPr>
        <w:t xml:space="preserve"> 201</w:t>
      </w:r>
      <w:r w:rsidR="00882642">
        <w:rPr>
          <w:rFonts w:ascii="Times New Roman" w:hAnsi="Times New Roman"/>
          <w:b/>
        </w:rPr>
        <w:t>3</w:t>
      </w:r>
    </w:p>
    <w:p w:rsidR="00BD0BE9" w:rsidP="00E12AD0">
      <w:pPr>
        <w:bidi w:val="0"/>
        <w:jc w:val="center"/>
        <w:rPr>
          <w:rFonts w:ascii="Times New Roman" w:hAnsi="Times New Roman"/>
          <w:b/>
        </w:rPr>
      </w:pPr>
    </w:p>
    <w:p w:rsidR="002764FA" w:rsidRPr="006B0548" w:rsidP="00E12AD0">
      <w:pPr>
        <w:bidi w:val="0"/>
        <w:jc w:val="center"/>
        <w:rPr>
          <w:rFonts w:ascii="Times New Roman" w:hAnsi="Times New Roman"/>
          <w:b/>
        </w:rPr>
      </w:pPr>
    </w:p>
    <w:p w:rsidR="00BD0BE9" w:rsidRPr="006B0548" w:rsidP="000C6145">
      <w:pPr>
        <w:bidi w:val="0"/>
        <w:jc w:val="both"/>
        <w:rPr>
          <w:rFonts w:ascii="Times New Roman" w:hAnsi="Times New Roman"/>
        </w:rPr>
      </w:pPr>
      <w:r w:rsidRPr="00F42432" w:rsidR="00B93F3C">
        <w:rPr>
          <w:rFonts w:ascii="Times New Roman" w:hAnsi="Times New Roman"/>
          <w:b/>
        </w:rPr>
        <w:t xml:space="preserve">o pôsobnosti orgánov Slovenskej republiky pri zabezpečovaní rozpočtovej zodpovednosti v Európskej únii a o zmene a doplnení </w:t>
      </w:r>
      <w:r w:rsidR="00882642">
        <w:rPr>
          <w:rFonts w:ascii="Times New Roman" w:hAnsi="Times New Roman"/>
          <w:b/>
        </w:rPr>
        <w:t xml:space="preserve"> niektorých zákonov</w:t>
      </w:r>
    </w:p>
    <w:p w:rsidR="00BD0BE9" w:rsidP="000C6145">
      <w:pPr>
        <w:autoSpaceDE w:val="0"/>
        <w:autoSpaceDN w:val="0"/>
        <w:bidi w:val="0"/>
        <w:adjustRightInd w:val="0"/>
        <w:jc w:val="both"/>
        <w:rPr>
          <w:rFonts w:ascii="Times New Roman" w:hAnsi="Times New Roman"/>
        </w:rPr>
      </w:pPr>
    </w:p>
    <w:p w:rsidR="006B52B2" w:rsidP="00E12AD0">
      <w:pPr>
        <w:autoSpaceDE w:val="0"/>
        <w:autoSpaceDN w:val="0"/>
        <w:bidi w:val="0"/>
        <w:adjustRightInd w:val="0"/>
        <w:jc w:val="both"/>
        <w:rPr>
          <w:rFonts w:ascii="Times New Roman" w:hAnsi="Times New Roman"/>
        </w:rPr>
      </w:pPr>
    </w:p>
    <w:p w:rsidR="00C078CB" w:rsidP="00E12AD0">
      <w:pPr>
        <w:autoSpaceDE w:val="0"/>
        <w:autoSpaceDN w:val="0"/>
        <w:bidi w:val="0"/>
        <w:adjustRightInd w:val="0"/>
        <w:jc w:val="both"/>
        <w:rPr>
          <w:rFonts w:ascii="Times New Roman" w:hAnsi="Times New Roman"/>
        </w:rPr>
      </w:pPr>
    </w:p>
    <w:p w:rsidR="00C078CB" w:rsidRPr="006B0548" w:rsidP="00E12AD0">
      <w:pPr>
        <w:autoSpaceDE w:val="0"/>
        <w:autoSpaceDN w:val="0"/>
        <w:bidi w:val="0"/>
        <w:adjustRightInd w:val="0"/>
        <w:jc w:val="both"/>
        <w:rPr>
          <w:rFonts w:ascii="Times New Roman" w:hAnsi="Times New Roman"/>
        </w:rPr>
      </w:pPr>
    </w:p>
    <w:p w:rsidR="00BD0BE9" w:rsidRPr="006B0548" w:rsidP="00E12AD0">
      <w:pPr>
        <w:autoSpaceDE w:val="0"/>
        <w:autoSpaceDN w:val="0"/>
        <w:bidi w:val="0"/>
        <w:adjustRightInd w:val="0"/>
        <w:jc w:val="both"/>
        <w:rPr>
          <w:rFonts w:ascii="Times New Roman" w:hAnsi="Times New Roman"/>
        </w:rPr>
      </w:pPr>
      <w:r w:rsidRPr="006B0548">
        <w:rPr>
          <w:rFonts w:ascii="Times New Roman" w:hAnsi="Times New Roman"/>
        </w:rPr>
        <w:t>Národná rada Slovenskej republiky sa uzniesla na tomto zákone:</w:t>
      </w:r>
    </w:p>
    <w:p w:rsidR="00BD0BE9" w:rsidRPr="006B0548" w:rsidP="00E12AD0">
      <w:pPr>
        <w:pStyle w:val="NormalWeb"/>
        <w:bidi w:val="0"/>
        <w:spacing w:before="0" w:beforeAutospacing="0" w:after="0" w:afterAutospacing="0"/>
        <w:rPr>
          <w:rFonts w:ascii="Times New Roman" w:hAnsi="Times New Roman"/>
          <w:color w:val="000000"/>
        </w:rPr>
      </w:pPr>
    </w:p>
    <w:p w:rsidR="00BD0BE9" w:rsidRPr="006B0548" w:rsidP="00E12AD0">
      <w:pPr>
        <w:pStyle w:val="NormalWeb"/>
        <w:bidi w:val="0"/>
        <w:spacing w:before="0" w:beforeAutospacing="0" w:after="0" w:afterAutospacing="0"/>
        <w:rPr>
          <w:rFonts w:ascii="Times New Roman" w:hAnsi="Times New Roman"/>
          <w:color w:val="000000"/>
        </w:rPr>
      </w:pPr>
    </w:p>
    <w:p w:rsidR="00A43F2F"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Čl. I</w:t>
      </w:r>
    </w:p>
    <w:p w:rsidR="002764FA" w:rsidP="00E12AD0">
      <w:pPr>
        <w:pStyle w:val="NormalWeb"/>
        <w:bidi w:val="0"/>
        <w:spacing w:before="0" w:beforeAutospacing="0" w:after="0" w:afterAutospacing="0"/>
        <w:jc w:val="center"/>
        <w:rPr>
          <w:rFonts w:ascii="Times New Roman" w:hAnsi="Times New Roman"/>
          <w:b/>
          <w:color w:val="000000"/>
        </w:rPr>
      </w:pPr>
    </w:p>
    <w:p w:rsidR="00A43F2F"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w:t>
      </w:r>
      <w:r w:rsidRPr="006B0548" w:rsidR="006824C7">
        <w:rPr>
          <w:rFonts w:ascii="Times New Roman" w:hAnsi="Times New Roman"/>
          <w:b/>
          <w:color w:val="000000"/>
        </w:rPr>
        <w:t xml:space="preserve"> </w:t>
      </w:r>
      <w:r w:rsidRPr="006B0548">
        <w:rPr>
          <w:rFonts w:ascii="Times New Roman" w:hAnsi="Times New Roman"/>
          <w:b/>
          <w:color w:val="000000"/>
        </w:rPr>
        <w:t>1</w:t>
      </w:r>
    </w:p>
    <w:p w:rsidR="00A43F2F" w:rsidRPr="006B0548" w:rsidP="00E12AD0">
      <w:pPr>
        <w:pStyle w:val="NormalWeb"/>
        <w:bidi w:val="0"/>
        <w:spacing w:before="0" w:beforeAutospacing="0" w:after="0" w:afterAutospacing="0"/>
        <w:rPr>
          <w:rFonts w:ascii="Times New Roman" w:hAnsi="Times New Roman"/>
          <w:color w:val="000000"/>
        </w:rPr>
      </w:pPr>
    </w:p>
    <w:p w:rsidR="00A43F2F" w:rsidRPr="006B0548" w:rsidP="00E12AD0">
      <w:pPr>
        <w:pStyle w:val="Zkladntext"/>
        <w:bidi w:val="0"/>
        <w:ind w:right="142"/>
        <w:jc w:val="both"/>
        <w:rPr>
          <w:rFonts w:ascii="Times New Roman" w:hAnsi="Times New Roman"/>
        </w:rPr>
      </w:pPr>
      <w:r w:rsidRPr="006B0548">
        <w:rPr>
          <w:rFonts w:ascii="Times New Roman" w:hAnsi="Times New Roman"/>
        </w:rPr>
        <w:t xml:space="preserve">Tento zákon upravuje </w:t>
      </w:r>
      <w:r w:rsidR="00FD5DF5">
        <w:rPr>
          <w:rFonts w:ascii="Times New Roman" w:hAnsi="Times New Roman"/>
        </w:rPr>
        <w:t>pôsobnosť</w:t>
      </w:r>
      <w:r w:rsidR="00A51250">
        <w:rPr>
          <w:rFonts w:ascii="Times New Roman" w:hAnsi="Times New Roman"/>
        </w:rPr>
        <w:t xml:space="preserve"> </w:t>
      </w:r>
      <w:r w:rsidR="00FD5DF5">
        <w:rPr>
          <w:rFonts w:ascii="Times New Roman" w:hAnsi="Times New Roman"/>
        </w:rPr>
        <w:t xml:space="preserve">orgánov Slovenskej republiky pri vykonávaní </w:t>
      </w:r>
      <w:r w:rsidRPr="006B0548">
        <w:rPr>
          <w:rFonts w:ascii="Times New Roman" w:hAnsi="Times New Roman"/>
        </w:rPr>
        <w:t>niektor</w:t>
      </w:r>
      <w:r w:rsidR="00FD5DF5">
        <w:rPr>
          <w:rFonts w:ascii="Times New Roman" w:hAnsi="Times New Roman"/>
        </w:rPr>
        <w:t>ých</w:t>
      </w:r>
      <w:r w:rsidRPr="006B0548">
        <w:rPr>
          <w:rFonts w:ascii="Times New Roman" w:hAnsi="Times New Roman"/>
        </w:rPr>
        <w:t xml:space="preserve"> práv a povinnost</w:t>
      </w:r>
      <w:r w:rsidR="00FD5DF5">
        <w:rPr>
          <w:rFonts w:ascii="Times New Roman" w:hAnsi="Times New Roman"/>
        </w:rPr>
        <w:t>í</w:t>
      </w:r>
      <w:r w:rsidRPr="006B0548">
        <w:rPr>
          <w:rFonts w:ascii="Times New Roman" w:hAnsi="Times New Roman"/>
        </w:rPr>
        <w:t xml:space="preserve"> Slovenskej republiky</w:t>
      </w:r>
      <w:r w:rsidR="007335C2">
        <w:rPr>
          <w:rFonts w:ascii="Times New Roman" w:hAnsi="Times New Roman"/>
        </w:rPr>
        <w:t xml:space="preserve"> vyplývajúcich</w:t>
      </w:r>
      <w:r w:rsidRPr="006B0548">
        <w:rPr>
          <w:rFonts w:ascii="Times New Roman" w:hAnsi="Times New Roman"/>
        </w:rPr>
        <w:t xml:space="preserve"> </w:t>
      </w:r>
      <w:r w:rsidR="00B93F3C">
        <w:rPr>
          <w:rFonts w:ascii="Times New Roman" w:hAnsi="Times New Roman"/>
        </w:rPr>
        <w:t>zmluvným stranám</w:t>
      </w:r>
      <w:r w:rsidR="00FD5DF5">
        <w:rPr>
          <w:rFonts w:ascii="Times New Roman" w:hAnsi="Times New Roman"/>
        </w:rPr>
        <w:t xml:space="preserve"> zo</w:t>
      </w:r>
      <w:r w:rsidRPr="006B0548">
        <w:rPr>
          <w:rFonts w:ascii="Times New Roman" w:hAnsi="Times New Roman"/>
        </w:rPr>
        <w:t xml:space="preserve"> Zmluvy o stabilite, koordinácii a správe v hospodárskej a menovej únii</w:t>
      </w:r>
      <w:bookmarkStart w:id="0" w:name="sdfootnote1anc"/>
      <w:r w:rsidR="006C3619">
        <w:rPr>
          <w:rFonts w:ascii="Times New Roman" w:hAnsi="Times New Roman"/>
        </w:rPr>
        <w:t xml:space="preserve"> </w:t>
      </w:r>
      <w:r>
        <w:rPr>
          <w:rStyle w:val="FootnoteReference"/>
          <w:rFonts w:ascii="Times New Roman" w:hAnsi="Times New Roman"/>
          <w:rtl w:val="0"/>
        </w:rPr>
        <w:footnoteReference w:id="2"/>
      </w:r>
      <w:r w:rsidRPr="006B0548" w:rsidR="00544790">
        <w:rPr>
          <w:rFonts w:ascii="Times New Roman" w:hAnsi="Times New Roman"/>
        </w:rPr>
        <w:t>)</w:t>
      </w:r>
      <w:bookmarkEnd w:id="0"/>
      <w:r w:rsidRPr="006B0548">
        <w:rPr>
          <w:rFonts w:ascii="Times New Roman" w:hAnsi="Times New Roman"/>
        </w:rPr>
        <w:t xml:space="preserve"> (ďalej len "</w:t>
      </w:r>
      <w:r w:rsidRPr="006B0548" w:rsidR="00480D6A">
        <w:rPr>
          <w:rFonts w:ascii="Times New Roman" w:hAnsi="Times New Roman"/>
        </w:rPr>
        <w:t>f</w:t>
      </w:r>
      <w:r w:rsidRPr="006B0548" w:rsidR="00E42F87">
        <w:rPr>
          <w:rFonts w:ascii="Times New Roman" w:hAnsi="Times New Roman"/>
        </w:rPr>
        <w:t xml:space="preserve">iškálna </w:t>
      </w:r>
      <w:r w:rsidRPr="006B0548">
        <w:rPr>
          <w:rFonts w:ascii="Times New Roman" w:hAnsi="Times New Roman"/>
        </w:rPr>
        <w:t>zmluva").</w:t>
      </w:r>
    </w:p>
    <w:p w:rsidR="00A43F2F" w:rsidRPr="006B0548" w:rsidP="00E12AD0">
      <w:pPr>
        <w:pStyle w:val="NormalWeb"/>
        <w:bidi w:val="0"/>
        <w:spacing w:before="0" w:beforeAutospacing="0" w:after="0" w:afterAutospacing="0"/>
        <w:rPr>
          <w:rFonts w:ascii="Times New Roman" w:hAnsi="Times New Roman"/>
          <w:color w:val="000000"/>
        </w:rPr>
      </w:pPr>
    </w:p>
    <w:p w:rsidR="00A43F2F"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w:t>
      </w:r>
      <w:r w:rsidRPr="006B0548" w:rsidR="006824C7">
        <w:rPr>
          <w:rFonts w:ascii="Times New Roman" w:hAnsi="Times New Roman"/>
          <w:b/>
          <w:color w:val="000000"/>
        </w:rPr>
        <w:t xml:space="preserve"> </w:t>
      </w:r>
      <w:r w:rsidRPr="006B0548">
        <w:rPr>
          <w:rFonts w:ascii="Times New Roman" w:hAnsi="Times New Roman"/>
          <w:b/>
          <w:color w:val="000000"/>
        </w:rPr>
        <w:t>2</w:t>
      </w:r>
    </w:p>
    <w:p w:rsidR="00A43F2F" w:rsidRPr="006B0548" w:rsidP="00E12AD0">
      <w:pPr>
        <w:pStyle w:val="NormalWeb"/>
        <w:bidi w:val="0"/>
        <w:spacing w:before="0" w:beforeAutospacing="0" w:after="0" w:afterAutospacing="0"/>
        <w:rPr>
          <w:rFonts w:ascii="Times New Roman" w:hAnsi="Times New Roman"/>
          <w:color w:val="000000"/>
        </w:rPr>
      </w:pPr>
    </w:p>
    <w:p w:rsidR="00166385" w:rsidRPr="006B0548" w:rsidP="00E12AD0">
      <w:pPr>
        <w:pStyle w:val="NormalWeb"/>
        <w:bidi w:val="0"/>
        <w:spacing w:before="0" w:beforeAutospacing="0" w:after="0" w:afterAutospacing="0"/>
        <w:jc w:val="both"/>
        <w:rPr>
          <w:rFonts w:ascii="Times New Roman" w:hAnsi="Times New Roman"/>
          <w:color w:val="000000"/>
        </w:rPr>
      </w:pPr>
      <w:r w:rsidRPr="006B0548" w:rsidR="00A43F2F">
        <w:rPr>
          <w:rFonts w:ascii="Times New Roman" w:hAnsi="Times New Roman"/>
          <w:color w:val="000000"/>
        </w:rPr>
        <w:t xml:space="preserve">Slovenskú republiku </w:t>
      </w:r>
      <w:r w:rsidRPr="006B0548" w:rsidR="000458BD">
        <w:rPr>
          <w:rFonts w:ascii="Times New Roman" w:hAnsi="Times New Roman"/>
          <w:color w:val="000000"/>
        </w:rPr>
        <w:t xml:space="preserve">na </w:t>
      </w:r>
      <w:r w:rsidR="00FD5DF5">
        <w:rPr>
          <w:rFonts w:ascii="Times New Roman" w:hAnsi="Times New Roman"/>
          <w:color w:val="000000"/>
        </w:rPr>
        <w:t>rokovaniach</w:t>
      </w:r>
      <w:r w:rsidR="0033233F">
        <w:rPr>
          <w:rFonts w:ascii="Times New Roman" w:hAnsi="Times New Roman"/>
          <w:color w:val="000000"/>
        </w:rPr>
        <w:t xml:space="preserve"> </w:t>
      </w:r>
      <w:r w:rsidRPr="006B0548" w:rsidR="000458BD">
        <w:rPr>
          <w:rFonts w:ascii="Times New Roman" w:hAnsi="Times New Roman"/>
          <w:color w:val="000000"/>
        </w:rPr>
        <w:t xml:space="preserve">eurozóny, ktoré sa </w:t>
      </w:r>
      <w:r w:rsidR="00B93F3C">
        <w:rPr>
          <w:rFonts w:ascii="Times New Roman" w:hAnsi="Times New Roman"/>
          <w:color w:val="000000"/>
        </w:rPr>
        <w:t>konajú</w:t>
      </w:r>
      <w:r w:rsidRPr="006B0548" w:rsidR="00A51250">
        <w:rPr>
          <w:rFonts w:ascii="Times New Roman" w:hAnsi="Times New Roman"/>
          <w:color w:val="000000"/>
        </w:rPr>
        <w:t xml:space="preserve"> </w:t>
      </w:r>
      <w:r w:rsidRPr="006B0548" w:rsidR="000458BD">
        <w:rPr>
          <w:rFonts w:ascii="Times New Roman" w:hAnsi="Times New Roman"/>
          <w:color w:val="000000"/>
        </w:rPr>
        <w:t xml:space="preserve">za účelom prerokovania základných pravidiel a budúcej </w:t>
      </w:r>
      <w:r w:rsidRPr="006B0548" w:rsidR="00A43F2F">
        <w:rPr>
          <w:rFonts w:ascii="Times New Roman" w:hAnsi="Times New Roman"/>
          <w:color w:val="000000"/>
        </w:rPr>
        <w:t xml:space="preserve">spolupráce v oblastiach určených </w:t>
      </w:r>
      <w:r w:rsidRPr="006B0548" w:rsidR="00480D6A">
        <w:rPr>
          <w:rFonts w:ascii="Times New Roman" w:hAnsi="Times New Roman"/>
          <w:color w:val="000000"/>
        </w:rPr>
        <w:t>f</w:t>
      </w:r>
      <w:r w:rsidRPr="006B0548" w:rsidR="000458BD">
        <w:rPr>
          <w:rFonts w:ascii="Times New Roman" w:hAnsi="Times New Roman"/>
          <w:color w:val="000000"/>
        </w:rPr>
        <w:t xml:space="preserve">iškálnou </w:t>
      </w:r>
      <w:r w:rsidRPr="006B0548" w:rsidR="00A43F2F">
        <w:rPr>
          <w:rFonts w:ascii="Times New Roman" w:hAnsi="Times New Roman"/>
          <w:color w:val="000000"/>
        </w:rPr>
        <w:t xml:space="preserve">zmluvou zastupuje </w:t>
      </w:r>
      <w:r w:rsidRPr="006B0548" w:rsidR="00DC1792">
        <w:rPr>
          <w:rFonts w:ascii="Times New Roman" w:hAnsi="Times New Roman"/>
          <w:color w:val="000000"/>
        </w:rPr>
        <w:t>predseda vlády Slovenskej republiky</w:t>
      </w:r>
      <w:r w:rsidR="00BB3434">
        <w:rPr>
          <w:rFonts w:ascii="Times New Roman" w:hAnsi="Times New Roman"/>
          <w:color w:val="000000"/>
        </w:rPr>
        <w:t xml:space="preserve">, ktorý </w:t>
      </w:r>
      <w:r w:rsidRPr="006B0548">
        <w:rPr>
          <w:rFonts w:ascii="Times New Roman" w:hAnsi="Times New Roman"/>
          <w:color w:val="000000"/>
        </w:rPr>
        <w:t>inform</w:t>
      </w:r>
      <w:r w:rsidR="00BB3434">
        <w:rPr>
          <w:rFonts w:ascii="Times New Roman" w:hAnsi="Times New Roman"/>
          <w:color w:val="000000"/>
        </w:rPr>
        <w:t>uje</w:t>
      </w:r>
      <w:r w:rsidRPr="006B0548">
        <w:rPr>
          <w:rFonts w:ascii="Times New Roman" w:hAnsi="Times New Roman"/>
          <w:color w:val="000000"/>
        </w:rPr>
        <w:t xml:space="preserve"> vládu</w:t>
      </w:r>
      <w:r w:rsidR="00FB61CD">
        <w:rPr>
          <w:rFonts w:ascii="Times New Roman" w:hAnsi="Times New Roman"/>
          <w:color w:val="000000"/>
        </w:rPr>
        <w:t xml:space="preserve"> Slovenskej republiky (ďale</w:t>
      </w:r>
      <w:r w:rsidR="00AE57ED">
        <w:rPr>
          <w:rFonts w:ascii="Times New Roman" w:hAnsi="Times New Roman"/>
          <w:color w:val="000000"/>
        </w:rPr>
        <w:t>j</w:t>
      </w:r>
      <w:r w:rsidR="00FB61CD">
        <w:rPr>
          <w:rFonts w:ascii="Times New Roman" w:hAnsi="Times New Roman"/>
          <w:color w:val="000000"/>
        </w:rPr>
        <w:t xml:space="preserve"> len „vláda“)</w:t>
      </w:r>
      <w:r w:rsidRPr="006B0548">
        <w:rPr>
          <w:rFonts w:ascii="Times New Roman" w:hAnsi="Times New Roman"/>
          <w:color w:val="000000"/>
        </w:rPr>
        <w:t xml:space="preserve"> o prijatých záveroch</w:t>
      </w:r>
      <w:r w:rsidRPr="006B0548" w:rsidR="00C93FC1">
        <w:rPr>
          <w:rFonts w:ascii="Times New Roman" w:hAnsi="Times New Roman"/>
          <w:color w:val="000000"/>
        </w:rPr>
        <w:t xml:space="preserve"> a spoločných postupoch v oblasti rozpočtovej </w:t>
      </w:r>
      <w:r w:rsidR="00BB3434">
        <w:rPr>
          <w:rFonts w:ascii="Times New Roman" w:hAnsi="Times New Roman"/>
          <w:color w:val="000000"/>
        </w:rPr>
        <w:t xml:space="preserve">politiky </w:t>
      </w:r>
      <w:r w:rsidRPr="006B0548" w:rsidR="00C93FC1">
        <w:rPr>
          <w:rFonts w:ascii="Times New Roman" w:hAnsi="Times New Roman"/>
          <w:color w:val="000000"/>
        </w:rPr>
        <w:t xml:space="preserve">a </w:t>
      </w:r>
      <w:r w:rsidRPr="006B0548">
        <w:rPr>
          <w:rFonts w:ascii="Times New Roman" w:hAnsi="Times New Roman"/>
          <w:color w:val="000000"/>
        </w:rPr>
        <w:t xml:space="preserve">hospodárskej </w:t>
      </w:r>
      <w:r w:rsidRPr="006B0548" w:rsidR="00C93FC1">
        <w:rPr>
          <w:rFonts w:ascii="Times New Roman" w:hAnsi="Times New Roman"/>
          <w:color w:val="000000"/>
        </w:rPr>
        <w:t>p</w:t>
      </w:r>
      <w:r w:rsidRPr="006B0548">
        <w:rPr>
          <w:rFonts w:ascii="Times New Roman" w:hAnsi="Times New Roman"/>
          <w:color w:val="000000"/>
        </w:rPr>
        <w:t>olitiky</w:t>
      </w:r>
      <w:r w:rsidRPr="006B0548" w:rsidR="00392EB2">
        <w:rPr>
          <w:rFonts w:ascii="Times New Roman" w:hAnsi="Times New Roman"/>
          <w:color w:val="000000"/>
        </w:rPr>
        <w:t>.</w:t>
      </w:r>
    </w:p>
    <w:p w:rsidR="000458BD" w:rsidRPr="006B0548" w:rsidP="00E12AD0">
      <w:pPr>
        <w:pStyle w:val="NormalWeb"/>
        <w:bidi w:val="0"/>
        <w:spacing w:before="0" w:beforeAutospacing="0" w:after="0" w:afterAutospacing="0"/>
        <w:rPr>
          <w:rFonts w:ascii="Times New Roman" w:hAnsi="Times New Roman"/>
          <w:color w:val="000000"/>
        </w:rPr>
      </w:pPr>
    </w:p>
    <w:p w:rsidR="006B52B2" w:rsidP="00E12AD0">
      <w:pPr>
        <w:pStyle w:val="NormalWeb"/>
        <w:bidi w:val="0"/>
        <w:spacing w:before="0" w:beforeAutospacing="0" w:after="0" w:afterAutospacing="0"/>
        <w:jc w:val="center"/>
        <w:rPr>
          <w:rFonts w:ascii="Times New Roman" w:hAnsi="Times New Roman"/>
          <w:b/>
          <w:color w:val="000000"/>
        </w:rPr>
      </w:pPr>
    </w:p>
    <w:p w:rsidR="00C078CB" w:rsidP="00E12AD0">
      <w:pPr>
        <w:pStyle w:val="NormalWeb"/>
        <w:bidi w:val="0"/>
        <w:spacing w:before="0" w:beforeAutospacing="0" w:after="0" w:afterAutospacing="0"/>
        <w:jc w:val="center"/>
        <w:rPr>
          <w:rFonts w:ascii="Times New Roman" w:hAnsi="Times New Roman"/>
          <w:b/>
          <w:color w:val="000000"/>
        </w:rPr>
      </w:pPr>
    </w:p>
    <w:p w:rsidR="00A43F2F" w:rsidRPr="006B0548" w:rsidP="00E12AD0">
      <w:pPr>
        <w:pStyle w:val="NormalWeb"/>
        <w:bidi w:val="0"/>
        <w:spacing w:before="0" w:beforeAutospacing="0" w:after="0" w:afterAutospacing="0"/>
        <w:jc w:val="center"/>
        <w:rPr>
          <w:rFonts w:ascii="Times New Roman" w:hAnsi="Times New Roman"/>
          <w:color w:val="000000"/>
        </w:rPr>
      </w:pPr>
      <w:r w:rsidRPr="006B0548" w:rsidR="003B07E0">
        <w:rPr>
          <w:rFonts w:ascii="Times New Roman" w:hAnsi="Times New Roman"/>
          <w:b/>
          <w:color w:val="000000"/>
        </w:rPr>
        <w:t>§</w:t>
      </w:r>
      <w:r w:rsidRPr="006B0548" w:rsidR="006824C7">
        <w:rPr>
          <w:rFonts w:ascii="Times New Roman" w:hAnsi="Times New Roman"/>
          <w:b/>
          <w:color w:val="000000"/>
        </w:rPr>
        <w:t xml:space="preserve"> </w:t>
      </w:r>
      <w:r w:rsidRPr="006B0548" w:rsidR="003B07E0">
        <w:rPr>
          <w:rFonts w:ascii="Times New Roman" w:hAnsi="Times New Roman"/>
          <w:b/>
          <w:color w:val="000000"/>
        </w:rPr>
        <w:t>3</w:t>
      </w:r>
    </w:p>
    <w:p w:rsidR="00F7209A" w:rsidRPr="006B0548" w:rsidP="00E12AD0">
      <w:pPr>
        <w:pStyle w:val="NormalWeb"/>
        <w:bidi w:val="0"/>
        <w:spacing w:before="0" w:beforeAutospacing="0" w:after="0" w:afterAutospacing="0"/>
        <w:jc w:val="both"/>
        <w:rPr>
          <w:rFonts w:ascii="Times New Roman" w:hAnsi="Times New Roman"/>
          <w:color w:val="000000"/>
        </w:rPr>
      </w:pPr>
    </w:p>
    <w:p w:rsidR="00FB61CD" w:rsidP="00AE57ED">
      <w:pPr>
        <w:pStyle w:val="NormalWeb"/>
        <w:bidi w:val="0"/>
        <w:spacing w:before="0" w:beforeAutospacing="0" w:after="0" w:afterAutospacing="0"/>
        <w:jc w:val="both"/>
        <w:rPr>
          <w:rFonts w:ascii="Times New Roman" w:hAnsi="Times New Roman"/>
          <w:color w:val="000000"/>
        </w:rPr>
      </w:pPr>
      <w:r w:rsidRPr="006B0548" w:rsidR="00C93FC1">
        <w:rPr>
          <w:rFonts w:ascii="Times New Roman" w:hAnsi="Times New Roman"/>
          <w:color w:val="000000"/>
        </w:rPr>
        <w:t>Ministerstvo financií</w:t>
      </w:r>
      <w:r w:rsidRPr="006B0548" w:rsidR="00897900">
        <w:rPr>
          <w:rFonts w:ascii="Times New Roman" w:hAnsi="Times New Roman"/>
          <w:color w:val="000000"/>
        </w:rPr>
        <w:t xml:space="preserve"> Slovenskej republiky (ďalej len „ministerstvo financií“) </w:t>
      </w:r>
      <w:r w:rsidRPr="006B0548" w:rsidR="00C93FC1">
        <w:rPr>
          <w:rFonts w:ascii="Times New Roman" w:hAnsi="Times New Roman"/>
          <w:color w:val="000000"/>
        </w:rPr>
        <w:t xml:space="preserve">je </w:t>
      </w:r>
      <w:r w:rsidRPr="006B0548" w:rsidR="00480D6A">
        <w:rPr>
          <w:rFonts w:ascii="Times New Roman" w:hAnsi="Times New Roman"/>
          <w:color w:val="000000"/>
        </w:rPr>
        <w:t xml:space="preserve">povinné v súlade s fiškálnou zmluvou </w:t>
      </w:r>
      <w:r w:rsidRPr="006B0548" w:rsidR="00C93FC1">
        <w:rPr>
          <w:rFonts w:ascii="Times New Roman" w:hAnsi="Times New Roman"/>
          <w:color w:val="000000"/>
        </w:rPr>
        <w:t>predkladať</w:t>
      </w:r>
      <w:r>
        <w:rPr>
          <w:rFonts w:ascii="Times New Roman" w:hAnsi="Times New Roman"/>
          <w:color w:val="000000"/>
        </w:rPr>
        <w:t xml:space="preserve"> Rade Európskej únie a Európskej komisii</w:t>
      </w:r>
    </w:p>
    <w:p w:rsidR="00AE57ED" w:rsidP="00FB61CD">
      <w:pPr>
        <w:pStyle w:val="NormalWeb"/>
        <w:numPr>
          <w:numId w:val="9"/>
        </w:numPr>
        <w:bidi w:val="0"/>
        <w:spacing w:before="0" w:beforeAutospacing="0" w:after="0" w:afterAutospacing="0"/>
        <w:jc w:val="both"/>
        <w:rPr>
          <w:rFonts w:ascii="Times New Roman" w:hAnsi="Times New Roman"/>
          <w:color w:val="000000"/>
        </w:rPr>
      </w:pPr>
      <w:r w:rsidR="00FB61CD">
        <w:rPr>
          <w:rFonts w:ascii="Times New Roman" w:hAnsi="Times New Roman"/>
          <w:color w:val="000000"/>
        </w:rPr>
        <w:t>pr</w:t>
      </w:r>
      <w:r w:rsidRPr="00FB61CD" w:rsidR="00C93FC1">
        <w:rPr>
          <w:rFonts w:ascii="Times New Roman" w:hAnsi="Times New Roman"/>
          <w:color w:val="000000"/>
        </w:rPr>
        <w:t>ogramy rozpočtového a ekonomického partnerstva na účely ich schválenia a</w:t>
      </w:r>
      <w:r w:rsidRPr="00FB61CD" w:rsidR="008D23F8">
        <w:rPr>
          <w:rFonts w:ascii="Times New Roman" w:hAnsi="Times New Roman"/>
          <w:color w:val="000000"/>
        </w:rPr>
        <w:t> </w:t>
      </w:r>
      <w:r w:rsidRPr="00FB61CD" w:rsidR="00C93FC1">
        <w:rPr>
          <w:rFonts w:ascii="Times New Roman" w:hAnsi="Times New Roman"/>
          <w:color w:val="000000"/>
        </w:rPr>
        <w:t>monitorovania</w:t>
      </w:r>
      <w:r w:rsidRPr="00FB61CD" w:rsidR="00A51250">
        <w:rPr>
          <w:rFonts w:ascii="Times New Roman" w:hAnsi="Times New Roman"/>
          <w:color w:val="000000"/>
        </w:rPr>
        <w:t xml:space="preserve"> a uplatňovať tieto programy</w:t>
      </w:r>
      <w:r w:rsidR="00FB61CD">
        <w:rPr>
          <w:rFonts w:ascii="Times New Roman" w:hAnsi="Times New Roman"/>
          <w:color w:val="000000"/>
        </w:rPr>
        <w:t xml:space="preserve">, </w:t>
      </w:r>
    </w:p>
    <w:p w:rsidR="00FB61CD" w:rsidRPr="006B0548" w:rsidP="00FB61CD">
      <w:pPr>
        <w:pStyle w:val="NormalWeb"/>
        <w:numPr>
          <w:numId w:val="9"/>
        </w:numPr>
        <w:bidi w:val="0"/>
        <w:spacing w:before="0" w:beforeAutospacing="0" w:after="0" w:afterAutospacing="0"/>
        <w:jc w:val="both"/>
        <w:rPr>
          <w:rFonts w:ascii="Times New Roman" w:hAnsi="Times New Roman"/>
          <w:color w:val="000000"/>
        </w:rPr>
      </w:pPr>
      <w:r w:rsidRPr="006B0548">
        <w:rPr>
          <w:rFonts w:ascii="Times New Roman" w:hAnsi="Times New Roman"/>
          <w:color w:val="000000"/>
        </w:rPr>
        <w:t>predbežné správy o plánoch vydávania štátnych dlhopisov.</w:t>
      </w:r>
    </w:p>
    <w:p w:rsidR="00FB61CD" w:rsidRPr="00FB61CD" w:rsidP="00FB61CD">
      <w:pPr>
        <w:pStyle w:val="NormalWeb"/>
        <w:bidi w:val="0"/>
        <w:spacing w:before="0" w:beforeAutospacing="0" w:after="0" w:afterAutospacing="0"/>
        <w:ind w:left="705"/>
        <w:jc w:val="both"/>
        <w:rPr>
          <w:rFonts w:ascii="Times New Roman" w:hAnsi="Times New Roman"/>
          <w:color w:val="000000"/>
        </w:rPr>
      </w:pPr>
    </w:p>
    <w:p w:rsidR="006824C7"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 xml:space="preserve">§ </w:t>
      </w:r>
      <w:r w:rsidRPr="006B0548" w:rsidR="008E3918">
        <w:rPr>
          <w:rFonts w:ascii="Times New Roman" w:hAnsi="Times New Roman"/>
          <w:b/>
          <w:color w:val="000000"/>
        </w:rPr>
        <w:t>4</w:t>
      </w:r>
    </w:p>
    <w:p w:rsidR="006824C7" w:rsidRPr="006B0548" w:rsidP="00E12AD0">
      <w:pPr>
        <w:pStyle w:val="NormalWeb"/>
        <w:bidi w:val="0"/>
        <w:spacing w:before="0" w:beforeAutospacing="0" w:after="0" w:afterAutospacing="0"/>
        <w:rPr>
          <w:rFonts w:ascii="Times New Roman" w:hAnsi="Times New Roman"/>
          <w:color w:val="000000"/>
        </w:rPr>
      </w:pPr>
    </w:p>
    <w:p w:rsidR="006C3619" w:rsidRPr="00192799" w:rsidP="006C3619">
      <w:pPr>
        <w:pStyle w:val="NormalWeb"/>
        <w:numPr>
          <w:numId w:val="5"/>
        </w:numPr>
        <w:bidi w:val="0"/>
        <w:spacing w:before="0" w:beforeAutospacing="0" w:after="0" w:afterAutospacing="0"/>
        <w:jc w:val="both"/>
        <w:rPr>
          <w:rFonts w:ascii="Times New Roman" w:hAnsi="Times New Roman"/>
          <w:color w:val="000000"/>
        </w:rPr>
      </w:pPr>
      <w:r w:rsidRPr="00192799">
        <w:rPr>
          <w:rFonts w:ascii="Times New Roman" w:hAnsi="Times New Roman"/>
          <w:color w:val="000000"/>
        </w:rPr>
        <w:t xml:space="preserve">Ministerstvo spravodlivosti Slovenskej republiky </w:t>
      </w:r>
      <w:r>
        <w:rPr>
          <w:rFonts w:ascii="Times New Roman" w:hAnsi="Times New Roman"/>
          <w:color w:val="000000"/>
        </w:rPr>
        <w:t xml:space="preserve">(ďalej len „ministerstvo spravodlivosti“) </w:t>
      </w:r>
      <w:r w:rsidRPr="00192799">
        <w:rPr>
          <w:rFonts w:ascii="Times New Roman" w:hAnsi="Times New Roman"/>
          <w:color w:val="000000"/>
        </w:rPr>
        <w:t>na základe podnetu ministerstva financií a po predchádzajúcom schválení vládou predloží Súdnemu dvoru Európskej únie návrh na začatie konania proti zmluvnej strane</w:t>
      </w:r>
      <w:r w:rsidR="007335C2">
        <w:rPr>
          <w:rFonts w:ascii="Times New Roman" w:hAnsi="Times New Roman"/>
          <w:color w:val="000000"/>
        </w:rPr>
        <w:t xml:space="preserve"> fiškálnej zmluvy</w:t>
      </w:r>
      <w:r w:rsidRPr="00192799">
        <w:rPr>
          <w:rFonts w:ascii="Times New Roman" w:hAnsi="Times New Roman"/>
          <w:color w:val="000000"/>
        </w:rPr>
        <w:t xml:space="preserve">, ktorá podľa správy Európskej komisie porušila ustanovenie fiškálnej zmluvy upravujúce </w:t>
      </w:r>
      <w:r w:rsidRPr="00192799">
        <w:rPr>
          <w:rFonts w:ascii="Times New Roman" w:hAnsi="Times New Roman"/>
        </w:rPr>
        <w:t xml:space="preserve">povinnosť zaviesť fiškálne </w:t>
      </w:r>
      <w:r w:rsidRPr="00192799">
        <w:rPr>
          <w:rFonts w:ascii="Times New Roman" w:hAnsi="Times New Roman"/>
          <w:color w:val="000000"/>
        </w:rPr>
        <w:t>pravidlá a korekčný mechanizmus</w:t>
      </w:r>
      <w:r w:rsidR="00FB61CD">
        <w:rPr>
          <w:rFonts w:ascii="Times New Roman" w:hAnsi="Times New Roman"/>
          <w:color w:val="000000"/>
        </w:rPr>
        <w:t>.</w:t>
      </w:r>
      <w:r>
        <w:rPr>
          <w:rStyle w:val="FootnoteReference"/>
          <w:rFonts w:ascii="Times New Roman" w:hAnsi="Times New Roman"/>
          <w:color w:val="000000"/>
          <w:rtl w:val="0"/>
        </w:rPr>
        <w:footnoteReference w:id="3"/>
      </w:r>
      <w:r w:rsidRPr="00192799">
        <w:rPr>
          <w:rFonts w:ascii="Times New Roman" w:hAnsi="Times New Roman"/>
          <w:color w:val="000000"/>
        </w:rPr>
        <w:t xml:space="preserve">) Ministerstvo financií je povinné dať podnet na podanie takéhoto návrhu </w:t>
      </w:r>
      <w:r>
        <w:rPr>
          <w:rFonts w:ascii="Times New Roman" w:hAnsi="Times New Roman"/>
          <w:color w:val="000000"/>
        </w:rPr>
        <w:t>m</w:t>
      </w:r>
      <w:r w:rsidRPr="00192799">
        <w:rPr>
          <w:rFonts w:ascii="Times New Roman" w:hAnsi="Times New Roman"/>
          <w:color w:val="000000"/>
        </w:rPr>
        <w:t>inisterstvu spravodlivosti, ak sú v deň uverejnenia správy Európskej komisie</w:t>
      </w:r>
      <w:r w:rsidR="007335C2">
        <w:rPr>
          <w:rFonts w:ascii="Times New Roman" w:hAnsi="Times New Roman"/>
          <w:color w:val="000000"/>
        </w:rPr>
        <w:t xml:space="preserve"> súčasne</w:t>
      </w:r>
      <w:r w:rsidRPr="00192799">
        <w:rPr>
          <w:rFonts w:ascii="Times New Roman" w:hAnsi="Times New Roman"/>
          <w:color w:val="000000"/>
        </w:rPr>
        <w:t xml:space="preserve"> splnené </w:t>
      </w:r>
      <w:r w:rsidR="007335C2">
        <w:rPr>
          <w:rFonts w:ascii="Times New Roman" w:hAnsi="Times New Roman"/>
          <w:color w:val="000000"/>
        </w:rPr>
        <w:t xml:space="preserve">tieto </w:t>
      </w:r>
      <w:r w:rsidRPr="00192799">
        <w:rPr>
          <w:rFonts w:ascii="Times New Roman" w:hAnsi="Times New Roman"/>
          <w:color w:val="000000"/>
        </w:rPr>
        <w:t>podmienky:</w:t>
      </w:r>
    </w:p>
    <w:p w:rsidR="006C3619" w:rsidP="006C3619">
      <w:pPr>
        <w:pStyle w:val="NormalWeb"/>
        <w:numPr>
          <w:numId w:val="8"/>
        </w:numPr>
        <w:bidi w:val="0"/>
        <w:spacing w:before="0" w:beforeAutospacing="0" w:after="0" w:afterAutospacing="0"/>
        <w:jc w:val="both"/>
        <w:rPr>
          <w:rFonts w:ascii="Times New Roman" w:hAnsi="Times New Roman"/>
          <w:color w:val="000000"/>
        </w:rPr>
      </w:pPr>
      <w:r w:rsidRPr="00192799">
        <w:rPr>
          <w:rFonts w:ascii="Times New Roman" w:hAnsi="Times New Roman"/>
          <w:color w:val="000000"/>
        </w:rPr>
        <w:t>Slovenská republika je člen</w:t>
      </w:r>
      <w:r w:rsidR="00BB3434">
        <w:rPr>
          <w:rFonts w:ascii="Times New Roman" w:hAnsi="Times New Roman"/>
          <w:color w:val="000000"/>
        </w:rPr>
        <w:t>om</w:t>
      </w:r>
      <w:r w:rsidRPr="00192799">
        <w:rPr>
          <w:rFonts w:ascii="Times New Roman" w:hAnsi="Times New Roman"/>
          <w:color w:val="000000"/>
        </w:rPr>
        <w:t xml:space="preserve"> vopred určenej skupiny členských štátov</w:t>
      </w:r>
      <w:r w:rsidR="00E90041">
        <w:rPr>
          <w:rFonts w:ascii="Times New Roman" w:hAnsi="Times New Roman"/>
          <w:color w:val="000000"/>
        </w:rPr>
        <w:t xml:space="preserve"> Európskej únie</w:t>
      </w:r>
      <w:r w:rsidRPr="00192799">
        <w:rPr>
          <w:rFonts w:ascii="Times New Roman" w:hAnsi="Times New Roman"/>
          <w:color w:val="000000"/>
        </w:rPr>
        <w:t xml:space="preserve"> vykonávajúcich predsedníctvo Rady Európskej únie</w:t>
      </w:r>
      <w:r w:rsidR="00FB61CD">
        <w:rPr>
          <w:rFonts w:ascii="Times New Roman" w:hAnsi="Times New Roman"/>
          <w:color w:val="000000"/>
        </w:rPr>
        <w:t>,</w:t>
      </w:r>
      <w:r>
        <w:rPr>
          <w:rStyle w:val="FootnoteReference"/>
          <w:rFonts w:ascii="Times New Roman" w:hAnsi="Times New Roman"/>
          <w:color w:val="000000"/>
          <w:rtl w:val="0"/>
        </w:rPr>
        <w:footnoteReference w:id="4"/>
      </w:r>
      <w:r w:rsidR="007335C2">
        <w:rPr>
          <w:rFonts w:ascii="Times New Roman" w:hAnsi="Times New Roman"/>
          <w:color w:val="000000"/>
        </w:rPr>
        <w:t>)</w:t>
      </w:r>
    </w:p>
    <w:p w:rsidR="006C3619" w:rsidP="006C3619">
      <w:pPr>
        <w:pStyle w:val="NormalWeb"/>
        <w:numPr>
          <w:numId w:val="8"/>
        </w:numPr>
        <w:bidi w:val="0"/>
        <w:spacing w:before="0" w:beforeAutospacing="0" w:after="0" w:afterAutospacing="0"/>
        <w:jc w:val="both"/>
        <w:rPr>
          <w:rFonts w:ascii="Times New Roman" w:hAnsi="Times New Roman"/>
          <w:color w:val="000000"/>
        </w:rPr>
      </w:pPr>
      <w:r w:rsidRPr="00A42484">
        <w:rPr>
          <w:rFonts w:ascii="Times New Roman" w:hAnsi="Times New Roman"/>
          <w:color w:val="000000"/>
        </w:rPr>
        <w:t>Slovenská republika nie je v </w:t>
      </w:r>
      <w:r w:rsidRPr="00A148AA">
        <w:rPr>
          <w:rFonts w:ascii="Times New Roman" w:hAnsi="Times New Roman"/>
          <w:color w:val="000000"/>
        </w:rPr>
        <w:t xml:space="preserve">správe Európskej komisie považovaná za štát, ktorý nesplnil </w:t>
      </w:r>
      <w:r>
        <w:rPr>
          <w:rFonts w:ascii="Times New Roman" w:hAnsi="Times New Roman"/>
        </w:rPr>
        <w:t xml:space="preserve">povinnosť zaviesť príslušné fiškálne </w:t>
      </w:r>
      <w:r>
        <w:rPr>
          <w:rFonts w:ascii="Times New Roman" w:hAnsi="Times New Roman"/>
          <w:color w:val="000000"/>
        </w:rPr>
        <w:t>pravidlá a korekčný mechanizmus</w:t>
      </w:r>
      <w:r w:rsidR="00FB61CD">
        <w:rPr>
          <w:rFonts w:ascii="Times New Roman" w:hAnsi="Times New Roman"/>
          <w:color w:val="000000"/>
        </w:rPr>
        <w:t>,</w:t>
      </w:r>
      <w:r w:rsidRPr="007335C2" w:rsidR="007335C2">
        <w:rPr>
          <w:rFonts w:ascii="Times New Roman" w:hAnsi="Times New Roman"/>
          <w:color w:val="000000"/>
          <w:vertAlign w:val="superscript"/>
        </w:rPr>
        <w:t>2</w:t>
      </w:r>
      <w:r w:rsidR="007335C2">
        <w:rPr>
          <w:rFonts w:ascii="Times New Roman" w:hAnsi="Times New Roman"/>
          <w:color w:val="000000"/>
        </w:rPr>
        <w:t>)</w:t>
      </w:r>
    </w:p>
    <w:p w:rsidR="006C3619" w:rsidP="006C3619">
      <w:pPr>
        <w:pStyle w:val="NormalWeb"/>
        <w:numPr>
          <w:numId w:val="8"/>
        </w:numPr>
        <w:bidi w:val="0"/>
        <w:spacing w:before="0" w:beforeAutospacing="0" w:after="0" w:afterAutospacing="0"/>
        <w:jc w:val="both"/>
        <w:rPr>
          <w:rFonts w:ascii="Times New Roman" w:hAnsi="Times New Roman"/>
          <w:color w:val="000000"/>
        </w:rPr>
      </w:pPr>
      <w:r w:rsidR="007335C2">
        <w:rPr>
          <w:rFonts w:ascii="Times New Roman" w:hAnsi="Times New Roman"/>
          <w:color w:val="000000"/>
        </w:rPr>
        <w:t xml:space="preserve">proti </w:t>
      </w:r>
      <w:r w:rsidRPr="00016936">
        <w:rPr>
          <w:rFonts w:ascii="Times New Roman" w:hAnsi="Times New Roman"/>
          <w:color w:val="000000"/>
        </w:rPr>
        <w:t>Slovensk</w:t>
      </w:r>
      <w:r w:rsidR="007335C2">
        <w:rPr>
          <w:rFonts w:ascii="Times New Roman" w:hAnsi="Times New Roman"/>
          <w:color w:val="000000"/>
        </w:rPr>
        <w:t>ej</w:t>
      </w:r>
      <w:r w:rsidRPr="00016936">
        <w:rPr>
          <w:rFonts w:ascii="Times New Roman" w:hAnsi="Times New Roman"/>
          <w:color w:val="000000"/>
        </w:rPr>
        <w:t xml:space="preserve"> republik</w:t>
      </w:r>
      <w:r w:rsidR="007335C2">
        <w:rPr>
          <w:rFonts w:ascii="Times New Roman" w:hAnsi="Times New Roman"/>
          <w:color w:val="000000"/>
        </w:rPr>
        <w:t>e sa nevedie konanie n</w:t>
      </w:r>
      <w:r w:rsidRPr="00016936">
        <w:rPr>
          <w:rFonts w:ascii="Times New Roman" w:hAnsi="Times New Roman"/>
          <w:color w:val="000000"/>
        </w:rPr>
        <w:t>a Súdnom dvore Európskej únie podľa fiškálnej zmluvy</w:t>
      </w:r>
      <w:r w:rsidR="00FB61CD">
        <w:rPr>
          <w:rFonts w:ascii="Times New Roman" w:hAnsi="Times New Roman"/>
          <w:color w:val="000000"/>
        </w:rPr>
        <w:t>,</w:t>
      </w:r>
      <w:r>
        <w:rPr>
          <w:rStyle w:val="FootnoteReference"/>
          <w:rFonts w:ascii="Times New Roman" w:hAnsi="Times New Roman"/>
          <w:color w:val="000000"/>
          <w:rtl w:val="0"/>
        </w:rPr>
        <w:footnoteReference w:id="5"/>
      </w:r>
      <w:r w:rsidR="007335C2">
        <w:rPr>
          <w:rFonts w:ascii="Times New Roman" w:hAnsi="Times New Roman"/>
          <w:color w:val="000000"/>
        </w:rPr>
        <w:t xml:space="preserve">) </w:t>
      </w:r>
    </w:p>
    <w:p w:rsidR="006C3619" w:rsidP="006C3619">
      <w:pPr>
        <w:pStyle w:val="NormalWeb"/>
        <w:numPr>
          <w:numId w:val="8"/>
        </w:numPr>
        <w:bidi w:val="0"/>
        <w:spacing w:before="0" w:beforeAutospacing="0" w:after="0" w:afterAutospacing="0"/>
        <w:jc w:val="both"/>
        <w:rPr>
          <w:rFonts w:ascii="Times New Roman" w:hAnsi="Times New Roman"/>
          <w:color w:val="000000"/>
        </w:rPr>
      </w:pPr>
      <w:r w:rsidRPr="00A42484">
        <w:rPr>
          <w:rFonts w:ascii="Times New Roman" w:hAnsi="Times New Roman"/>
          <w:color w:val="000000"/>
        </w:rPr>
        <w:t>Slovenskej republike nie je znemožnené podať takýto návrh z </w:t>
      </w:r>
      <w:r w:rsidRPr="00A148AA">
        <w:rPr>
          <w:rFonts w:ascii="Times New Roman" w:hAnsi="Times New Roman"/>
          <w:color w:val="000000"/>
        </w:rPr>
        <w:t>iných dôvodov v súlade so všeobecnými zásadami medzinárodného práva.</w:t>
      </w:r>
    </w:p>
    <w:p w:rsidR="006C3619" w:rsidP="006C3619">
      <w:pPr>
        <w:pStyle w:val="NormalWeb"/>
        <w:bidi w:val="0"/>
        <w:spacing w:before="0" w:beforeAutospacing="0" w:after="0" w:afterAutospacing="0"/>
        <w:ind w:left="1080"/>
        <w:jc w:val="both"/>
        <w:rPr>
          <w:rFonts w:ascii="Times New Roman" w:hAnsi="Times New Roman"/>
          <w:color w:val="000000"/>
        </w:rPr>
      </w:pPr>
    </w:p>
    <w:p w:rsidR="006C3619" w:rsidP="006C3619">
      <w:pPr>
        <w:numPr>
          <w:numId w:val="5"/>
        </w:numPr>
        <w:bidi w:val="0"/>
        <w:jc w:val="both"/>
        <w:rPr>
          <w:rFonts w:ascii="Times New Roman" w:hAnsi="Times New Roman"/>
          <w:color w:val="000000"/>
        </w:rPr>
      </w:pPr>
      <w:r w:rsidRPr="00016936">
        <w:rPr>
          <w:rFonts w:ascii="Times New Roman" w:hAnsi="Times New Roman"/>
          <w:color w:val="000000"/>
        </w:rPr>
        <w:t xml:space="preserve">Vláda je na návrh </w:t>
      </w:r>
      <w:r>
        <w:rPr>
          <w:rFonts w:ascii="Times New Roman" w:hAnsi="Times New Roman"/>
          <w:color w:val="000000"/>
        </w:rPr>
        <w:t>mi</w:t>
      </w:r>
      <w:r w:rsidRPr="00016936">
        <w:rPr>
          <w:rFonts w:ascii="Times New Roman" w:hAnsi="Times New Roman"/>
          <w:color w:val="000000"/>
        </w:rPr>
        <w:t xml:space="preserve">nisterstva spravodlivosti </w:t>
      </w:r>
      <w:r w:rsidRPr="00192799">
        <w:rPr>
          <w:rFonts w:ascii="Times New Roman" w:hAnsi="Times New Roman"/>
          <w:color w:val="000000"/>
        </w:rPr>
        <w:t>povinná</w:t>
      </w:r>
      <w:r w:rsidRPr="00016936">
        <w:rPr>
          <w:rFonts w:ascii="Times New Roman" w:hAnsi="Times New Roman"/>
          <w:color w:val="000000"/>
        </w:rPr>
        <w:t xml:space="preserve"> uznesením rozhodnúť o  postupe uvedenom v odseku 1 </w:t>
      </w:r>
      <w:r w:rsidR="00E90041">
        <w:rPr>
          <w:rFonts w:ascii="Times New Roman" w:hAnsi="Times New Roman"/>
          <w:color w:val="000000"/>
        </w:rPr>
        <w:t>najneskôr do jedného mesiaca</w:t>
      </w:r>
      <w:r w:rsidRPr="00016936">
        <w:rPr>
          <w:rFonts w:ascii="Times New Roman" w:hAnsi="Times New Roman"/>
          <w:color w:val="000000"/>
        </w:rPr>
        <w:t xml:space="preserve"> od prijatia správy Európskej komisie Slovenskou republikou.</w:t>
      </w:r>
    </w:p>
    <w:p w:rsidR="006C3619" w:rsidRPr="00192799" w:rsidP="006C3619">
      <w:pPr>
        <w:bidi w:val="0"/>
        <w:ind w:left="720"/>
        <w:jc w:val="both"/>
        <w:rPr>
          <w:rFonts w:ascii="Times New Roman" w:hAnsi="Times New Roman"/>
          <w:color w:val="000000"/>
        </w:rPr>
      </w:pPr>
    </w:p>
    <w:p w:rsidR="006C3619" w:rsidP="006C3619">
      <w:pPr>
        <w:numPr>
          <w:numId w:val="5"/>
        </w:numPr>
        <w:bidi w:val="0"/>
        <w:jc w:val="both"/>
        <w:rPr>
          <w:rFonts w:ascii="Times New Roman" w:hAnsi="Times New Roman"/>
          <w:color w:val="000000"/>
        </w:rPr>
      </w:pPr>
      <w:r w:rsidRPr="00016936">
        <w:rPr>
          <w:rFonts w:ascii="Times New Roman" w:hAnsi="Times New Roman"/>
          <w:color w:val="000000"/>
        </w:rPr>
        <w:t>Postup podľa odsekov 1 a 2 sa použije primerane aj na späťvzat</w:t>
      </w:r>
      <w:r w:rsidR="00CC727D">
        <w:rPr>
          <w:rFonts w:ascii="Times New Roman" w:hAnsi="Times New Roman"/>
          <w:color w:val="000000"/>
        </w:rPr>
        <w:t>ie</w:t>
      </w:r>
      <w:r w:rsidRPr="00016936">
        <w:rPr>
          <w:rFonts w:ascii="Times New Roman" w:hAnsi="Times New Roman"/>
          <w:color w:val="000000"/>
        </w:rPr>
        <w:t xml:space="preserve"> náv</w:t>
      </w:r>
      <w:r w:rsidRPr="00192799">
        <w:rPr>
          <w:rFonts w:ascii="Times New Roman" w:hAnsi="Times New Roman"/>
          <w:color w:val="000000"/>
        </w:rPr>
        <w:t>rhu na</w:t>
      </w:r>
      <w:r w:rsidRPr="00016936">
        <w:rPr>
          <w:rFonts w:ascii="Times New Roman" w:hAnsi="Times New Roman"/>
          <w:color w:val="000000"/>
        </w:rPr>
        <w:t xml:space="preserve"> začatie konania pred Súdnym dvorom Európ</w:t>
      </w:r>
      <w:r w:rsidR="007335C2">
        <w:rPr>
          <w:rFonts w:ascii="Times New Roman" w:hAnsi="Times New Roman"/>
          <w:color w:val="000000"/>
        </w:rPr>
        <w:t>skej únie</w:t>
      </w:r>
      <w:r w:rsidRPr="00016936">
        <w:rPr>
          <w:rFonts w:ascii="Times New Roman" w:hAnsi="Times New Roman"/>
          <w:color w:val="000000"/>
        </w:rPr>
        <w:t xml:space="preserve">, ak sa v novej správe Európskej komisie dospelo k záveru, že </w:t>
      </w:r>
      <w:r w:rsidRPr="000C5099">
        <w:rPr>
          <w:rFonts w:ascii="Times New Roman" w:hAnsi="Times New Roman"/>
          <w:color w:val="000000"/>
        </w:rPr>
        <w:t>skončilo</w:t>
      </w:r>
      <w:r w:rsidRPr="00192799">
        <w:rPr>
          <w:rFonts w:ascii="Times New Roman" w:hAnsi="Times New Roman"/>
          <w:color w:val="000000"/>
        </w:rPr>
        <w:t xml:space="preserve"> </w:t>
      </w:r>
      <w:r w:rsidRPr="00016936">
        <w:rPr>
          <w:rFonts w:ascii="Times New Roman" w:hAnsi="Times New Roman"/>
          <w:color w:val="000000"/>
        </w:rPr>
        <w:t>porušenie ustanovenia fiškálnej zmluvy upravujúce</w:t>
      </w:r>
      <w:r w:rsidR="00E90041">
        <w:rPr>
          <w:rFonts w:ascii="Times New Roman" w:hAnsi="Times New Roman"/>
          <w:color w:val="000000"/>
        </w:rPr>
        <w:t>ho</w:t>
      </w:r>
      <w:r w:rsidRPr="00016936">
        <w:rPr>
          <w:rFonts w:ascii="Times New Roman" w:hAnsi="Times New Roman"/>
          <w:color w:val="000000"/>
        </w:rPr>
        <w:t xml:space="preserve"> </w:t>
      </w:r>
      <w:r w:rsidRPr="00016936">
        <w:rPr>
          <w:rFonts w:ascii="Times New Roman" w:hAnsi="Times New Roman"/>
        </w:rPr>
        <w:t xml:space="preserve">povinnosť zaviesť príslušné fiškálne </w:t>
      </w:r>
      <w:r w:rsidRPr="00016936">
        <w:rPr>
          <w:rFonts w:ascii="Times New Roman" w:hAnsi="Times New Roman"/>
          <w:color w:val="000000"/>
        </w:rPr>
        <w:t>pravidlá a korekčný mechanizmus</w:t>
      </w:r>
      <w:r w:rsidRPr="007335C2" w:rsidR="007335C2">
        <w:rPr>
          <w:rFonts w:ascii="Times New Roman" w:hAnsi="Times New Roman"/>
          <w:color w:val="000000"/>
          <w:vertAlign w:val="superscript"/>
        </w:rPr>
        <w:t>2</w:t>
      </w:r>
      <w:r w:rsidR="007335C2">
        <w:rPr>
          <w:rFonts w:ascii="Times New Roman" w:hAnsi="Times New Roman"/>
          <w:color w:val="000000"/>
        </w:rPr>
        <w:t>)</w:t>
      </w:r>
      <w:r w:rsidRPr="00016936">
        <w:rPr>
          <w:rFonts w:ascii="Times New Roman" w:hAnsi="Times New Roman"/>
          <w:color w:val="000000"/>
        </w:rPr>
        <w:t xml:space="preserve"> zmluvnou stran</w:t>
      </w:r>
      <w:r w:rsidRPr="00192799">
        <w:rPr>
          <w:rFonts w:ascii="Times New Roman" w:hAnsi="Times New Roman"/>
          <w:color w:val="000000"/>
        </w:rPr>
        <w:t>ou</w:t>
      </w:r>
      <w:r w:rsidR="007335C2">
        <w:rPr>
          <w:rFonts w:ascii="Times New Roman" w:hAnsi="Times New Roman"/>
          <w:color w:val="000000"/>
        </w:rPr>
        <w:t xml:space="preserve"> fiškálnej zmluvy</w:t>
      </w:r>
      <w:r w:rsidRPr="00192799">
        <w:rPr>
          <w:rFonts w:ascii="Times New Roman" w:hAnsi="Times New Roman"/>
          <w:color w:val="000000"/>
        </w:rPr>
        <w:t>, proti ktorej</w:t>
      </w:r>
      <w:r w:rsidR="007335C2">
        <w:rPr>
          <w:rFonts w:ascii="Times New Roman" w:hAnsi="Times New Roman"/>
          <w:color w:val="000000"/>
        </w:rPr>
        <w:t xml:space="preserve"> tento</w:t>
      </w:r>
      <w:r w:rsidRPr="00192799">
        <w:rPr>
          <w:rFonts w:ascii="Times New Roman" w:hAnsi="Times New Roman"/>
          <w:color w:val="000000"/>
        </w:rPr>
        <w:t xml:space="preserve"> návrh smeroval</w:t>
      </w:r>
      <w:r w:rsidRPr="00016936">
        <w:rPr>
          <w:rFonts w:ascii="Times New Roman" w:hAnsi="Times New Roman"/>
          <w:color w:val="000000"/>
        </w:rPr>
        <w:t xml:space="preserve">. </w:t>
      </w:r>
    </w:p>
    <w:p w:rsidR="006C3619" w:rsidP="006C3619">
      <w:pPr>
        <w:pStyle w:val="ListParagraph"/>
        <w:bidi w:val="0"/>
        <w:rPr>
          <w:rFonts w:ascii="Times New Roman" w:hAnsi="Times New Roman"/>
          <w:color w:val="000000"/>
        </w:rPr>
      </w:pPr>
    </w:p>
    <w:p w:rsidR="006C3619" w:rsidRPr="00192799" w:rsidP="006C3619">
      <w:pPr>
        <w:numPr>
          <w:numId w:val="5"/>
        </w:numPr>
        <w:bidi w:val="0"/>
        <w:jc w:val="both"/>
        <w:rPr>
          <w:rFonts w:ascii="Times New Roman" w:hAnsi="Times New Roman"/>
          <w:color w:val="000000"/>
        </w:rPr>
      </w:pPr>
      <w:r w:rsidRPr="00016936">
        <w:rPr>
          <w:rFonts w:ascii="Times New Roman" w:hAnsi="Times New Roman"/>
        </w:rPr>
        <w:t xml:space="preserve">Ministerstvo financií môže dať </w:t>
      </w:r>
      <w:r>
        <w:rPr>
          <w:rFonts w:ascii="Times New Roman" w:hAnsi="Times New Roman"/>
          <w:color w:val="000000"/>
        </w:rPr>
        <w:t>m</w:t>
      </w:r>
      <w:r w:rsidRPr="00016936">
        <w:rPr>
          <w:rFonts w:ascii="Times New Roman" w:hAnsi="Times New Roman"/>
          <w:color w:val="000000"/>
        </w:rPr>
        <w:t xml:space="preserve">inisterstvu spravodlivosti </w:t>
      </w:r>
      <w:r w:rsidRPr="00016936">
        <w:rPr>
          <w:rFonts w:ascii="Times New Roman" w:hAnsi="Times New Roman"/>
        </w:rPr>
        <w:t xml:space="preserve">podnet na podanie návrhu </w:t>
      </w:r>
      <w:r w:rsidRPr="00016936">
        <w:rPr>
          <w:rFonts w:ascii="Times New Roman" w:hAnsi="Times New Roman"/>
          <w:color w:val="000000"/>
        </w:rPr>
        <w:t>na začatie konania pred Súdnym dvorom Európskej únie proti inej zmluvnej strane f</w:t>
      </w:r>
      <w:r w:rsidR="007335C2">
        <w:rPr>
          <w:rFonts w:ascii="Times New Roman" w:hAnsi="Times New Roman"/>
          <w:color w:val="000000"/>
        </w:rPr>
        <w:t>iškálnej zmluvy aj</w:t>
      </w:r>
      <w:r w:rsidR="00E90041">
        <w:rPr>
          <w:rFonts w:ascii="Times New Roman" w:hAnsi="Times New Roman"/>
          <w:color w:val="000000"/>
        </w:rPr>
        <w:t>,</w:t>
      </w:r>
      <w:r w:rsidR="007335C2">
        <w:rPr>
          <w:rFonts w:ascii="Times New Roman" w:hAnsi="Times New Roman"/>
          <w:color w:val="000000"/>
        </w:rPr>
        <w:t xml:space="preserve"> ak</w:t>
      </w:r>
      <w:r w:rsidRPr="00016936">
        <w:rPr>
          <w:rFonts w:ascii="Times New Roman" w:hAnsi="Times New Roman"/>
          <w:color w:val="000000"/>
        </w:rPr>
        <w:t xml:space="preserve"> </w:t>
      </w:r>
    </w:p>
    <w:p w:rsidR="006C3619" w:rsidP="006C3619">
      <w:pPr>
        <w:pStyle w:val="ListParagraph"/>
        <w:numPr>
          <w:numId w:val="7"/>
        </w:numPr>
        <w:bidi w:val="0"/>
        <w:contextualSpacing/>
        <w:jc w:val="both"/>
        <w:rPr>
          <w:rFonts w:ascii="Times New Roman" w:hAnsi="Times New Roman"/>
          <w:color w:val="000000"/>
        </w:rPr>
      </w:pPr>
      <w:r w:rsidRPr="00016936">
        <w:rPr>
          <w:rFonts w:ascii="Times New Roman" w:hAnsi="Times New Roman"/>
        </w:rPr>
        <w:t xml:space="preserve">sa </w:t>
      </w:r>
      <w:r w:rsidRPr="00016936">
        <w:rPr>
          <w:rFonts w:ascii="Times New Roman" w:hAnsi="Times New Roman"/>
          <w:color w:val="000000"/>
        </w:rPr>
        <w:t xml:space="preserve">bez ohľadu na správu Európskej komisie domnieva, že iná zmluvná strana </w:t>
      </w:r>
      <w:r w:rsidR="007335C2">
        <w:rPr>
          <w:rFonts w:ascii="Times New Roman" w:hAnsi="Times New Roman"/>
          <w:color w:val="000000"/>
        </w:rPr>
        <w:t xml:space="preserve">fiškálnej zmluvy </w:t>
      </w:r>
      <w:r w:rsidRPr="00016936">
        <w:rPr>
          <w:rFonts w:ascii="Times New Roman" w:hAnsi="Times New Roman"/>
          <w:color w:val="000000"/>
        </w:rPr>
        <w:t xml:space="preserve">porušila ustanovenie fiškálnej zmluvy upravujúce </w:t>
      </w:r>
      <w:r w:rsidRPr="00016936">
        <w:rPr>
          <w:rFonts w:ascii="Times New Roman" w:hAnsi="Times New Roman"/>
        </w:rPr>
        <w:t xml:space="preserve">povinnosť zaviesť príslušné fiškálne </w:t>
      </w:r>
      <w:r w:rsidRPr="00016936">
        <w:rPr>
          <w:rFonts w:ascii="Times New Roman" w:hAnsi="Times New Roman"/>
          <w:color w:val="000000"/>
        </w:rPr>
        <w:t>pravidlá a korekčný mechanizmus</w:t>
      </w:r>
      <w:r w:rsidRPr="007335C2" w:rsidR="007335C2">
        <w:rPr>
          <w:rFonts w:ascii="Times New Roman" w:hAnsi="Times New Roman"/>
          <w:color w:val="000000"/>
          <w:vertAlign w:val="superscript"/>
        </w:rPr>
        <w:t>2</w:t>
      </w:r>
      <w:r w:rsidR="007335C2">
        <w:rPr>
          <w:rFonts w:ascii="Times New Roman" w:hAnsi="Times New Roman"/>
          <w:color w:val="000000"/>
        </w:rPr>
        <w:t>)</w:t>
      </w:r>
      <w:r w:rsidRPr="00016936">
        <w:rPr>
          <w:rFonts w:ascii="Times New Roman" w:hAnsi="Times New Roman"/>
          <w:color w:val="000000"/>
        </w:rPr>
        <w:t xml:space="preserve"> alebo</w:t>
      </w:r>
    </w:p>
    <w:p w:rsidR="00FB1F87" w:rsidP="00FB1F87">
      <w:pPr>
        <w:pStyle w:val="ListParagraph"/>
        <w:numPr>
          <w:numId w:val="7"/>
        </w:numPr>
        <w:bidi w:val="0"/>
        <w:contextualSpacing/>
        <w:jc w:val="both"/>
        <w:rPr>
          <w:rFonts w:ascii="Times New Roman" w:hAnsi="Times New Roman"/>
        </w:rPr>
      </w:pPr>
      <w:r w:rsidRPr="00016936" w:rsidR="006C3619">
        <w:rPr>
          <w:rFonts w:ascii="Times New Roman" w:hAnsi="Times New Roman"/>
        </w:rPr>
        <w:t>sa na základe vlastného hodnotenia alebo hodnotenia Európskej komisie domnieva, že iná zmluvná strana</w:t>
      </w:r>
      <w:r w:rsidR="007335C2">
        <w:rPr>
          <w:rFonts w:ascii="Times New Roman" w:hAnsi="Times New Roman"/>
        </w:rPr>
        <w:t xml:space="preserve"> fiškálnej zmluvy</w:t>
      </w:r>
      <w:r w:rsidRPr="00016936" w:rsidR="006C3619">
        <w:rPr>
          <w:rFonts w:ascii="Times New Roman" w:hAnsi="Times New Roman"/>
        </w:rPr>
        <w:t xml:space="preserve"> neprijala opatrenia potrebné na dosiahnutie súladu s rozsudkom Súdneho dvora </w:t>
      </w:r>
      <w:r w:rsidRPr="00016936" w:rsidR="006C3619">
        <w:rPr>
          <w:rFonts w:ascii="Times New Roman" w:hAnsi="Times New Roman"/>
          <w:color w:val="000000"/>
        </w:rPr>
        <w:t>Európskej únie</w:t>
      </w:r>
      <w:r w:rsidRPr="00016936" w:rsidR="006C3619">
        <w:rPr>
          <w:rFonts w:ascii="Times New Roman" w:hAnsi="Times New Roman"/>
        </w:rPr>
        <w:t xml:space="preserve"> vo veci žaloby podľa fiškálnej zmluvy</w:t>
      </w:r>
      <w:r>
        <w:rPr>
          <w:rFonts w:ascii="Times New Roman" w:hAnsi="Times New Roman"/>
        </w:rPr>
        <w:t>;</w:t>
      </w:r>
      <w:r w:rsidRPr="007335C2" w:rsidR="007335C2">
        <w:rPr>
          <w:rFonts w:ascii="Times New Roman" w:hAnsi="Times New Roman"/>
          <w:vertAlign w:val="superscript"/>
        </w:rPr>
        <w:t>4</w:t>
      </w:r>
      <w:r w:rsidR="007335C2">
        <w:rPr>
          <w:rFonts w:ascii="Times New Roman" w:hAnsi="Times New Roman"/>
        </w:rPr>
        <w:t xml:space="preserve">) </w:t>
      </w:r>
      <w:r>
        <w:rPr>
          <w:rFonts w:ascii="Times New Roman" w:hAnsi="Times New Roman"/>
        </w:rPr>
        <w:t>m</w:t>
      </w:r>
      <w:r w:rsidR="007335C2">
        <w:rPr>
          <w:rFonts w:ascii="Times New Roman" w:hAnsi="Times New Roman"/>
        </w:rPr>
        <w:t>inisterstvo financií môže zároveň</w:t>
      </w:r>
      <w:r w:rsidRPr="00016936" w:rsidR="006C3619">
        <w:rPr>
          <w:rFonts w:ascii="Times New Roman" w:hAnsi="Times New Roman"/>
        </w:rPr>
        <w:t xml:space="preserve"> navrhnúť, aby v návrhu na začatie konania </w:t>
      </w:r>
      <w:r>
        <w:rPr>
          <w:rFonts w:ascii="Times New Roman" w:hAnsi="Times New Roman"/>
        </w:rPr>
        <w:t>S</w:t>
      </w:r>
      <w:r w:rsidRPr="00016936" w:rsidR="006C3619">
        <w:rPr>
          <w:rFonts w:ascii="Times New Roman" w:hAnsi="Times New Roman"/>
        </w:rPr>
        <w:t>lovenská republika žiadala o uloženie finančných sankcií žalovanej zmluvnej strane</w:t>
      </w:r>
      <w:r w:rsidR="00E90041">
        <w:rPr>
          <w:rFonts w:ascii="Times New Roman" w:hAnsi="Times New Roman"/>
        </w:rPr>
        <w:t xml:space="preserve"> fiškálnej zmluvy</w:t>
      </w:r>
      <w:r>
        <w:rPr>
          <w:rFonts w:ascii="Times New Roman" w:hAnsi="Times New Roman"/>
        </w:rPr>
        <w:t>.</w:t>
      </w:r>
    </w:p>
    <w:p w:rsidR="00FB1F87" w:rsidP="00FB1F87">
      <w:pPr>
        <w:pStyle w:val="ListParagraph"/>
        <w:bidi w:val="0"/>
        <w:ind w:left="360"/>
        <w:contextualSpacing/>
        <w:jc w:val="both"/>
        <w:rPr>
          <w:rFonts w:ascii="Times New Roman" w:hAnsi="Times New Roman"/>
        </w:rPr>
      </w:pPr>
    </w:p>
    <w:p w:rsidR="00FB1F87" w:rsidP="00FB1F87">
      <w:pPr>
        <w:pStyle w:val="ListParagraph"/>
        <w:numPr>
          <w:numId w:val="5"/>
        </w:numPr>
        <w:bidi w:val="0"/>
        <w:contextualSpacing/>
        <w:jc w:val="both"/>
        <w:rPr>
          <w:rFonts w:ascii="Times New Roman" w:hAnsi="Times New Roman"/>
        </w:rPr>
      </w:pPr>
      <w:r>
        <w:rPr>
          <w:rFonts w:ascii="Times New Roman" w:hAnsi="Times New Roman"/>
        </w:rPr>
        <w:t>O postupe podľa odsek</w:t>
      </w:r>
      <w:r w:rsidR="00AD3155">
        <w:rPr>
          <w:rFonts w:ascii="Times New Roman" w:hAnsi="Times New Roman"/>
        </w:rPr>
        <w:t>u</w:t>
      </w:r>
      <w:r w:rsidRPr="00FB1F87">
        <w:rPr>
          <w:rFonts w:ascii="Times New Roman" w:hAnsi="Times New Roman"/>
        </w:rPr>
        <w:t xml:space="preserve"> 4</w:t>
      </w:r>
      <w:r>
        <w:rPr>
          <w:rFonts w:ascii="Times New Roman" w:hAnsi="Times New Roman"/>
        </w:rPr>
        <w:t xml:space="preserve"> </w:t>
      </w:r>
      <w:r w:rsidRPr="00FB1F87">
        <w:rPr>
          <w:rFonts w:ascii="Times New Roman" w:hAnsi="Times New Roman"/>
        </w:rPr>
        <w:t>rozhodne na návrh ministerstva spravodlivosti vláda uznesením.</w:t>
      </w:r>
    </w:p>
    <w:p w:rsidR="00FB1F87" w:rsidP="00FB1F87">
      <w:pPr>
        <w:pStyle w:val="ListParagraph"/>
        <w:bidi w:val="0"/>
        <w:ind w:left="0"/>
        <w:contextualSpacing/>
        <w:jc w:val="both"/>
        <w:rPr>
          <w:rFonts w:ascii="Times New Roman" w:hAnsi="Times New Roman"/>
        </w:rPr>
      </w:pPr>
    </w:p>
    <w:p w:rsidR="006C3619" w:rsidP="006C3619">
      <w:pPr>
        <w:pStyle w:val="NormalWeb"/>
        <w:numPr>
          <w:numId w:val="5"/>
        </w:numPr>
        <w:bidi w:val="0"/>
        <w:spacing w:before="0" w:beforeAutospacing="0" w:after="0" w:afterAutospacing="0"/>
        <w:jc w:val="both"/>
        <w:rPr>
          <w:rFonts w:ascii="Times New Roman" w:hAnsi="Times New Roman"/>
        </w:rPr>
      </w:pPr>
      <w:r>
        <w:rPr>
          <w:rFonts w:ascii="Times New Roman" w:hAnsi="Times New Roman"/>
          <w:color w:val="000000"/>
        </w:rPr>
        <w:t>Predchádzajúce schválenie vládou sa vyžaduje aj na schválenie postupu pri nadmernom deficite zmluvnej strany</w:t>
      </w:r>
      <w:r w:rsidR="007335C2">
        <w:rPr>
          <w:rFonts w:ascii="Times New Roman" w:hAnsi="Times New Roman"/>
          <w:color w:val="000000"/>
        </w:rPr>
        <w:t xml:space="preserve"> fiškálnej zmluvy</w:t>
      </w:r>
      <w:r>
        <w:rPr>
          <w:rFonts w:ascii="Times New Roman" w:hAnsi="Times New Roman"/>
          <w:color w:val="000000"/>
        </w:rPr>
        <w:t xml:space="preserve"> viazanej </w:t>
      </w:r>
      <w:bookmarkStart w:id="1" w:name="_GoBack"/>
      <w:r w:rsidR="00E90041">
        <w:rPr>
          <w:rFonts w:ascii="Times New Roman" w:hAnsi="Times New Roman"/>
          <w:color w:val="000000"/>
        </w:rPr>
        <w:t xml:space="preserve">ustanovením </w:t>
      </w:r>
      <w:r>
        <w:rPr>
          <w:rFonts w:ascii="Times New Roman" w:hAnsi="Times New Roman"/>
          <w:color w:val="000000"/>
        </w:rPr>
        <w:t>fiškálnej zmluvy</w:t>
      </w:r>
      <w:r w:rsidR="007335C2">
        <w:rPr>
          <w:rFonts w:ascii="Times New Roman" w:hAnsi="Times New Roman"/>
          <w:color w:val="000000"/>
        </w:rPr>
        <w:t xml:space="preserve"> upravujúcim povinnosť zaviesť fiškálne pravidlá a korekčný mechanizmus</w:t>
      </w:r>
      <w:r w:rsidR="00CC727D">
        <w:rPr>
          <w:rFonts w:ascii="Times New Roman" w:hAnsi="Times New Roman"/>
          <w:color w:val="000000"/>
        </w:rPr>
        <w:t>,</w:t>
      </w:r>
      <w:r w:rsidRPr="007335C2" w:rsidR="007335C2">
        <w:rPr>
          <w:rFonts w:ascii="Times New Roman" w:hAnsi="Times New Roman"/>
          <w:color w:val="000000"/>
          <w:vertAlign w:val="superscript"/>
        </w:rPr>
        <w:t>2</w:t>
      </w:r>
      <w:r w:rsidR="007335C2">
        <w:rPr>
          <w:rFonts w:ascii="Times New Roman" w:hAnsi="Times New Roman"/>
          <w:color w:val="000000"/>
        </w:rPr>
        <w:t>)</w:t>
      </w:r>
      <w:r>
        <w:rPr>
          <w:rFonts w:ascii="Times New Roman" w:hAnsi="Times New Roman"/>
          <w:color w:val="000000"/>
        </w:rPr>
        <w:t xml:space="preserve"> ak Európska komisia dospeje k záveru, že táto zmluvná strana porušila kritérium pre deficit; tým nie sú dotknuté ustanovenia fiškálnej zmluvy</w:t>
      </w:r>
      <w:r w:rsidR="00FB61CD">
        <w:rPr>
          <w:rFonts w:ascii="Times New Roman" w:hAnsi="Times New Roman"/>
          <w:color w:val="000000"/>
        </w:rPr>
        <w:t>.</w:t>
      </w:r>
      <w:r>
        <w:rPr>
          <w:rStyle w:val="FootnoteReference"/>
          <w:rFonts w:ascii="Times New Roman" w:hAnsi="Times New Roman"/>
          <w:color w:val="000000"/>
          <w:rtl w:val="0"/>
        </w:rPr>
        <w:footnoteReference w:id="6"/>
      </w:r>
      <w:r>
        <w:rPr>
          <w:rFonts w:ascii="Times New Roman" w:hAnsi="Times New Roman"/>
          <w:color w:val="000000"/>
        </w:rPr>
        <w:t xml:space="preserve">)  </w:t>
      </w:r>
    </w:p>
    <w:p w:rsidR="00E12AD0" w:rsidP="00E12AD0">
      <w:pPr>
        <w:pStyle w:val="NormalWeb"/>
        <w:bidi w:val="0"/>
        <w:spacing w:before="0" w:beforeAutospacing="0" w:after="0" w:afterAutospacing="0"/>
        <w:jc w:val="center"/>
        <w:rPr>
          <w:rFonts w:ascii="Times New Roman" w:hAnsi="Times New Roman"/>
          <w:b/>
          <w:color w:val="000000"/>
        </w:rPr>
      </w:pPr>
      <w:bookmarkEnd w:id="1"/>
    </w:p>
    <w:p w:rsidR="00A43F2F"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Čl. II</w:t>
      </w:r>
    </w:p>
    <w:p w:rsidR="00337ADE" w:rsidRPr="006B0548" w:rsidP="00E12AD0">
      <w:pPr>
        <w:pStyle w:val="NormalWeb"/>
        <w:bidi w:val="0"/>
        <w:spacing w:before="0" w:beforeAutospacing="0" w:after="0" w:afterAutospacing="0"/>
        <w:jc w:val="center"/>
        <w:rPr>
          <w:rFonts w:ascii="Times New Roman" w:hAnsi="Times New Roman"/>
          <w:b/>
          <w:color w:val="000000"/>
        </w:rPr>
      </w:pPr>
    </w:p>
    <w:p w:rsidR="004C450C" w:rsidRPr="006B0548" w:rsidP="004C450C">
      <w:pPr>
        <w:bidi w:val="0"/>
        <w:jc w:val="both"/>
        <w:rPr>
          <w:rFonts w:ascii="Times New Roman" w:hAnsi="Times New Roman"/>
          <w:iCs/>
        </w:rPr>
      </w:pPr>
      <w:r w:rsidRPr="006B0548">
        <w:rPr>
          <w:rFonts w:ascii="Times New Roman" w:hAnsi="Times New Roman"/>
          <w:iCs/>
        </w:rPr>
        <w:t>Zákon č. 386/2002 Z. z. o štátnom dlhu a štátnych zárukách a ktorým sa dopĺňa zákon č. 291/2002 Z. z. o Štátnej pokladnici a o zmene a doplnení niektorých zákonov v znení zákona č. 442/2003 Z. z., zákona č. 594/2003 Z. z., zákona č. 581/2004 Z. z., zákona č. 468/2005 Z. z., zákona č. 276/2009 Z. z.</w:t>
      </w:r>
      <w:r>
        <w:rPr>
          <w:rFonts w:ascii="Times New Roman" w:hAnsi="Times New Roman"/>
          <w:iCs/>
        </w:rPr>
        <w:t>,</w:t>
      </w:r>
      <w:r w:rsidRPr="006B0548">
        <w:rPr>
          <w:rFonts w:ascii="Times New Roman" w:hAnsi="Times New Roman"/>
          <w:iCs/>
        </w:rPr>
        <w:t xml:space="preserve"> zákona č. 378/2009 Z. z.</w:t>
      </w:r>
      <w:r>
        <w:rPr>
          <w:rFonts w:ascii="Times New Roman" w:hAnsi="Times New Roman"/>
          <w:iCs/>
        </w:rPr>
        <w:t>, zákona č. 381/2010 Z. z., zákona č. 547/2011 Z. z.</w:t>
      </w:r>
      <w:r w:rsidRPr="006B0548">
        <w:rPr>
          <w:rFonts w:ascii="Times New Roman" w:hAnsi="Times New Roman"/>
          <w:iCs/>
        </w:rPr>
        <w:t xml:space="preserve"> a zákona č. 296/2012 Z. z. sa</w:t>
      </w:r>
      <w:r w:rsidR="00EA0916">
        <w:rPr>
          <w:rFonts w:ascii="Times New Roman" w:hAnsi="Times New Roman"/>
          <w:iCs/>
        </w:rPr>
        <w:t xml:space="preserve"> mení a</w:t>
      </w:r>
      <w:r w:rsidRPr="006B0548">
        <w:rPr>
          <w:rFonts w:ascii="Times New Roman" w:hAnsi="Times New Roman"/>
          <w:iCs/>
        </w:rPr>
        <w:t xml:space="preserve"> dopĺňa takto:</w:t>
      </w:r>
    </w:p>
    <w:p w:rsidR="004C450C" w:rsidRPr="006B0548" w:rsidP="004C450C">
      <w:pPr>
        <w:bidi w:val="0"/>
        <w:jc w:val="both"/>
        <w:rPr>
          <w:rFonts w:ascii="Times New Roman" w:hAnsi="Times New Roman"/>
          <w:iCs/>
        </w:rPr>
      </w:pPr>
    </w:p>
    <w:p w:rsidR="004C450C" w:rsidRPr="006B0548" w:rsidP="004C450C">
      <w:pPr>
        <w:bidi w:val="0"/>
        <w:jc w:val="both"/>
        <w:rPr>
          <w:rFonts w:ascii="Times New Roman" w:hAnsi="Times New Roman"/>
          <w:iCs/>
        </w:rPr>
      </w:pPr>
      <w:r w:rsidR="00EA0916">
        <w:rPr>
          <w:rFonts w:ascii="Times New Roman" w:hAnsi="Times New Roman"/>
          <w:iCs/>
        </w:rPr>
        <w:t xml:space="preserve">1.    </w:t>
      </w:r>
      <w:r w:rsidRPr="006B0548">
        <w:rPr>
          <w:rFonts w:ascii="Times New Roman" w:hAnsi="Times New Roman"/>
          <w:iCs/>
        </w:rPr>
        <w:t>V § 4 ods. 3 sa na konci pripája</w:t>
      </w:r>
      <w:r>
        <w:rPr>
          <w:rFonts w:ascii="Times New Roman" w:hAnsi="Times New Roman"/>
          <w:iCs/>
        </w:rPr>
        <w:t xml:space="preserve"> táto</w:t>
      </w:r>
      <w:r w:rsidRPr="006B0548">
        <w:rPr>
          <w:rFonts w:ascii="Times New Roman" w:hAnsi="Times New Roman"/>
          <w:iCs/>
        </w:rPr>
        <w:t xml:space="preserve"> veta:</w:t>
      </w:r>
    </w:p>
    <w:p w:rsidR="004C450C" w:rsidP="004C450C">
      <w:pPr>
        <w:pStyle w:val="NormalWeb"/>
        <w:bidi w:val="0"/>
        <w:spacing w:before="0" w:beforeAutospacing="0" w:after="0" w:afterAutospacing="0"/>
        <w:jc w:val="both"/>
        <w:rPr>
          <w:rFonts w:ascii="Times New Roman" w:hAnsi="Times New Roman"/>
          <w:iCs/>
          <w:color w:val="000000"/>
        </w:rPr>
      </w:pPr>
      <w:r w:rsidRPr="006B0548">
        <w:rPr>
          <w:rFonts w:ascii="Times New Roman" w:hAnsi="Times New Roman"/>
          <w:iCs/>
          <w:color w:val="000000"/>
        </w:rPr>
        <w:t xml:space="preserve">„Zdroje financovania získané </w:t>
      </w:r>
      <w:r>
        <w:rPr>
          <w:rFonts w:ascii="Times New Roman" w:hAnsi="Times New Roman"/>
          <w:iCs/>
          <w:color w:val="000000"/>
        </w:rPr>
        <w:t xml:space="preserve">na financovanie </w:t>
      </w:r>
      <w:r w:rsidRPr="006B0548">
        <w:rPr>
          <w:rFonts w:ascii="Times New Roman" w:hAnsi="Times New Roman"/>
          <w:iCs/>
          <w:color w:val="000000"/>
        </w:rPr>
        <w:t>špecifických štátnych záruk a splatenia základného imania v subjektoch založených na zabezpečenie finančnej stability eurozóny, o ktorých použití rozhodne</w:t>
      </w:r>
      <w:r w:rsidR="00FB61CD">
        <w:rPr>
          <w:rFonts w:ascii="Times New Roman" w:hAnsi="Times New Roman"/>
          <w:iCs/>
          <w:color w:val="000000"/>
        </w:rPr>
        <w:t xml:space="preserve"> </w:t>
      </w:r>
      <w:r w:rsidRPr="006B0548">
        <w:rPr>
          <w:rFonts w:ascii="Times New Roman" w:hAnsi="Times New Roman"/>
          <w:iCs/>
          <w:color w:val="000000"/>
        </w:rPr>
        <w:t>vláda</w:t>
      </w:r>
      <w:r w:rsidR="00EA0916">
        <w:rPr>
          <w:rFonts w:ascii="Times New Roman" w:hAnsi="Times New Roman"/>
          <w:iCs/>
          <w:color w:val="000000"/>
        </w:rPr>
        <w:t xml:space="preserve"> Slovenskej republiky (ďalej len „vláda“)</w:t>
      </w:r>
      <w:r w:rsidR="00FB61CD">
        <w:rPr>
          <w:rFonts w:ascii="Times New Roman" w:hAnsi="Times New Roman"/>
          <w:iCs/>
          <w:color w:val="000000"/>
        </w:rPr>
        <w:t xml:space="preserve"> uznesením</w:t>
      </w:r>
      <w:r w:rsidRPr="006B0548">
        <w:rPr>
          <w:rFonts w:ascii="Times New Roman" w:hAnsi="Times New Roman"/>
          <w:iCs/>
          <w:color w:val="000000"/>
        </w:rPr>
        <w:t>, tvoria štátne finančné aktíva</w:t>
      </w:r>
      <w:r w:rsidR="00BE591E">
        <w:rPr>
          <w:rFonts w:ascii="Times New Roman" w:hAnsi="Times New Roman"/>
          <w:iCs/>
          <w:color w:val="000000"/>
        </w:rPr>
        <w:t>.</w:t>
      </w:r>
      <w:r w:rsidRPr="00BE591E">
        <w:rPr>
          <w:rFonts w:ascii="Times New Roman" w:hAnsi="Times New Roman"/>
          <w:iCs/>
          <w:color w:val="000000"/>
          <w:vertAlign w:val="superscript"/>
        </w:rPr>
        <w:t>5ab</w:t>
      </w:r>
      <w:r w:rsidR="00CC727D">
        <w:rPr>
          <w:rFonts w:ascii="Times New Roman" w:hAnsi="Times New Roman"/>
          <w:iCs/>
          <w:color w:val="000000"/>
        </w:rPr>
        <w:t>)</w:t>
      </w:r>
      <w:r w:rsidR="00BE591E">
        <w:rPr>
          <w:rFonts w:ascii="Times New Roman" w:hAnsi="Times New Roman"/>
          <w:iCs/>
          <w:color w:val="000000"/>
        </w:rPr>
        <w:t>“</w:t>
      </w:r>
      <w:r w:rsidR="007335C2">
        <w:rPr>
          <w:rFonts w:ascii="Times New Roman" w:hAnsi="Times New Roman"/>
          <w:iCs/>
          <w:color w:val="000000"/>
        </w:rPr>
        <w:t>.</w:t>
      </w:r>
    </w:p>
    <w:p w:rsidR="004C450C" w:rsidP="004C450C">
      <w:pPr>
        <w:pStyle w:val="NormalWeb"/>
        <w:bidi w:val="0"/>
        <w:spacing w:before="0" w:beforeAutospacing="0" w:after="0" w:afterAutospacing="0"/>
        <w:jc w:val="both"/>
        <w:rPr>
          <w:rFonts w:ascii="Times New Roman" w:hAnsi="Times New Roman"/>
          <w:iCs/>
          <w:color w:val="000000"/>
        </w:rPr>
      </w:pPr>
    </w:p>
    <w:p w:rsidR="004C450C" w:rsidP="004C450C">
      <w:pPr>
        <w:pStyle w:val="NormalWeb"/>
        <w:bidi w:val="0"/>
        <w:spacing w:before="0" w:beforeAutospacing="0" w:after="0" w:afterAutospacing="0"/>
        <w:jc w:val="both"/>
        <w:rPr>
          <w:rFonts w:ascii="Times New Roman" w:hAnsi="Times New Roman"/>
          <w:iCs/>
          <w:color w:val="000000"/>
        </w:rPr>
      </w:pPr>
      <w:r>
        <w:rPr>
          <w:rFonts w:ascii="Times New Roman" w:hAnsi="Times New Roman"/>
          <w:iCs/>
          <w:color w:val="000000"/>
        </w:rPr>
        <w:t>Poznámka pod čiarou k</w:t>
      </w:r>
      <w:r w:rsidR="00BB3434">
        <w:rPr>
          <w:rFonts w:ascii="Times New Roman" w:hAnsi="Times New Roman"/>
          <w:iCs/>
          <w:color w:val="000000"/>
        </w:rPr>
        <w:t> </w:t>
      </w:r>
      <w:r>
        <w:rPr>
          <w:rFonts w:ascii="Times New Roman" w:hAnsi="Times New Roman"/>
          <w:iCs/>
          <w:color w:val="000000"/>
        </w:rPr>
        <w:t>odkazu</w:t>
      </w:r>
      <w:r w:rsidR="00BB3434">
        <w:rPr>
          <w:rFonts w:ascii="Times New Roman" w:hAnsi="Times New Roman"/>
          <w:iCs/>
          <w:color w:val="000000"/>
          <w:vertAlign w:val="superscript"/>
        </w:rPr>
        <w:t xml:space="preserve"> </w:t>
      </w:r>
      <w:r w:rsidR="00BB3434">
        <w:rPr>
          <w:rFonts w:ascii="Times New Roman" w:hAnsi="Times New Roman"/>
          <w:iCs/>
          <w:color w:val="000000"/>
        </w:rPr>
        <w:t>5ab</w:t>
      </w:r>
      <w:r w:rsidR="00F65295">
        <w:rPr>
          <w:rFonts w:ascii="Times New Roman" w:hAnsi="Times New Roman"/>
          <w:iCs/>
          <w:color w:val="000000"/>
        </w:rPr>
        <w:t xml:space="preserve"> </w:t>
      </w:r>
      <w:r>
        <w:rPr>
          <w:rFonts w:ascii="Times New Roman" w:hAnsi="Times New Roman"/>
          <w:iCs/>
          <w:color w:val="000000"/>
        </w:rPr>
        <w:t>znie:</w:t>
      </w:r>
    </w:p>
    <w:p w:rsidR="004C450C" w:rsidRPr="006B0548" w:rsidP="004C450C">
      <w:pPr>
        <w:pStyle w:val="NormalWeb"/>
        <w:bidi w:val="0"/>
        <w:spacing w:before="0" w:beforeAutospacing="0" w:after="0" w:afterAutospacing="0"/>
        <w:jc w:val="both"/>
        <w:rPr>
          <w:rFonts w:ascii="Times New Roman" w:hAnsi="Times New Roman"/>
          <w:color w:val="000000"/>
        </w:rPr>
      </w:pPr>
      <w:r w:rsidR="00E90041">
        <w:rPr>
          <w:rFonts w:ascii="Times New Roman" w:hAnsi="Times New Roman"/>
          <w:iCs/>
          <w:color w:val="000000"/>
        </w:rPr>
        <w:t>„</w:t>
      </w:r>
      <w:r w:rsidRPr="00FB61CD" w:rsidR="007335C2">
        <w:rPr>
          <w:rFonts w:ascii="Times New Roman" w:hAnsi="Times New Roman"/>
          <w:iCs/>
          <w:color w:val="000000"/>
          <w:vertAlign w:val="superscript"/>
        </w:rPr>
        <w:t>5ab</w:t>
      </w:r>
      <w:r w:rsidR="00CC727D">
        <w:rPr>
          <w:rFonts w:ascii="Times New Roman" w:hAnsi="Times New Roman"/>
          <w:iCs/>
          <w:color w:val="000000"/>
        </w:rPr>
        <w:t>)</w:t>
      </w:r>
      <w:r>
        <w:rPr>
          <w:rFonts w:ascii="Times New Roman" w:hAnsi="Times New Roman"/>
          <w:iCs/>
          <w:color w:val="000000"/>
        </w:rPr>
        <w:t xml:space="preserve"> </w:t>
      </w:r>
      <w:r w:rsidRPr="006B0548">
        <w:rPr>
          <w:rFonts w:ascii="Times New Roman" w:hAnsi="Times New Roman"/>
          <w:iCs/>
          <w:color w:val="000000"/>
        </w:rPr>
        <w:t>§ 13 ods. 1 písm. f) zákona č. 523/2004 Z. z.</w:t>
      </w:r>
      <w:r w:rsidR="00E90041">
        <w:rPr>
          <w:rFonts w:ascii="Times New Roman" w:hAnsi="Times New Roman"/>
          <w:iCs/>
          <w:color w:val="000000"/>
        </w:rPr>
        <w:t>“</w:t>
      </w:r>
      <w:r w:rsidRPr="006B0548">
        <w:rPr>
          <w:rFonts w:ascii="Times New Roman" w:hAnsi="Times New Roman"/>
          <w:iCs/>
          <w:color w:val="1F497D"/>
        </w:rPr>
        <w:t>.</w:t>
      </w:r>
    </w:p>
    <w:p w:rsidR="004C450C" w:rsidP="00E12AD0">
      <w:pPr>
        <w:bidi w:val="0"/>
        <w:jc w:val="both"/>
        <w:rPr>
          <w:rFonts w:ascii="Times New Roman" w:hAnsi="Times New Roman"/>
        </w:rPr>
      </w:pPr>
    </w:p>
    <w:p w:rsidR="00EA0916" w:rsidP="00E12AD0">
      <w:pPr>
        <w:bidi w:val="0"/>
        <w:jc w:val="both"/>
        <w:rPr>
          <w:rFonts w:ascii="Times New Roman" w:hAnsi="Times New Roman"/>
        </w:rPr>
      </w:pPr>
      <w:r>
        <w:rPr>
          <w:rFonts w:ascii="Times New Roman" w:hAnsi="Times New Roman"/>
        </w:rPr>
        <w:t>2. V §</w:t>
      </w:r>
      <w:r w:rsidR="007335C2">
        <w:rPr>
          <w:rFonts w:ascii="Times New Roman" w:hAnsi="Times New Roman"/>
        </w:rPr>
        <w:t xml:space="preserve"> </w:t>
      </w:r>
      <w:r>
        <w:rPr>
          <w:rFonts w:ascii="Times New Roman" w:hAnsi="Times New Roman"/>
        </w:rPr>
        <w:t>9 ods. 1 sa slová „vládou Slovenskej republiky (ďalej len „vláda“)“ nahrádzajú slovom „vládou“.</w:t>
      </w:r>
    </w:p>
    <w:p w:rsidR="009642C7" w:rsidP="009642C7">
      <w:pPr>
        <w:bidi w:val="0"/>
        <w:rPr>
          <w:rFonts w:ascii="Times New Roman" w:hAnsi="Times New Roman"/>
        </w:rPr>
      </w:pPr>
    </w:p>
    <w:p w:rsidR="009642C7" w:rsidP="009642C7">
      <w:pPr>
        <w:bidi w:val="0"/>
        <w:rPr>
          <w:rFonts w:ascii="Times New Roman" w:hAnsi="Times New Roman"/>
          <w:lang w:eastAsia="en-US"/>
        </w:rPr>
      </w:pPr>
      <w:r>
        <w:rPr>
          <w:rFonts w:ascii="Times New Roman" w:hAnsi="Times New Roman"/>
        </w:rPr>
        <w:t>3.</w:t>
      </w:r>
      <w:r>
        <w:rPr>
          <w:rFonts w:ascii="Times New Roman" w:hAnsi="Times New Roman"/>
          <w:lang w:eastAsia="en-US"/>
        </w:rPr>
        <w:t xml:space="preserve"> V § 12 ods. 1 sa vypúšťajú slová „Slovenskej republiky“.</w:t>
      </w:r>
    </w:p>
    <w:p w:rsidR="009642C7" w:rsidP="009642C7">
      <w:pPr>
        <w:bidi w:val="0"/>
        <w:spacing w:after="200"/>
        <w:ind w:left="2268"/>
        <w:jc w:val="both"/>
        <w:rPr>
          <w:rFonts w:ascii="Times New Roman" w:hAnsi="Times New Roman"/>
          <w:lang w:eastAsia="en-US"/>
        </w:rPr>
      </w:pPr>
    </w:p>
    <w:p w:rsidR="009642C7" w:rsidRPr="00A5302A" w:rsidP="009642C7">
      <w:pPr>
        <w:bidi w:val="0"/>
        <w:jc w:val="center"/>
        <w:rPr>
          <w:rFonts w:ascii="Times New Roman" w:hAnsi="Times New Roman"/>
          <w:b/>
        </w:rPr>
      </w:pPr>
      <w:r w:rsidRPr="00A5302A">
        <w:rPr>
          <w:rFonts w:ascii="Times New Roman" w:hAnsi="Times New Roman"/>
          <w:b/>
        </w:rPr>
        <w:t>Čl. III</w:t>
      </w:r>
    </w:p>
    <w:p w:rsidR="00C13145" w:rsidP="009642C7">
      <w:pPr>
        <w:bidi w:val="0"/>
        <w:jc w:val="center"/>
        <w:rPr>
          <w:rFonts w:ascii="Times New Roman" w:hAnsi="Times New Roman"/>
        </w:rPr>
      </w:pPr>
    </w:p>
    <w:p w:rsidR="00C13145" w:rsidP="00C13145">
      <w:pPr>
        <w:bidi w:val="0"/>
        <w:jc w:val="both"/>
        <w:rPr>
          <w:rFonts w:ascii="Times New Roman" w:hAnsi="Times New Roman"/>
          <w:spacing w:val="5"/>
          <w:lang w:eastAsia="en-US"/>
        </w:rPr>
      </w:pPr>
      <w:r>
        <w:rPr>
          <w:rFonts w:ascii="Times New Roman" w:hAnsi="Times New Roman"/>
          <w:spacing w:val="5"/>
          <w:lang w:eastAsia="en-US"/>
        </w:rPr>
        <w:t>Zákon č. 530/1990 Zb. o dlhopisoch v znení zákona č. 600/1992 Zb., zákona Národnej rady Slovenskej republiky č. 194/1995 Z. z., zákona Národnej rady Slovenskej republiky č. 58/1996 Z. z., zákona č. 355/1997 Z. z., zákona č. 361/1999 Z. z., zákona č. 103/2000 Z. z., zákona č. 329/2000 Z. z., zákona č. 566/2001 Z. z., zákona č. 96/2002 Z. z., zákona č. 430/2002 Z. z., zákona č. 594/2003 Z. z., zákona č. 747/2004 Z. z., zákona č. 336/2005 Z. z., zákona č. 209/2007 Z. z., zákona č. 659/2007 Z. z., zákona č. 552/2008 Z. z., zákona č. 276/2009 Z. z., zákona č. 200/2011 Z. z. a zákona č. 296/2012 Z. z. sa mení a dopĺňa takto:</w:t>
      </w:r>
    </w:p>
    <w:p w:rsidR="00C13145" w:rsidP="00C13145">
      <w:pPr>
        <w:bidi w:val="0"/>
        <w:rPr>
          <w:rFonts w:ascii="Times New Roman" w:hAnsi="Times New Roman"/>
          <w:spacing w:val="5"/>
          <w:lang w:eastAsia="en-US"/>
        </w:rPr>
      </w:pPr>
    </w:p>
    <w:p w:rsidR="00C13145" w:rsidP="00C13145">
      <w:pPr>
        <w:bidi w:val="0"/>
        <w:jc w:val="both"/>
        <w:rPr>
          <w:rFonts w:ascii="Times New Roman" w:hAnsi="Times New Roman"/>
          <w:spacing w:val="5"/>
          <w:lang w:eastAsia="en-US"/>
        </w:rPr>
      </w:pPr>
      <w:r>
        <w:rPr>
          <w:rFonts w:ascii="Times New Roman" w:hAnsi="Times New Roman"/>
          <w:spacing w:val="5"/>
          <w:lang w:eastAsia="en-US"/>
        </w:rPr>
        <w:t>1. V § 18 ods. 3 sa vypúšťa slovo „ministerstvo“.</w:t>
      </w:r>
    </w:p>
    <w:p w:rsidR="00C13145" w:rsidP="00C13145">
      <w:pPr>
        <w:bidi w:val="0"/>
        <w:ind w:left="2835"/>
        <w:jc w:val="both"/>
        <w:rPr>
          <w:rFonts w:ascii="Times New Roman" w:hAnsi="Times New Roman"/>
          <w:spacing w:val="5"/>
          <w:lang w:eastAsia="en-US"/>
        </w:rPr>
      </w:pPr>
    </w:p>
    <w:p w:rsidR="00C13145" w:rsidP="00C13145">
      <w:pPr>
        <w:bidi w:val="0"/>
        <w:jc w:val="both"/>
        <w:rPr>
          <w:rFonts w:ascii="Times New Roman" w:hAnsi="Times New Roman"/>
          <w:spacing w:val="5"/>
          <w:lang w:eastAsia="en-US"/>
        </w:rPr>
      </w:pPr>
      <w:r>
        <w:rPr>
          <w:rFonts w:ascii="Times New Roman" w:hAnsi="Times New Roman"/>
          <w:spacing w:val="5"/>
          <w:lang w:eastAsia="en-US"/>
        </w:rPr>
        <w:t xml:space="preserve">2. V § 18 odseky 4 a 5 znejú: </w:t>
      </w:r>
    </w:p>
    <w:p w:rsidR="00C13145" w:rsidP="00C13145">
      <w:pPr>
        <w:bidi w:val="0"/>
        <w:jc w:val="both"/>
        <w:rPr>
          <w:rFonts w:ascii="Times New Roman" w:hAnsi="Times New Roman"/>
          <w:spacing w:val="5"/>
          <w:lang w:eastAsia="en-US"/>
        </w:rPr>
      </w:pPr>
      <w:r>
        <w:rPr>
          <w:rFonts w:ascii="Times New Roman" w:hAnsi="Times New Roman"/>
          <w:spacing w:val="5"/>
          <w:lang w:eastAsia="en-US"/>
        </w:rPr>
        <w:t>„(4) Agentúra môže po súhlase ministerstva činnosťou spojenou s vydávaním štátnych dlhopisov poveriť Národnú banku Slovenska, banku, zahraničnú banku, pobočku zahraničnej banky alebo inú osobu, ktorá je oprávnená vykonávať takúto činnosť.</w:t>
      </w:r>
    </w:p>
    <w:p w:rsidR="00C13145" w:rsidP="00C13145">
      <w:pPr>
        <w:bidi w:val="0"/>
        <w:jc w:val="both"/>
        <w:rPr>
          <w:rFonts w:ascii="Times New Roman" w:hAnsi="Times New Roman"/>
          <w:spacing w:val="5"/>
          <w:lang w:eastAsia="en-US"/>
        </w:rPr>
      </w:pPr>
    </w:p>
    <w:p w:rsidR="00C13145" w:rsidP="00C13145">
      <w:pPr>
        <w:bidi w:val="0"/>
        <w:jc w:val="both"/>
        <w:rPr>
          <w:rFonts w:ascii="Times New Roman" w:hAnsi="Times New Roman"/>
          <w:spacing w:val="5"/>
          <w:lang w:eastAsia="en-US"/>
        </w:rPr>
      </w:pPr>
      <w:r>
        <w:rPr>
          <w:rFonts w:ascii="Times New Roman" w:hAnsi="Times New Roman"/>
          <w:spacing w:val="5"/>
          <w:lang w:eastAsia="en-US"/>
        </w:rPr>
        <w:t>(5) Emisné podmienky štátnych dlhopisov zverejňuje agentúra v periodickej tlači s celoštátnou pôsobnosťou uverejňujúcej burzové správy alebo v elektronických informačných systémoch najneskôr jeden pracovný deň pred začiatkom ich vydávania. Na štátne dlhopisy sa nevzťahujú ustanovenia § 3 ods. 5 a § 8 ods. 1.“.</w:t>
      </w:r>
    </w:p>
    <w:p w:rsidR="00C13145" w:rsidP="00C13145">
      <w:pPr>
        <w:bidi w:val="0"/>
        <w:ind w:left="2832"/>
        <w:jc w:val="both"/>
        <w:rPr>
          <w:rFonts w:ascii="Times New Roman" w:hAnsi="Times New Roman"/>
          <w:spacing w:val="5"/>
          <w:lang w:eastAsia="en-US"/>
        </w:rPr>
      </w:pPr>
    </w:p>
    <w:p w:rsidR="00C13145" w:rsidP="00C13145">
      <w:pPr>
        <w:bidi w:val="0"/>
        <w:jc w:val="both"/>
        <w:rPr>
          <w:rFonts w:ascii="Times New Roman" w:hAnsi="Times New Roman"/>
          <w:spacing w:val="5"/>
          <w:lang w:eastAsia="en-US"/>
        </w:rPr>
      </w:pPr>
      <w:r>
        <w:rPr>
          <w:rFonts w:ascii="Times New Roman" w:hAnsi="Times New Roman"/>
          <w:spacing w:val="5"/>
          <w:lang w:eastAsia="en-US"/>
        </w:rPr>
        <w:t>3. V § 18 ods. 6 sa na konci bodka nahrádza bodkočiarkou a pripájajú sa tieto slová: „táto povinnosť sa nevzťahuje na štátne dlhopisy, ktoré sú vydávané ako súčasť emisie štátnych dlhopisov, ktorých emisné podmienky obsahujú dátum začiatku vydávania dlhopisov pred 1. januárom 2013.“.</w:t>
      </w:r>
    </w:p>
    <w:p w:rsidR="00C13145" w:rsidP="009642C7">
      <w:pPr>
        <w:bidi w:val="0"/>
        <w:jc w:val="center"/>
        <w:rPr>
          <w:rFonts w:ascii="Times New Roman" w:hAnsi="Times New Roman"/>
        </w:rPr>
      </w:pPr>
    </w:p>
    <w:p w:rsidR="000C6145" w:rsidRPr="00A5302A" w:rsidP="000C6145">
      <w:pPr>
        <w:bidi w:val="0"/>
        <w:jc w:val="center"/>
        <w:rPr>
          <w:rFonts w:ascii="Times New Roman" w:hAnsi="Times New Roman"/>
          <w:b/>
          <w:spacing w:val="5"/>
          <w:lang w:eastAsia="en-US"/>
        </w:rPr>
      </w:pPr>
      <w:r w:rsidRPr="00A5302A">
        <w:rPr>
          <w:rFonts w:ascii="Times New Roman" w:hAnsi="Times New Roman"/>
          <w:b/>
          <w:spacing w:val="5"/>
          <w:lang w:eastAsia="en-US"/>
        </w:rPr>
        <w:t>Čl. IV</w:t>
      </w:r>
    </w:p>
    <w:p w:rsidR="000C6145" w:rsidP="000C6145">
      <w:pPr>
        <w:bidi w:val="0"/>
        <w:jc w:val="center"/>
        <w:rPr>
          <w:rFonts w:ascii="Times New Roman" w:hAnsi="Times New Roman"/>
          <w:spacing w:val="5"/>
          <w:lang w:eastAsia="en-US"/>
        </w:rPr>
      </w:pPr>
    </w:p>
    <w:p w:rsidR="000C6145" w:rsidP="000C6145">
      <w:pPr>
        <w:bidi w:val="0"/>
        <w:jc w:val="both"/>
        <w:rPr>
          <w:rFonts w:ascii="Times New Roman" w:hAnsi="Times New Roman"/>
          <w:spacing w:val="5"/>
        </w:rPr>
      </w:pPr>
      <w:r>
        <w:rPr>
          <w:rFonts w:ascii="Times New Roman" w:hAnsi="Times New Roman"/>
          <w:spacing w:val="5"/>
        </w:rPr>
        <w:t>Zákon č. 80/1997 Z. z. o Exportno-importnej banke Slovenskej republiky v znení zákona č. 336/1998 Z. z., zákona č. 214/2000 Z. z., zákona č. 623/2004 Z. z., zákona č. 688/2006 Z. z., zákona č. 659/2007 Z. z., zákona č. 567/2008 Z. z., zákona č. 492/2009 Z. z. a zákona č. 414/2012 Z. z. sa mení a dopĺňa takto:</w:t>
      </w:r>
    </w:p>
    <w:p w:rsidR="000C6145" w:rsidP="000C6145">
      <w:pPr>
        <w:bidi w:val="0"/>
        <w:ind w:right="283"/>
        <w:jc w:val="both"/>
        <w:rPr>
          <w:rFonts w:ascii="Times New Roman" w:hAnsi="Times New Roman"/>
          <w:spacing w:val="5"/>
        </w:rPr>
      </w:pPr>
    </w:p>
    <w:p w:rsidR="000C6145" w:rsidP="000C6145">
      <w:pPr>
        <w:numPr>
          <w:numId w:val="10"/>
        </w:numPr>
        <w:bidi w:val="0"/>
        <w:spacing w:line="360" w:lineRule="atLeast"/>
        <w:ind w:left="284" w:hanging="284"/>
        <w:jc w:val="both"/>
        <w:rPr>
          <w:rFonts w:ascii="Times New Roman" w:hAnsi="Times New Roman"/>
          <w:spacing w:val="5"/>
        </w:rPr>
      </w:pPr>
      <w:r>
        <w:rPr>
          <w:rFonts w:ascii="Times New Roman" w:hAnsi="Times New Roman"/>
          <w:spacing w:val="5"/>
        </w:rPr>
        <w:t>V § 6 ods. 2 sa vypúšťa písmeno d).</w:t>
      </w:r>
    </w:p>
    <w:p w:rsidR="000C6145" w:rsidP="000C6145">
      <w:pPr>
        <w:bidi w:val="0"/>
        <w:jc w:val="both"/>
        <w:rPr>
          <w:rFonts w:ascii="Times New Roman" w:hAnsi="Times New Roman"/>
          <w:spacing w:val="5"/>
        </w:rPr>
      </w:pPr>
    </w:p>
    <w:p w:rsidR="000C6145" w:rsidP="000C6145">
      <w:pPr>
        <w:bidi w:val="0"/>
        <w:ind w:left="284"/>
        <w:jc w:val="both"/>
        <w:rPr>
          <w:rFonts w:ascii="Times New Roman" w:hAnsi="Times New Roman"/>
          <w:spacing w:val="5"/>
        </w:rPr>
      </w:pPr>
      <w:r>
        <w:rPr>
          <w:rFonts w:ascii="Times New Roman" w:hAnsi="Times New Roman"/>
          <w:spacing w:val="5"/>
        </w:rPr>
        <w:t xml:space="preserve">Doterajšie písmená e) až i) sa označujú ako písmená d) až h).  </w:t>
      </w:r>
    </w:p>
    <w:p w:rsidR="000C6145" w:rsidP="000C6145">
      <w:pPr>
        <w:bidi w:val="0"/>
        <w:ind w:left="284"/>
        <w:jc w:val="both"/>
        <w:rPr>
          <w:rFonts w:ascii="Times New Roman" w:hAnsi="Times New Roman"/>
          <w:spacing w:val="5"/>
        </w:rPr>
      </w:pPr>
      <w:r>
        <w:rPr>
          <w:rFonts w:ascii="Times New Roman" w:hAnsi="Times New Roman"/>
          <w:spacing w:val="5"/>
        </w:rPr>
        <w:t xml:space="preserve">   </w:t>
      </w:r>
    </w:p>
    <w:p w:rsidR="000C6145" w:rsidP="000C6145">
      <w:pPr>
        <w:numPr>
          <w:numId w:val="10"/>
        </w:numPr>
        <w:bidi w:val="0"/>
        <w:spacing w:line="360" w:lineRule="atLeast"/>
        <w:ind w:left="284" w:hanging="284"/>
        <w:jc w:val="both"/>
        <w:rPr>
          <w:rFonts w:ascii="Times New Roman" w:hAnsi="Times New Roman"/>
          <w:spacing w:val="5"/>
        </w:rPr>
      </w:pPr>
      <w:r>
        <w:rPr>
          <w:rFonts w:ascii="Times New Roman" w:hAnsi="Times New Roman"/>
          <w:spacing w:val="5"/>
        </w:rPr>
        <w:t>V § 15 ods. 5 sa slová „§ 6 ods. 2 písm. d)“ nahrádzajú slovami „§ 19 ods. 2“.</w:t>
      </w:r>
    </w:p>
    <w:p w:rsidR="000C6145" w:rsidP="000C6145">
      <w:pPr>
        <w:bidi w:val="0"/>
        <w:ind w:left="360"/>
        <w:jc w:val="both"/>
        <w:rPr>
          <w:rFonts w:ascii="Times New Roman" w:hAnsi="Times New Roman"/>
          <w:spacing w:val="5"/>
        </w:rPr>
      </w:pPr>
    </w:p>
    <w:p w:rsidR="000C6145" w:rsidP="000C6145">
      <w:pPr>
        <w:numPr>
          <w:numId w:val="10"/>
        </w:numPr>
        <w:bidi w:val="0"/>
        <w:spacing w:line="360" w:lineRule="atLeast"/>
        <w:ind w:left="284" w:hanging="284"/>
        <w:jc w:val="both"/>
        <w:rPr>
          <w:rFonts w:ascii="Times New Roman" w:hAnsi="Times New Roman"/>
          <w:spacing w:val="5"/>
        </w:rPr>
      </w:pPr>
      <w:r>
        <w:rPr>
          <w:rFonts w:ascii="Times New Roman" w:hAnsi="Times New Roman"/>
          <w:spacing w:val="5"/>
        </w:rPr>
        <w:t>V § 19 sa za odsek 1 vkladá nový odsek 2, ktorý znie:</w:t>
      </w:r>
    </w:p>
    <w:p w:rsidR="000C6145" w:rsidP="000C6145">
      <w:pPr>
        <w:bidi w:val="0"/>
        <w:ind w:left="284"/>
        <w:jc w:val="both"/>
        <w:rPr>
          <w:rFonts w:ascii="Times New Roman" w:hAnsi="Times New Roman"/>
          <w:spacing w:val="5"/>
        </w:rPr>
      </w:pPr>
      <w:r>
        <w:rPr>
          <w:rFonts w:ascii="Times New Roman" w:hAnsi="Times New Roman"/>
          <w:spacing w:val="5"/>
        </w:rPr>
        <w:t>„(2) Ministerstvo určuje mzdové podmienky a iné požitky generálneho riaditeľa a námestníkov generálneho riaditeľa.“.</w:t>
      </w:r>
    </w:p>
    <w:p w:rsidR="000C6145" w:rsidP="000C6145">
      <w:pPr>
        <w:bidi w:val="0"/>
        <w:jc w:val="both"/>
        <w:rPr>
          <w:rFonts w:ascii="Times New Roman" w:hAnsi="Times New Roman"/>
          <w:spacing w:val="5"/>
        </w:rPr>
      </w:pPr>
    </w:p>
    <w:p w:rsidR="000C6145" w:rsidP="000C6145">
      <w:pPr>
        <w:bidi w:val="0"/>
        <w:ind w:left="284"/>
        <w:jc w:val="both"/>
        <w:rPr>
          <w:rFonts w:ascii="Times New Roman" w:hAnsi="Times New Roman"/>
          <w:spacing w:val="5"/>
        </w:rPr>
      </w:pPr>
      <w:r>
        <w:rPr>
          <w:rFonts w:ascii="Times New Roman" w:hAnsi="Times New Roman"/>
          <w:spacing w:val="5"/>
        </w:rPr>
        <w:t>Doterajší odsek 2 sa označuje ako odsek 3.</w:t>
      </w:r>
    </w:p>
    <w:p w:rsidR="000C6145" w:rsidP="000C6145">
      <w:pPr>
        <w:bidi w:val="0"/>
        <w:ind w:left="284"/>
        <w:jc w:val="both"/>
        <w:rPr>
          <w:rFonts w:ascii="Times New Roman" w:hAnsi="Times New Roman"/>
          <w:spacing w:val="5"/>
        </w:rPr>
      </w:pPr>
      <w:r>
        <w:rPr>
          <w:rFonts w:ascii="Times New Roman" w:hAnsi="Times New Roman"/>
          <w:spacing w:val="5"/>
        </w:rPr>
        <w:t xml:space="preserve"> </w:t>
      </w:r>
    </w:p>
    <w:p w:rsidR="000C6145" w:rsidP="000C6145">
      <w:pPr>
        <w:numPr>
          <w:numId w:val="10"/>
        </w:numPr>
        <w:bidi w:val="0"/>
        <w:spacing w:line="360" w:lineRule="atLeast"/>
        <w:ind w:left="284" w:hanging="284"/>
        <w:jc w:val="both"/>
        <w:rPr>
          <w:rFonts w:ascii="Times New Roman" w:hAnsi="Times New Roman"/>
          <w:spacing w:val="5"/>
        </w:rPr>
      </w:pPr>
      <w:r>
        <w:rPr>
          <w:rFonts w:ascii="Times New Roman" w:hAnsi="Times New Roman"/>
          <w:spacing w:val="5"/>
        </w:rPr>
        <w:t>V § 24 ods. 5 písm. j) sa na konci pripájajú tieto slová: „a účty pre holdingové fondy slúžiace na implementáciu nástrojov finančného inžinierstva podľa osobitného predpisu</w:t>
      </w:r>
      <w:r>
        <w:rPr>
          <w:rFonts w:ascii="Times New Roman" w:hAnsi="Times New Roman"/>
          <w:spacing w:val="5"/>
          <w:vertAlign w:val="superscript"/>
        </w:rPr>
        <w:t>11aa)</w:t>
      </w:r>
      <w:r>
        <w:rPr>
          <w:rFonts w:ascii="Times New Roman" w:hAnsi="Times New Roman"/>
          <w:spacing w:val="5"/>
        </w:rPr>
        <w:t>“.</w:t>
      </w:r>
    </w:p>
    <w:p w:rsidR="000C6145" w:rsidP="000C6145">
      <w:pPr>
        <w:bidi w:val="0"/>
        <w:jc w:val="both"/>
        <w:rPr>
          <w:rFonts w:ascii="Times New Roman" w:hAnsi="Times New Roman"/>
          <w:spacing w:val="5"/>
        </w:rPr>
      </w:pPr>
    </w:p>
    <w:p w:rsidR="000C6145" w:rsidP="000C6145">
      <w:pPr>
        <w:bidi w:val="0"/>
        <w:jc w:val="both"/>
        <w:rPr>
          <w:rFonts w:ascii="Times New Roman" w:hAnsi="Times New Roman"/>
          <w:spacing w:val="5"/>
        </w:rPr>
      </w:pPr>
      <w:r>
        <w:rPr>
          <w:rFonts w:ascii="Times New Roman" w:hAnsi="Times New Roman"/>
          <w:spacing w:val="5"/>
        </w:rPr>
        <w:t>Poznámka pod čiarou k odkazu 11aa znie:</w:t>
      </w:r>
    </w:p>
    <w:p w:rsidR="000C6145" w:rsidP="000C6145">
      <w:pPr>
        <w:bidi w:val="0"/>
        <w:jc w:val="both"/>
        <w:rPr>
          <w:rFonts w:ascii="Times New Roman" w:hAnsi="Times New Roman"/>
          <w:spacing w:val="5"/>
        </w:rPr>
      </w:pPr>
    </w:p>
    <w:p w:rsidR="000C6145" w:rsidP="000C6145">
      <w:pPr>
        <w:bidi w:val="0"/>
        <w:jc w:val="both"/>
        <w:rPr>
          <w:rFonts w:ascii="Times New Roman" w:hAnsi="Times New Roman"/>
          <w:spacing w:val="5"/>
          <w:lang w:eastAsia="en-US"/>
        </w:rPr>
      </w:pPr>
      <w:r>
        <w:rPr>
          <w:rFonts w:ascii="Times New Roman" w:hAnsi="Times New Roman"/>
          <w:spacing w:val="5"/>
        </w:rPr>
        <w:t>„11aa) Čl. 44 n</w:t>
      </w:r>
      <w:r>
        <w:rPr>
          <w:rFonts w:ascii="Times New Roman" w:hAnsi="Times New Roman"/>
          <w:spacing w:val="5"/>
          <w:lang w:eastAsia="en-US"/>
        </w:rPr>
        <w:t xml:space="preserve">ariadenia Rady (ES) č. </w:t>
      </w:r>
      <w:hyperlink r:id="rId5" w:tgtFrame="_blank" w:tooltip="Nariadenie Rady (ES) č. 1083/2006 z 11. júla 2006 , ktorým sa ustanovujú všeobecné ustanovenia o Európskom fonde regionálneho rozvoja, Európskom sociálnom fonde a Kohéznom fonde a ktorým sa zrušuje nariadenie (ES) č. 1260/1999" w:history="1">
        <w:r>
          <w:rPr>
            <w:rStyle w:val="Hyperlink"/>
            <w:rFonts w:ascii="Times New Roman" w:hAnsi="Times New Roman"/>
            <w:bCs/>
            <w:color w:val="auto"/>
            <w:spacing w:val="5"/>
            <w:u w:val="none"/>
            <w:lang w:eastAsia="en-US"/>
          </w:rPr>
          <w:t>1083/2006</w:t>
        </w:r>
      </w:hyperlink>
      <w:r>
        <w:rPr>
          <w:rFonts w:ascii="Times New Roman" w:hAnsi="Times New Roman"/>
          <w:spacing w:val="5"/>
          <w:lang w:eastAsia="en-US"/>
        </w:rPr>
        <w:t xml:space="preserve"> z 11. júla 2006, ktorým sa ustanovujú všeobecné ustanovenia o Európskom fonde regionálneho rozvoja, Európskom sociálnom fonde a Kohéznom fonde a ktorým sa zrušuje nariadenie (ES) č. 1260/1999 (Ú. v. EÚ L 210, 31. 7. 2006) v platnom znení. </w:t>
      </w:r>
    </w:p>
    <w:p w:rsidR="000C6145" w:rsidP="000C6145">
      <w:pPr>
        <w:bidi w:val="0"/>
        <w:jc w:val="both"/>
        <w:rPr>
          <w:rFonts w:ascii="Times New Roman" w:hAnsi="Times New Roman"/>
          <w:color w:val="4B4B4B"/>
          <w:spacing w:val="5"/>
          <w:lang w:eastAsia="en-US"/>
        </w:rPr>
      </w:pPr>
      <w:r>
        <w:rPr>
          <w:rFonts w:ascii="Times New Roman" w:hAnsi="Times New Roman"/>
          <w:spacing w:val="5"/>
          <w:lang w:eastAsia="en-US"/>
        </w:rPr>
        <w:t xml:space="preserve">Čl. 43 až 46 nariadenia Komisie (ES) č. </w:t>
      </w:r>
      <w:hyperlink r:id="rId6" w:tgtFrame="_blank" w:tooltip="Nariadenie Komisie (ES) č. 1828/2006 z 8. decembra 2006 , ktorým sa stanovujú vykonávacie pravidlá nariadenia Rady (ES) č. 1083/2006, ktorým sa ustanovujú všeobecné ustanovenia o Európskom fonde regionálneho rozvoja, Európskom sociálnom fonde a Kohéznom f" w:history="1">
        <w:r>
          <w:rPr>
            <w:rStyle w:val="Hyperlink"/>
            <w:rFonts w:ascii="Times New Roman" w:hAnsi="Times New Roman"/>
            <w:bCs/>
            <w:color w:val="auto"/>
            <w:spacing w:val="5"/>
            <w:u w:val="none"/>
            <w:lang w:eastAsia="en-US"/>
          </w:rPr>
          <w:t>1828/2006</w:t>
        </w:r>
      </w:hyperlink>
      <w:r>
        <w:rPr>
          <w:rFonts w:ascii="Times New Roman" w:hAnsi="Times New Roman"/>
          <w:spacing w:val="5"/>
          <w:lang w:eastAsia="en-US"/>
        </w:rPr>
        <w:t xml:space="preserve"> z 8. decembra 2006, ktorým sa stanovujú vykonávacie pravidlá nariadenia Rady (ES) č. 1083/2006, ktorým sa ustanovujú všeobecné ustanovenia o Európskom fonde regionálneho rozvoja, Európskom sociálnom fonde a Kohéznom fonde a nariadenia Európskeho parlamentu a Rady (ES) č. 1080/2006 o Európskom fonde regionálneho rozvoja (Ú. v. EÚ L 371, 27. 12. 2006) v platnom znení.“.</w:t>
      </w:r>
    </w:p>
    <w:p w:rsidR="000C6145" w:rsidP="000C6145">
      <w:pPr>
        <w:bidi w:val="0"/>
        <w:jc w:val="both"/>
        <w:rPr>
          <w:rFonts w:ascii="Times New Roman" w:hAnsi="Times New Roman"/>
          <w:color w:val="4B4B4B"/>
          <w:spacing w:val="5"/>
          <w:lang w:eastAsia="en-US"/>
        </w:rPr>
      </w:pPr>
    </w:p>
    <w:p w:rsidR="00337ADE" w:rsidP="00E12AD0">
      <w:pPr>
        <w:pStyle w:val="NormalWeb"/>
        <w:bidi w:val="0"/>
        <w:spacing w:before="0" w:beforeAutospacing="0" w:after="0" w:afterAutospacing="0"/>
        <w:jc w:val="center"/>
        <w:rPr>
          <w:rFonts w:ascii="Times New Roman" w:hAnsi="Times New Roman"/>
          <w:b/>
          <w:color w:val="000000"/>
        </w:rPr>
      </w:pPr>
    </w:p>
    <w:p w:rsidR="00337ADE" w:rsidRPr="006B0548" w:rsidP="00E12AD0">
      <w:pPr>
        <w:pStyle w:val="NormalWeb"/>
        <w:bidi w:val="0"/>
        <w:spacing w:before="0" w:beforeAutospacing="0" w:after="0" w:afterAutospacing="0"/>
        <w:jc w:val="center"/>
        <w:rPr>
          <w:rFonts w:ascii="Times New Roman" w:hAnsi="Times New Roman"/>
          <w:b/>
          <w:color w:val="000000"/>
        </w:rPr>
      </w:pPr>
      <w:r w:rsidRPr="006B0548">
        <w:rPr>
          <w:rFonts w:ascii="Times New Roman" w:hAnsi="Times New Roman"/>
          <w:b/>
          <w:color w:val="000000"/>
        </w:rPr>
        <w:t xml:space="preserve">Čl. </w:t>
      </w:r>
      <w:r w:rsidR="009642C7">
        <w:rPr>
          <w:rFonts w:ascii="Times New Roman" w:hAnsi="Times New Roman"/>
          <w:b/>
          <w:color w:val="000000"/>
        </w:rPr>
        <w:t>V</w:t>
      </w:r>
    </w:p>
    <w:p w:rsidR="00843A69" w:rsidRPr="006B0548" w:rsidP="00E12AD0">
      <w:pPr>
        <w:pStyle w:val="NormalWeb"/>
        <w:bidi w:val="0"/>
        <w:spacing w:before="0" w:beforeAutospacing="0" w:after="0" w:afterAutospacing="0"/>
        <w:rPr>
          <w:rFonts w:ascii="Times New Roman" w:hAnsi="Times New Roman"/>
          <w:color w:val="000000"/>
        </w:rPr>
      </w:pPr>
    </w:p>
    <w:p w:rsidR="00A43F2F" w:rsidRPr="006B0548" w:rsidP="00E12AD0">
      <w:pPr>
        <w:pStyle w:val="NormalWeb"/>
        <w:bidi w:val="0"/>
        <w:spacing w:before="0" w:beforeAutospacing="0" w:after="0" w:afterAutospacing="0"/>
        <w:rPr>
          <w:rFonts w:ascii="Times New Roman" w:hAnsi="Times New Roman"/>
          <w:color w:val="000000"/>
        </w:rPr>
      </w:pPr>
      <w:r w:rsidRPr="006B0548">
        <w:rPr>
          <w:rFonts w:ascii="Times New Roman" w:hAnsi="Times New Roman"/>
          <w:color w:val="000000"/>
        </w:rPr>
        <w:t>Tento zákon nadobúda účinnosť dňom vyhlásenia.</w:t>
      </w: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RPr="00AF73CA" w:rsidP="00A81040">
      <w:pPr>
        <w:bidi w:val="0"/>
        <w:jc w:val="center"/>
        <w:rPr>
          <w:rFonts w:ascii="Times New Roman" w:hAnsi="Times New Roman"/>
        </w:rPr>
      </w:pPr>
      <w:r w:rsidRPr="00AF73CA">
        <w:rPr>
          <w:rFonts w:ascii="Times New Roman" w:hAnsi="Times New Roman"/>
        </w:rPr>
        <w:t>prezident Slovenskej republiky</w:t>
      </w:r>
    </w:p>
    <w:p w:rsidR="00A81040" w:rsidRPr="00AF73CA" w:rsidP="00A81040">
      <w:pPr>
        <w:bidi w:val="0"/>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RPr="00AF73CA" w:rsidP="00A81040">
      <w:pPr>
        <w:bidi w:val="0"/>
        <w:jc w:val="center"/>
        <w:rPr>
          <w:rFonts w:ascii="Times New Roman" w:hAnsi="Times New Roman"/>
        </w:rPr>
      </w:pPr>
      <w:r w:rsidRPr="00AF73CA">
        <w:rPr>
          <w:rFonts w:ascii="Times New Roman" w:hAnsi="Times New Roman"/>
        </w:rPr>
        <w:t>predseda Národnej rady Slovenskej republiky</w:t>
      </w:r>
    </w:p>
    <w:p w:rsidR="00A81040" w:rsidRPr="00AF73CA" w:rsidP="00A81040">
      <w:pPr>
        <w:bidi w:val="0"/>
        <w:jc w:val="center"/>
        <w:rPr>
          <w:rFonts w:ascii="Times New Roman" w:hAnsi="Times New Roman"/>
        </w:rPr>
      </w:pPr>
    </w:p>
    <w:p w:rsidR="00A81040" w:rsidP="00A81040">
      <w:pPr>
        <w:bidi w:val="0"/>
        <w:jc w:val="center"/>
        <w:rPr>
          <w:rFonts w:ascii="Times New Roman" w:hAnsi="Times New Roman"/>
        </w:rPr>
      </w:pPr>
    </w:p>
    <w:p w:rsidR="00A81040"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RPr="00AF73CA" w:rsidP="00A81040">
      <w:pPr>
        <w:bidi w:val="0"/>
        <w:jc w:val="center"/>
        <w:rPr>
          <w:rFonts w:ascii="Times New Roman" w:hAnsi="Times New Roman"/>
        </w:rPr>
      </w:pPr>
    </w:p>
    <w:p w:rsidR="00A81040" w:rsidRPr="00AF73CA" w:rsidP="00A81040">
      <w:pPr>
        <w:bidi w:val="0"/>
        <w:jc w:val="center"/>
        <w:rPr>
          <w:rFonts w:ascii="Times New Roman" w:hAnsi="Times New Roman"/>
        </w:rPr>
      </w:pPr>
      <w:r w:rsidRPr="00AF73CA">
        <w:rPr>
          <w:rFonts w:ascii="Times New Roman" w:hAnsi="Times New Roman"/>
        </w:rPr>
        <w:t>predseda vlády Slovenskej republiky</w:t>
      </w:r>
    </w:p>
    <w:p w:rsidR="00A81040" w:rsidRPr="00AF73CA" w:rsidP="00A81040">
      <w:pPr>
        <w:bidi w:val="0"/>
        <w:rPr>
          <w:rFonts w:ascii="Times New Roman" w:hAnsi="Times New Roman"/>
        </w:rPr>
      </w:pPr>
    </w:p>
    <w:p w:rsidR="00A81040" w:rsidRPr="00293750" w:rsidP="00A81040">
      <w:pPr>
        <w:bidi w:val="0"/>
        <w:ind w:firstLine="340"/>
        <w:rPr>
          <w:rFonts w:ascii="Times New Roman" w:hAnsi="Times New Roman"/>
        </w:rPr>
      </w:pPr>
    </w:p>
    <w:p w:rsidR="00A81040" w:rsidP="00A81040">
      <w:pPr>
        <w:bidi w:val="0"/>
        <w:spacing w:after="240"/>
        <w:rPr>
          <w:rFonts w:ascii="Times New Roman" w:hAnsi="Times New Roman"/>
          <w:b/>
        </w:rPr>
      </w:pPr>
    </w:p>
    <w:p w:rsidR="00A43F2F"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p w:rsidR="00D65EFC" w:rsidP="00EA0916">
      <w:pPr>
        <w:bidi w:val="0"/>
        <w:rPr>
          <w:rFonts w:ascii="Times New Roman" w:hAnsi="Times New Roman"/>
        </w:rPr>
      </w:pPr>
    </w:p>
    <w:sectPr>
      <w:footerReference w:type="even" r:id="rId7"/>
      <w:footerReference w:type="default" r:id="rId8"/>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Times New Roman"/>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34" w:rsidP="00392EB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B3434" w:rsidP="00843A69">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434" w:rsidP="00392EB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A5302A">
      <w:rPr>
        <w:rStyle w:val="PageNumber"/>
        <w:rFonts w:ascii="Times New Roman" w:hAnsi="Times New Roman"/>
        <w:noProof/>
      </w:rPr>
      <w:t>4</w:t>
    </w:r>
    <w:r>
      <w:rPr>
        <w:rStyle w:val="PageNumber"/>
        <w:rFonts w:ascii="Times New Roman" w:hAnsi="Times New Roman"/>
      </w:rPr>
      <w:fldChar w:fldCharType="end"/>
    </w:r>
  </w:p>
  <w:p w:rsidR="00BB3434" w:rsidP="00843A69">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FBB">
      <w:pPr>
        <w:bidi w:val="0"/>
        <w:rPr>
          <w:rFonts w:ascii="Times New Roman" w:hAnsi="Times New Roman"/>
        </w:rPr>
      </w:pPr>
      <w:r>
        <w:rPr>
          <w:rFonts w:ascii="Times New Roman" w:hAnsi="Times New Roman"/>
        </w:rPr>
        <w:separator/>
      </w:r>
    </w:p>
  </w:footnote>
  <w:footnote w:type="continuationSeparator" w:id="1">
    <w:p w:rsidR="00315FBB">
      <w:pPr>
        <w:bidi w:val="0"/>
        <w:rPr>
          <w:rFonts w:ascii="Times New Roman" w:hAnsi="Times New Roman"/>
        </w:rPr>
      </w:pPr>
      <w:r>
        <w:rPr>
          <w:rFonts w:ascii="Times New Roman" w:hAnsi="Times New Roman"/>
        </w:rPr>
        <w:continuationSeparator/>
      </w:r>
    </w:p>
  </w:footnote>
  <w:footnote w:id="2">
    <w:p w:rsidP="002764FA">
      <w:pPr>
        <w:pStyle w:val="FootnoteText"/>
        <w:bidi w:val="0"/>
        <w:ind w:left="284" w:hanging="284"/>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w:t>
      </w:r>
      <w:r w:rsidR="002764FA">
        <w:rPr>
          <w:rFonts w:ascii="Times New Roman" w:hAnsi="Times New Roman"/>
        </w:rPr>
        <w:tab/>
      </w:r>
      <w:r w:rsidRPr="00FD5DF5" w:rsidR="00BB3434">
        <w:rPr>
          <w:rFonts w:ascii="Times New Roman" w:hAnsi="Times New Roman"/>
          <w:sz w:val="18"/>
          <w:szCs w:val="18"/>
        </w:rPr>
        <w:t xml:space="preserve">Zmluva medzi Belgickým kráľovstvom, Bulharskou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Maďarskom, Maltou, Holandským kráľovstvom, Rakúskou republikou, Poľskou republikou, Portugalskou republikou, Rumunskom, Slovinskou republikou, Slovenskou republikou, Fínskou republikou a Švédskym kráľovstvom o stabilite, koordinácii a správe v hospodárskej a menovej únii (oznámenie Ministerstva zahraničných vecí Slovenskej republiky č. </w:t>
      </w:r>
      <w:r w:rsidR="008E61C9">
        <w:rPr>
          <w:rFonts w:ascii="Times New Roman" w:hAnsi="Times New Roman"/>
          <w:sz w:val="18"/>
          <w:szCs w:val="18"/>
        </w:rPr>
        <w:t>18</w:t>
      </w:r>
      <w:r w:rsidRPr="00FD5DF5" w:rsidR="00BB3434">
        <w:rPr>
          <w:rFonts w:ascii="Times New Roman" w:hAnsi="Times New Roman"/>
          <w:sz w:val="18"/>
          <w:szCs w:val="18"/>
        </w:rPr>
        <w:t>/201</w:t>
      </w:r>
      <w:r w:rsidR="008E61C9">
        <w:rPr>
          <w:rFonts w:ascii="Times New Roman" w:hAnsi="Times New Roman"/>
          <w:sz w:val="18"/>
          <w:szCs w:val="18"/>
        </w:rPr>
        <w:t>3</w:t>
      </w:r>
      <w:r w:rsidRPr="00FD5DF5" w:rsidR="00BB3434">
        <w:rPr>
          <w:rFonts w:ascii="Times New Roman" w:hAnsi="Times New Roman"/>
          <w:sz w:val="18"/>
          <w:szCs w:val="18"/>
        </w:rPr>
        <w:t xml:space="preserve"> Z. z.).</w:t>
      </w:r>
    </w:p>
  </w:footnote>
  <w:footnote w:id="3">
    <w:p w:rsidP="009642C7">
      <w:pPr>
        <w:pStyle w:val="FootnoteText"/>
        <w:bidi w:val="0"/>
        <w:ind w:left="284" w:hanging="284"/>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w:t>
      </w:r>
      <w:r w:rsidR="009642C7">
        <w:rPr>
          <w:rFonts w:ascii="Times New Roman" w:hAnsi="Times New Roman"/>
        </w:rPr>
        <w:t xml:space="preserve"> </w:t>
      </w:r>
      <w:r w:rsidR="00BB3434">
        <w:rPr>
          <w:rFonts w:ascii="Times New Roman" w:hAnsi="Times New Roman"/>
        </w:rPr>
        <w:t xml:space="preserve">Čl. 3 ods. 2 Zmluvy o stabilite, koordinácii a správe v hospodárskej a menovej únii (oznámenie Ministerstva zahraničných vecí Slovenskej republiky č. </w:t>
      </w:r>
      <w:r w:rsidR="00882642">
        <w:rPr>
          <w:rFonts w:ascii="Times New Roman" w:hAnsi="Times New Roman"/>
        </w:rPr>
        <w:t>18</w:t>
      </w:r>
      <w:r w:rsidR="00BB3434">
        <w:rPr>
          <w:rFonts w:ascii="Times New Roman" w:hAnsi="Times New Roman"/>
        </w:rPr>
        <w:t>/201</w:t>
      </w:r>
      <w:r w:rsidR="00882642">
        <w:rPr>
          <w:rFonts w:ascii="Times New Roman" w:hAnsi="Times New Roman"/>
        </w:rPr>
        <w:t>3</w:t>
      </w:r>
      <w:r w:rsidR="00BB3434">
        <w:rPr>
          <w:rFonts w:ascii="Times New Roman" w:hAnsi="Times New Roman"/>
        </w:rPr>
        <w:t xml:space="preserve"> Z. z.).</w:t>
      </w:r>
    </w:p>
  </w:footnote>
  <w:footnote w:id="4">
    <w:p w:rsidP="009642C7">
      <w:pPr>
        <w:pStyle w:val="FootnoteText"/>
        <w:bidi w:val="0"/>
        <w:ind w:left="284" w:hanging="284"/>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Rozhodnutie Rady z 1. decembra 2009, ktorým sa ustanovujú opatrenia na vykonávanie rozhodnutia </w:t>
      </w:r>
      <w:r w:rsidRPr="000133DE" w:rsidR="00BB3434">
        <w:rPr>
          <w:rFonts w:ascii="Times New Roman" w:hAnsi="Times New Roman"/>
        </w:rPr>
        <w:t>Európskej rady o vykonávaní predsedníctva Rady a o predsedníctve prípravných orgánov Rady (2009/908/EÚ)</w:t>
      </w:r>
      <w:r w:rsidRPr="000133DE" w:rsidR="000133DE">
        <w:rPr>
          <w:rFonts w:ascii="Times New Roman" w:hAnsi="Times New Roman"/>
        </w:rPr>
        <w:t xml:space="preserve"> (Ú. v. EÚ L 322, 9.12.2009)</w:t>
      </w:r>
      <w:r w:rsidRPr="000133DE" w:rsidR="00BB3434">
        <w:rPr>
          <w:rFonts w:ascii="Times New Roman" w:hAnsi="Times New Roman"/>
        </w:rPr>
        <w:t>.</w:t>
      </w:r>
    </w:p>
  </w:footnote>
  <w:footnote w:id="5">
    <w:p w:rsidP="009642C7">
      <w:pPr>
        <w:pStyle w:val="FootnoteText"/>
        <w:bidi w:val="0"/>
        <w:ind w:left="284" w:hanging="284"/>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w:t>
      </w:r>
      <w:r w:rsidR="009642C7">
        <w:rPr>
          <w:rFonts w:ascii="Times New Roman" w:hAnsi="Times New Roman"/>
        </w:rPr>
        <w:t xml:space="preserve"> </w:t>
      </w:r>
      <w:r w:rsidR="00BB3434">
        <w:rPr>
          <w:rFonts w:ascii="Times New Roman" w:hAnsi="Times New Roman"/>
        </w:rPr>
        <w:t xml:space="preserve">Čl. 8 ods. 1 Zmluvy o stabilite, koordinácii a správe v hospodárskej a menovej únii (oznámenie Ministerstva zahraničných vecí Slovenskej republiky č. </w:t>
      </w:r>
      <w:r w:rsidR="00882642">
        <w:rPr>
          <w:rFonts w:ascii="Times New Roman" w:hAnsi="Times New Roman"/>
        </w:rPr>
        <w:t>18</w:t>
      </w:r>
      <w:r w:rsidR="00BB3434">
        <w:rPr>
          <w:rFonts w:ascii="Times New Roman" w:hAnsi="Times New Roman"/>
        </w:rPr>
        <w:t>/201</w:t>
      </w:r>
      <w:r w:rsidR="00882642">
        <w:rPr>
          <w:rFonts w:ascii="Times New Roman" w:hAnsi="Times New Roman"/>
        </w:rPr>
        <w:t>3</w:t>
      </w:r>
      <w:r w:rsidR="00BB3434">
        <w:rPr>
          <w:rFonts w:ascii="Times New Roman" w:hAnsi="Times New Roman"/>
        </w:rPr>
        <w:t xml:space="preserve"> Z. z.).</w:t>
      </w:r>
    </w:p>
  </w:footnote>
  <w:footnote w:id="6">
    <w:p w:rsidP="008D23F8">
      <w:pPr>
        <w:pStyle w:val="FootnoteText"/>
        <w:bidi w:val="0"/>
        <w:jc w:val="both"/>
        <w:rPr>
          <w:rFonts w:ascii="Times New Roman" w:hAnsi="Times New Roman"/>
        </w:rPr>
      </w:pPr>
      <w:r w:rsidR="00BB3434">
        <w:rPr>
          <w:rStyle w:val="FootnoteReference"/>
          <w:rFonts w:ascii="Times New Roman" w:hAnsi="Times New Roman"/>
        </w:rPr>
        <w:footnoteRef/>
      </w:r>
      <w:r w:rsidR="00BB3434">
        <w:rPr>
          <w:rFonts w:ascii="Times New Roman" w:hAnsi="Times New Roman"/>
        </w:rPr>
        <w:t xml:space="preserve">) Čl. 7 Zmluvy o stabilite, koordinácii a správe v hospodárskej a menovej únii (oznámenie Ministerstva zahraničných vecí Slovenskej republiky č. </w:t>
      </w:r>
      <w:r w:rsidR="00882642">
        <w:rPr>
          <w:rFonts w:ascii="Times New Roman" w:hAnsi="Times New Roman"/>
        </w:rPr>
        <w:t>18</w:t>
      </w:r>
      <w:r w:rsidR="00BB3434">
        <w:rPr>
          <w:rFonts w:ascii="Times New Roman" w:hAnsi="Times New Roman"/>
        </w:rPr>
        <w:t>/201</w:t>
      </w:r>
      <w:r w:rsidR="00882642">
        <w:rPr>
          <w:rFonts w:ascii="Times New Roman" w:hAnsi="Times New Roman"/>
        </w:rPr>
        <w:t>3</w:t>
      </w:r>
      <w:r w:rsidR="00BB3434">
        <w:rPr>
          <w:rFonts w:ascii="Times New Roman" w:hAnsi="Times New Roman"/>
        </w:rPr>
        <w:t xml:space="preserve"> Z. z.).</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173"/>
    <w:multiLevelType w:val="hybridMultilevel"/>
    <w:tmpl w:val="6AEA0914"/>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17E4B20"/>
    <w:multiLevelType w:val="hybridMultilevel"/>
    <w:tmpl w:val="664270F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6D05AB7"/>
    <w:multiLevelType w:val="hybridMultilevel"/>
    <w:tmpl w:val="068437D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1CB6D66"/>
    <w:multiLevelType w:val="hybridMultilevel"/>
    <w:tmpl w:val="8B026FD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6A056C0"/>
    <w:multiLevelType w:val="hybridMultilevel"/>
    <w:tmpl w:val="D390CFC6"/>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3F112094"/>
    <w:multiLevelType w:val="hybridMultilevel"/>
    <w:tmpl w:val="D0F49696"/>
    <w:lvl w:ilvl="0">
      <w:start w:val="1"/>
      <w:numFmt w:val="decimal"/>
      <w:lvlText w:val="(%1)"/>
      <w:lvlJc w:val="left"/>
      <w:pPr>
        <w:ind w:left="720" w:hanging="360"/>
      </w:pPr>
      <w:rPr>
        <w:rFonts w:ascii="Times New Roman" w:hAnsi="Times New Roman" w:cs="Times New Roman" w:hint="default"/>
        <w:sz w:val="22"/>
        <w:szCs w:val="22"/>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350288D"/>
    <w:multiLevelType w:val="hybridMultilevel"/>
    <w:tmpl w:val="E9667C4C"/>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61FF3C13"/>
    <w:multiLevelType w:val="hybridMultilevel"/>
    <w:tmpl w:val="E390C07A"/>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6E404B7C"/>
    <w:multiLevelType w:val="hybridMultilevel"/>
    <w:tmpl w:val="A7D41D7A"/>
    <w:lvl w:ilvl="0">
      <w:start w:val="1"/>
      <w:numFmt w:val="lowerLetter"/>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9">
    <w:nsid w:val="70CA4B08"/>
    <w:multiLevelType w:val="hybridMultilevel"/>
    <w:tmpl w:val="943E8254"/>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4"/>
  </w:num>
  <w:num w:numId="2">
    <w:abstractNumId w:val="0"/>
  </w:num>
  <w:num w:numId="3">
    <w:abstractNumId w:val="2"/>
  </w:num>
  <w:num w:numId="4">
    <w:abstractNumId w:val="1"/>
  </w:num>
  <w:num w:numId="5">
    <w:abstractNumId w:val="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oNotTrackMoves/>
  <w:defaultTabStop w:val="708"/>
  <w:hyphenationZone w:val="425"/>
  <w:noPunctuationKerning/>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A43F2F"/>
    <w:rsid w:val="00005974"/>
    <w:rsid w:val="0001297D"/>
    <w:rsid w:val="000133DE"/>
    <w:rsid w:val="00016936"/>
    <w:rsid w:val="000458BD"/>
    <w:rsid w:val="00050ADB"/>
    <w:rsid w:val="00071074"/>
    <w:rsid w:val="0009355A"/>
    <w:rsid w:val="000A1CCD"/>
    <w:rsid w:val="000A7F7A"/>
    <w:rsid w:val="000C3264"/>
    <w:rsid w:val="000C5099"/>
    <w:rsid w:val="000C6145"/>
    <w:rsid w:val="000E2A43"/>
    <w:rsid w:val="00166385"/>
    <w:rsid w:val="00192799"/>
    <w:rsid w:val="001A1413"/>
    <w:rsid w:val="001A2530"/>
    <w:rsid w:val="001A61CC"/>
    <w:rsid w:val="001C5A22"/>
    <w:rsid w:val="001C65D2"/>
    <w:rsid w:val="001D40F4"/>
    <w:rsid w:val="001F48BE"/>
    <w:rsid w:val="001F5100"/>
    <w:rsid w:val="0021547C"/>
    <w:rsid w:val="0024313F"/>
    <w:rsid w:val="002739CC"/>
    <w:rsid w:val="002764FA"/>
    <w:rsid w:val="00293750"/>
    <w:rsid w:val="002D5BB7"/>
    <w:rsid w:val="002E4F33"/>
    <w:rsid w:val="002E4FAF"/>
    <w:rsid w:val="00315FBB"/>
    <w:rsid w:val="00324160"/>
    <w:rsid w:val="0033233F"/>
    <w:rsid w:val="00337ADE"/>
    <w:rsid w:val="00346F92"/>
    <w:rsid w:val="00371709"/>
    <w:rsid w:val="00374B3B"/>
    <w:rsid w:val="00386464"/>
    <w:rsid w:val="00392EB2"/>
    <w:rsid w:val="003B07E0"/>
    <w:rsid w:val="003C49C0"/>
    <w:rsid w:val="003E2716"/>
    <w:rsid w:val="00434355"/>
    <w:rsid w:val="00480D6A"/>
    <w:rsid w:val="004B0241"/>
    <w:rsid w:val="004C450C"/>
    <w:rsid w:val="005003F7"/>
    <w:rsid w:val="00541557"/>
    <w:rsid w:val="00544790"/>
    <w:rsid w:val="006369AB"/>
    <w:rsid w:val="00670D9D"/>
    <w:rsid w:val="006824C7"/>
    <w:rsid w:val="0069735C"/>
    <w:rsid w:val="006B0548"/>
    <w:rsid w:val="006B52B2"/>
    <w:rsid w:val="006C3619"/>
    <w:rsid w:val="006D2D06"/>
    <w:rsid w:val="006D6058"/>
    <w:rsid w:val="006E6DC9"/>
    <w:rsid w:val="00720C09"/>
    <w:rsid w:val="0073300A"/>
    <w:rsid w:val="007335C2"/>
    <w:rsid w:val="00751DD9"/>
    <w:rsid w:val="00773382"/>
    <w:rsid w:val="00773F9B"/>
    <w:rsid w:val="007C4565"/>
    <w:rsid w:val="007E1BB3"/>
    <w:rsid w:val="00832BB5"/>
    <w:rsid w:val="0084020D"/>
    <w:rsid w:val="00843A69"/>
    <w:rsid w:val="00882642"/>
    <w:rsid w:val="00897900"/>
    <w:rsid w:val="008A1A80"/>
    <w:rsid w:val="008C0313"/>
    <w:rsid w:val="008D23F8"/>
    <w:rsid w:val="008E3918"/>
    <w:rsid w:val="008E61C9"/>
    <w:rsid w:val="009172A1"/>
    <w:rsid w:val="0092132E"/>
    <w:rsid w:val="00942C17"/>
    <w:rsid w:val="00945ECD"/>
    <w:rsid w:val="009642C7"/>
    <w:rsid w:val="00973F18"/>
    <w:rsid w:val="009D3F45"/>
    <w:rsid w:val="009D45C0"/>
    <w:rsid w:val="009F56A0"/>
    <w:rsid w:val="00A148AA"/>
    <w:rsid w:val="00A16F24"/>
    <w:rsid w:val="00A2320D"/>
    <w:rsid w:val="00A42484"/>
    <w:rsid w:val="00A43F2F"/>
    <w:rsid w:val="00A51250"/>
    <w:rsid w:val="00A5302A"/>
    <w:rsid w:val="00A70902"/>
    <w:rsid w:val="00A80168"/>
    <w:rsid w:val="00A81040"/>
    <w:rsid w:val="00AD3155"/>
    <w:rsid w:val="00AD4378"/>
    <w:rsid w:val="00AD7054"/>
    <w:rsid w:val="00AE57ED"/>
    <w:rsid w:val="00AF73CA"/>
    <w:rsid w:val="00B32E3C"/>
    <w:rsid w:val="00B8412F"/>
    <w:rsid w:val="00B93F3C"/>
    <w:rsid w:val="00BA4011"/>
    <w:rsid w:val="00BA5BD4"/>
    <w:rsid w:val="00BB3434"/>
    <w:rsid w:val="00BD0BE9"/>
    <w:rsid w:val="00BD3F5F"/>
    <w:rsid w:val="00BD770D"/>
    <w:rsid w:val="00BE4443"/>
    <w:rsid w:val="00BE591E"/>
    <w:rsid w:val="00C078CB"/>
    <w:rsid w:val="00C13145"/>
    <w:rsid w:val="00C15032"/>
    <w:rsid w:val="00C31DD3"/>
    <w:rsid w:val="00C43DA2"/>
    <w:rsid w:val="00C93FC1"/>
    <w:rsid w:val="00CC727D"/>
    <w:rsid w:val="00CD7B88"/>
    <w:rsid w:val="00D37A1F"/>
    <w:rsid w:val="00D65EFC"/>
    <w:rsid w:val="00DA0C45"/>
    <w:rsid w:val="00DB702C"/>
    <w:rsid w:val="00DC1792"/>
    <w:rsid w:val="00DD1D1A"/>
    <w:rsid w:val="00E03889"/>
    <w:rsid w:val="00E0526B"/>
    <w:rsid w:val="00E12AD0"/>
    <w:rsid w:val="00E42F87"/>
    <w:rsid w:val="00E63DEA"/>
    <w:rsid w:val="00E90041"/>
    <w:rsid w:val="00EA0916"/>
    <w:rsid w:val="00EC2CC9"/>
    <w:rsid w:val="00ED0B58"/>
    <w:rsid w:val="00EF5995"/>
    <w:rsid w:val="00F07155"/>
    <w:rsid w:val="00F14DAF"/>
    <w:rsid w:val="00F313E3"/>
    <w:rsid w:val="00F35C73"/>
    <w:rsid w:val="00F36DE4"/>
    <w:rsid w:val="00F42432"/>
    <w:rsid w:val="00F65295"/>
    <w:rsid w:val="00F7209A"/>
    <w:rsid w:val="00F853E6"/>
    <w:rsid w:val="00FA0DC0"/>
    <w:rsid w:val="00FA6D6C"/>
    <w:rsid w:val="00FB1F87"/>
    <w:rsid w:val="00FB2018"/>
    <w:rsid w:val="00FB61CD"/>
    <w:rsid w:val="00FD4CD3"/>
    <w:rsid w:val="00FD5DF5"/>
    <w:rsid w:val="00FF2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semiHidden/>
    <w:rsid w:val="00A43F2F"/>
    <w:rPr>
      <w:rFonts w:cs="Times New Roman"/>
      <w:color w:val="0000FF"/>
      <w:u w:val="single"/>
      <w:rtl w:val="0"/>
      <w:cs w:val="0"/>
    </w:rPr>
  </w:style>
  <w:style w:type="paragraph" w:styleId="NormalWeb">
    <w:name w:val="Normal (Web)"/>
    <w:basedOn w:val="Normal"/>
    <w:uiPriority w:val="99"/>
    <w:semiHidden/>
    <w:rsid w:val="00A43F2F"/>
    <w:pPr>
      <w:spacing w:before="100" w:beforeAutospacing="1" w:after="100" w:afterAutospacing="1"/>
      <w:jc w:val="left"/>
    </w:pPr>
  </w:style>
  <w:style w:type="paragraph" w:customStyle="1" w:styleId="sdfootnote">
    <w:name w:val="sdfootnote"/>
    <w:basedOn w:val="Normal"/>
    <w:semiHidden/>
    <w:rsid w:val="00A43F2F"/>
    <w:pPr>
      <w:spacing w:before="100" w:beforeAutospacing="1" w:after="100" w:afterAutospacing="1"/>
      <w:jc w:val="left"/>
    </w:pPr>
  </w:style>
  <w:style w:type="paragraph" w:styleId="BalloonText">
    <w:name w:val="Balloon Text"/>
    <w:basedOn w:val="Normal"/>
    <w:link w:val="TextbublinyChar"/>
    <w:uiPriority w:val="99"/>
    <w:semiHidden/>
    <w:rsid w:val="001C5A22"/>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Zkladntext">
    <w:name w:val="Základní text"/>
    <w:rsid w:val="00BA4011"/>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FootnoteText">
    <w:name w:val="footnote text"/>
    <w:basedOn w:val="Normal"/>
    <w:link w:val="TextpoznmkypodiarouChar"/>
    <w:uiPriority w:val="99"/>
    <w:semiHidden/>
    <w:rsid w:val="00544790"/>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6C3619"/>
    <w:rPr>
      <w:rFonts w:cs="Times New Roman"/>
      <w:rtl w:val="0"/>
      <w:cs w:val="0"/>
    </w:rPr>
  </w:style>
  <w:style w:type="character" w:styleId="FootnoteReference">
    <w:name w:val="footnote reference"/>
    <w:basedOn w:val="DefaultParagraphFont"/>
    <w:uiPriority w:val="99"/>
    <w:semiHidden/>
    <w:rsid w:val="00544790"/>
    <w:rPr>
      <w:rFonts w:cs="Times New Roman"/>
      <w:vertAlign w:val="superscript"/>
      <w:rtl w:val="0"/>
      <w:cs w:val="0"/>
    </w:rPr>
  </w:style>
  <w:style w:type="paragraph" w:styleId="Footer">
    <w:name w:val="footer"/>
    <w:basedOn w:val="Normal"/>
    <w:link w:val="PtaChar"/>
    <w:uiPriority w:val="99"/>
    <w:rsid w:val="00843A6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843A69"/>
    <w:rPr>
      <w:rFonts w:cs="Times New Roman"/>
      <w:rtl w:val="0"/>
      <w:cs w:val="0"/>
    </w:rPr>
  </w:style>
  <w:style w:type="character" w:styleId="CommentReference">
    <w:name w:val="annotation reference"/>
    <w:basedOn w:val="DefaultParagraphFont"/>
    <w:uiPriority w:val="99"/>
    <w:semiHidden/>
    <w:rsid w:val="00843A69"/>
    <w:rPr>
      <w:rFonts w:cs="Times New Roman"/>
      <w:sz w:val="16"/>
      <w:szCs w:val="16"/>
      <w:rtl w:val="0"/>
      <w:cs w:val="0"/>
    </w:rPr>
  </w:style>
  <w:style w:type="paragraph" w:styleId="CommentText">
    <w:name w:val="annotation text"/>
    <w:basedOn w:val="Normal"/>
    <w:link w:val="TextkomentraChar"/>
    <w:uiPriority w:val="99"/>
    <w:semiHidden/>
    <w:rsid w:val="00843A69"/>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rtl w:val="0"/>
      <w:cs w:val="0"/>
    </w:rPr>
  </w:style>
  <w:style w:type="paragraph" w:styleId="CommentSubject">
    <w:name w:val="annotation subject"/>
    <w:basedOn w:val="CommentText"/>
    <w:next w:val="CommentText"/>
    <w:link w:val="PredmetkomentraChar"/>
    <w:uiPriority w:val="99"/>
    <w:semiHidden/>
    <w:rsid w:val="00843A69"/>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ListParagraph">
    <w:name w:val="List Paragraph"/>
    <w:basedOn w:val="Normal"/>
    <w:uiPriority w:val="34"/>
    <w:qFormat/>
    <w:rsid w:val="008E3918"/>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eur-lex.europa.eu/LexUriServ/LexUriServ.do?uri=OJ:L:2006:210:0025:01:SK:HTML" TargetMode="External" /><Relationship Id="rId6" Type="http://schemas.openxmlformats.org/officeDocument/2006/relationships/hyperlink" Target="http://eur-lex.europa.eu/LexUriServ/LexUriServ.do?uri=OJ:L:2006:371:0001:0155:SK:PDF"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125</TotalTime>
  <Pages>5</Pages>
  <Words>1413</Words>
  <Characters>8059</Characters>
  <Application>Microsoft Office Word</Application>
  <DocSecurity>0</DocSecurity>
  <Lines>0</Lines>
  <Paragraphs>0</Paragraphs>
  <ScaleCrop>false</ScaleCrop>
  <Company>mfsr</Company>
  <LinksUpToDate>false</LinksUpToDate>
  <CharactersWithSpaces>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NRSR č</dc:title>
  <dc:creator>Administrator</dc:creator>
  <cp:lastModifiedBy>Hircová, Ružena</cp:lastModifiedBy>
  <cp:revision>12</cp:revision>
  <cp:lastPrinted>2013-02-05T13:57:00Z</cp:lastPrinted>
  <dcterms:created xsi:type="dcterms:W3CDTF">2013-01-30T11:15:00Z</dcterms:created>
  <dcterms:modified xsi:type="dcterms:W3CDTF">2013-02-05T13:59:00Z</dcterms:modified>
</cp:coreProperties>
</file>