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3DF5" w:rsidP="00B13DF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Výbor</w:t>
      </w:r>
    </w:p>
    <w:p w:rsidR="00B13DF5" w:rsidP="00B13DF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B13DF5" w:rsidP="00B13DF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B13DF5" w:rsidP="00B13DF5">
      <w:pPr>
        <w:bidi w:val="0"/>
        <w:rPr>
          <w:rFonts w:ascii="Arial" w:hAnsi="Arial" w:cs="Arial"/>
          <w:b/>
          <w:i/>
        </w:rPr>
      </w:pPr>
    </w:p>
    <w:p w:rsidR="00B13DF5" w:rsidP="00B13DF5">
      <w:pPr>
        <w:bidi w:val="0"/>
        <w:rPr>
          <w:rFonts w:ascii="Arial" w:hAnsi="Arial" w:cs="Arial"/>
        </w:rPr>
      </w:pPr>
    </w:p>
    <w:p w:rsidR="00B13DF5" w:rsidP="00B13DF5">
      <w:pPr>
        <w:bidi w:val="0"/>
        <w:rPr>
          <w:rFonts w:ascii="Arial" w:hAnsi="Arial" w:cs="Arial"/>
        </w:rPr>
      </w:pPr>
    </w:p>
    <w:p w:rsidR="00B13DF5" w:rsidP="00B13DF5">
      <w:pPr>
        <w:bidi w:val="0"/>
        <w:rPr>
          <w:rFonts w:ascii="Arial" w:hAnsi="Arial" w:cs="Arial"/>
        </w:rPr>
      </w:pPr>
    </w:p>
    <w:p w:rsidR="00B13DF5" w:rsidP="00B13DF5">
      <w:pPr>
        <w:bidi w:val="0"/>
        <w:rPr>
          <w:rFonts w:ascii="Arial" w:hAnsi="Arial" w:cs="Arial"/>
        </w:rPr>
      </w:pPr>
    </w:p>
    <w:p w:rsidR="00B13DF5" w:rsidP="00B13DF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17. schôdza výboru </w:t>
      </w:r>
    </w:p>
    <w:p w:rsidR="00B13DF5" w:rsidP="00B13DF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2284/2012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</w:p>
    <w:p w:rsidR="00B13DF5" w:rsidP="00B13DF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B13DF5" w:rsidP="00B13DF5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94</w:t>
      </w:r>
    </w:p>
    <w:p w:rsidR="00B13DF5" w:rsidP="00B13DF5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B13DF5" w:rsidP="00B13DF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B13DF5" w:rsidP="00B13DF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B13DF5" w:rsidP="00B13DF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B13DF5" w:rsidP="00B13DF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 w:rsidR="003B31D9">
        <w:rPr>
          <w:rFonts w:ascii="Arial" w:hAnsi="Arial" w:cs="Arial"/>
          <w:b/>
        </w:rPr>
        <w:t>z 29</w:t>
      </w:r>
      <w:r>
        <w:rPr>
          <w:rFonts w:ascii="Arial" w:hAnsi="Arial" w:cs="Arial"/>
          <w:b/>
        </w:rPr>
        <w:t>. januára 2013</w:t>
      </w:r>
    </w:p>
    <w:p w:rsidR="00B13DF5" w:rsidP="00B13DF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B13DF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integrovanej prevencii a kontrole znečisťovania životného prostredia a o zmene a doplnení niektorých zákonov (tlač 277)</w:t>
      </w:r>
    </w:p>
    <w:p w:rsidR="00B13DF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13DF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13DF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13DF5">
        <w:rPr>
          <w:rFonts w:ascii="Arial" w:hAnsi="Arial" w:cs="Arial"/>
          <w:b/>
        </w:rPr>
        <w:t xml:space="preserve">Výbor Národnej rady Slovenskej republiky </w:t>
      </w:r>
    </w:p>
    <w:p w:rsidR="00B13DF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13DF5">
        <w:rPr>
          <w:rFonts w:ascii="Arial" w:hAnsi="Arial" w:cs="Arial"/>
          <w:b/>
        </w:rPr>
        <w:t>pre pôdohospodárstvo a životné prostredie</w:t>
      </w:r>
    </w:p>
    <w:p w:rsidR="00B13DF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B13DF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B13DF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B13DF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s vládnym návrhom zákona o integrovanej prevencii a kontrole znečisťovania životného prostredia a o zmen</w:t>
      </w:r>
      <w:r w:rsidR="009F3C85">
        <w:rPr>
          <w:rFonts w:ascii="Arial" w:hAnsi="Arial" w:cs="Arial"/>
        </w:rPr>
        <w:t>e a doplnení niektorých zákonov s týmito pripomienkami:</w:t>
      </w:r>
    </w:p>
    <w:p w:rsidR="009F01B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F3C85" w:rsidP="009F3C85">
      <w:pPr>
        <w:pStyle w:val="ListParagraph"/>
        <w:numPr>
          <w:numId w:val="2"/>
        </w:numPr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čl. I  § 3 </w:t>
      </w:r>
    </w:p>
    <w:p w:rsidR="009F3C85" w:rsidP="009F3C8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 nadpise pod § 3 sa za slovo „vydanie“ vkladá slovo „integrovaného“.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 úpravu z prihliadnutím na zavedenie legislatívnej skratky „povolenie“ pre pojem integrované povolenie  až v navrhovanom normatívnom texte § 3 ods. 2.</w:t>
      </w: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 K čl. I  § 4</w:t>
      </w:r>
    </w:p>
    <w:p w:rsidR="009F3C85" w:rsidP="009F3C85">
      <w:pPr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  § 4  v odsekoch 2, 3 a 4 sa slová „integrované povolenie“ vo všetkých tvaroch nahrádza slovom „povolenie“ v príslušnom gramatickom tvare.</w:t>
      </w:r>
    </w:p>
    <w:p w:rsidR="009F3C85" w:rsidP="009F3C85">
      <w:pPr>
        <w:bidi w:val="0"/>
        <w:ind w:firstLine="708"/>
        <w:jc w:val="both"/>
        <w:rPr>
          <w:rFonts w:ascii="Arial" w:hAnsi="Arial" w:cs="Arial"/>
        </w:rPr>
      </w:pP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úpravu súvisiacu so zavedením legislatívnej skratky „povolenie“ v § 3 ods. 2 pre pojem „integrované povolenie“.</w:t>
      </w: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tabs>
          <w:tab w:val="left" w:pos="426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3 .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 čl. I § 5 ods. 4</w:t>
      </w:r>
    </w:p>
    <w:p w:rsidR="009F3C85" w:rsidP="009F3C85">
      <w:pPr>
        <w:tabs>
          <w:tab w:val="left" w:pos="426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V uvádzacej vete sa vypúšťa slovo „odborného“.</w:t>
      </w:r>
    </w:p>
    <w:p w:rsidR="009F3C85" w:rsidP="009F3C85">
      <w:pPr>
        <w:tabs>
          <w:tab w:val="left" w:pos="426"/>
        </w:tabs>
        <w:bidi w:val="0"/>
        <w:jc w:val="both"/>
        <w:rPr>
          <w:rFonts w:ascii="Arial" w:hAnsi="Arial" w:cs="Arial"/>
          <w:i/>
          <w:u w:val="single"/>
        </w:rPr>
      </w:pPr>
    </w:p>
    <w:p w:rsidR="009F3C85" w:rsidP="009F3C85">
      <w:pPr>
        <w:bidi w:val="0"/>
        <w:ind w:left="3544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Legislatívno-technická úprava ustanovenia zjednocujúca pojem „osvedčenie“.  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  K čl. I  § 7 ods. 1</w:t>
      </w:r>
    </w:p>
    <w:p w:rsidR="009F3C85" w:rsidP="009F3C85">
      <w:pPr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  § 7 ods. 1 v úvodnej vete  sa vypúšťa slovo „všeobecných“ a za slová „náležitosti podania“ sa vkladajú slová „podľa všeobecného predpisu o správnom konaní“.</w:t>
      </w:r>
      <w:r>
        <w:rPr>
          <w:rFonts w:ascii="Arial" w:hAnsi="Arial" w:cs="Arial"/>
          <w:u w:val="single"/>
        </w:rPr>
        <w:t xml:space="preserve"> </w:t>
      </w:r>
    </w:p>
    <w:p w:rsidR="009F3C85" w:rsidP="009F3C85">
      <w:pPr>
        <w:bidi w:val="0"/>
        <w:ind w:left="284" w:hanging="284"/>
        <w:jc w:val="both"/>
        <w:rPr>
          <w:rFonts w:ascii="Arial" w:hAnsi="Arial" w:cs="Arial"/>
          <w:u w:val="single"/>
        </w:rPr>
      </w:pP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Nakoľko poznámka pod čiarou má len informatívny charakter, už priamo z normatívneho textu musí byť zrejmé, o ktorý právny predpis, upravujúci všeobecné náležitosti podania, ide. Zároveň ide o zosúladenie s navrhovaným ustanovením § 9 ods. 1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  <w:tab/>
        <w:t>K čl. I § 8 ods. 6</w:t>
      </w:r>
    </w:p>
    <w:p w:rsidR="009F3C85" w:rsidP="009F3C8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V § 8 ods. 6 sa vypúšťa slovo „relevantných“.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Vypustenie slova „relevantných“ sa navrhuje s dôvodu jeho nadbytočnosti a  to s prihliadnutím na vymedzený pojem „nebezpečné látky“ obsiahnutý v ustanovení  § 8 ods. 1 a 2.</w:t>
      </w: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6.  K čl. I § 21 ods. l</w:t>
      </w:r>
    </w:p>
    <w:p w:rsidR="009F3C85" w:rsidP="009F3C85">
      <w:pPr>
        <w:bidi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nadpise § 21 sa vypúšťa slovo „všeobecné“ a v § 21 ods. 1 úvodnej vete sa vypúšťa slovo „všeobecných“ a za slovo „rozhodnutia“ vkladajú slová „podľa všeobecného predpisu o správnom konaní“.</w:t>
      </w:r>
    </w:p>
    <w:p w:rsidR="009F3C85" w:rsidP="009F3C85">
      <w:pPr>
        <w:bidi w:val="0"/>
        <w:ind w:left="426"/>
        <w:jc w:val="both"/>
        <w:rPr>
          <w:rFonts w:ascii="Arial" w:hAnsi="Arial" w:cs="Arial"/>
        </w:rPr>
      </w:pP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Nakoľko poznámka pod čiarou má len informatívny charakter, už priamo z normatívneho textu musí byť zrejmé, o ktorý právny predpis, upravujúci všeobecné náležitosti podania, ide. Zároveň ide o zosúladenie s navrhovaným ustanovením § 9 ods. 1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7.   K čl. I § 22 ods. 7</w:t>
      </w:r>
    </w:p>
    <w:p w:rsidR="009F3C85" w:rsidP="009F3C85">
      <w:p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  <w:tab/>
        <w:t xml:space="preserve"> V § 22 ods. 7 sa slová „limity, ktoré by inak boli ustanovené“ sa nahrádzajú slovami „limity ustanovené“.</w:t>
      </w:r>
    </w:p>
    <w:p w:rsidR="009F3C85" w:rsidP="009F3C85">
      <w:pPr>
        <w:bidi w:val="0"/>
        <w:ind w:firstLine="360"/>
        <w:jc w:val="both"/>
        <w:rPr>
          <w:rFonts w:ascii="Arial" w:hAnsi="Arial" w:cs="Arial"/>
        </w:rPr>
      </w:pP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pripomienku, ktorou sa precizuje právny text.</w:t>
      </w: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8.   K čl. I § 34 ods. 12</w:t>
      </w:r>
    </w:p>
    <w:p w:rsidR="009F3C85" w:rsidP="009F3C8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V § 34 ods. 12 písm. b) sa slová „§ 30 ods. 2“ nahrádzajú slovami „§ 31 ods. 2“.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zosúladenie vnútorného odkazu s príslušným ustanovením § 31 ods. 2</w:t>
      </w: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9.   K čl. I § 39</w:t>
      </w:r>
    </w:p>
    <w:p w:rsidR="009F3C85" w:rsidP="009F3C8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V § 39 sa za slová „15 až 19,“ vkladá číslovka „21,“.</w:t>
      </w:r>
    </w:p>
    <w:p w:rsidR="009F3C85" w:rsidP="009F3C85">
      <w:pPr>
        <w:pStyle w:val="ListParagraph"/>
        <w:bidi w:val="0"/>
        <w:jc w:val="both"/>
        <w:rPr>
          <w:rFonts w:ascii="Arial" w:hAnsi="Arial" w:cs="Arial"/>
        </w:rPr>
      </w:pPr>
    </w:p>
    <w:p w:rsidR="009F3C85" w:rsidP="009F3C85">
      <w:pPr>
        <w:pStyle w:val="ListParagraph"/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rozšírenie výpočtu príslušných ustanovení zákona. Aj v § 21 sú uvedené odlišnosti oproti správnemu poriadku.</w:t>
      </w:r>
    </w:p>
    <w:p w:rsidR="009F3C85" w:rsidP="009F3C85">
      <w:pPr>
        <w:pStyle w:val="ListParagraph"/>
        <w:bidi w:val="0"/>
        <w:ind w:left="3540"/>
        <w:jc w:val="both"/>
        <w:rPr>
          <w:rFonts w:ascii="Arial" w:hAnsi="Arial" w:cs="Arial"/>
        </w:rPr>
      </w:pPr>
    </w:p>
    <w:p w:rsidR="009F3C85" w:rsidP="009F3C85">
      <w:pPr>
        <w:pStyle w:val="ListParagraph"/>
        <w:bidi w:val="0"/>
        <w:ind w:left="3540"/>
        <w:jc w:val="both"/>
        <w:rPr>
          <w:rFonts w:ascii="Arial" w:hAnsi="Arial" w:cs="Arial"/>
        </w:rPr>
      </w:pPr>
    </w:p>
    <w:p w:rsidR="00B51DC0" w:rsidP="009F3C85">
      <w:pPr>
        <w:bidi w:val="0"/>
        <w:ind w:left="426" w:hanging="426"/>
        <w:jc w:val="both"/>
        <w:rPr>
          <w:rFonts w:ascii="Arial" w:hAnsi="Arial" w:cs="Arial"/>
        </w:rPr>
      </w:pPr>
      <w:r w:rsidR="009F3C85">
        <w:rPr>
          <w:rFonts w:ascii="Arial" w:hAnsi="Arial" w:cs="Arial"/>
        </w:rPr>
        <w:t xml:space="preserve">10. </w:t>
      </w:r>
      <w:r>
        <w:rPr>
          <w:rFonts w:ascii="Arial" w:hAnsi="Arial" w:cs="Arial"/>
        </w:rPr>
        <w:tab/>
        <w:t>K čl. I § 40 ods. 5</w:t>
      </w:r>
    </w:p>
    <w:p w:rsidR="009F3C85" w:rsidP="00B51DC0">
      <w:pPr>
        <w:bidi w:val="0"/>
        <w:ind w:left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V § 40 ods. 5 uvádzacia veta znie: „Podľa doterajších predpisov sa postupuje najneskôr do 7. januára 2014 v existujúcich prevádzkach alebo v prevádzkach, ktoré podali úplnú žiadosť do účinnosti tohto zákona, ak boli tieto prevádzky uvedené do užívania pred 7. januárom 2014 a ak sa v nich vykonáva niektorá z činností uvedených v prílohe č. 1 v</w:t>
      </w:r>
      <w:r>
        <w:rPr>
          <w:rFonts w:ascii="Arial" w:hAnsi="Arial" w:cs="Arial"/>
          <w:lang w:eastAsia="en-US"/>
        </w:rPr>
        <w:t>“.</w:t>
      </w:r>
    </w:p>
    <w:p w:rsidR="009F3C85" w:rsidP="009F3C85">
      <w:pPr>
        <w:bidi w:val="0"/>
        <w:jc w:val="both"/>
        <w:rPr>
          <w:rFonts w:ascii="Arial" w:hAnsi="Arial" w:cs="Arial"/>
          <w:i/>
          <w:u w:val="single"/>
          <w:lang w:eastAsia="en-US"/>
        </w:rPr>
      </w:pPr>
    </w:p>
    <w:p w:rsidR="009F3C85" w:rsidP="009F3C85">
      <w:pPr>
        <w:bidi w:val="0"/>
        <w:ind w:left="354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V § 40 ods. 5 sa spresňuje uvádzacia veta prechodného ustanovenia. Dopĺňajú sa do nej slová, že podľa doterajšej právnej úpravy sa postupuje v už existujúcich prevádzkach alebo v tých, kde bola podaná úplná žiadosť podľa doterajšej právnej úpravy</w:t>
      </w:r>
    </w:p>
    <w:p w:rsidR="009F3C85" w:rsidP="009F3C85">
      <w:pPr>
        <w:bidi w:val="0"/>
        <w:ind w:left="3544"/>
        <w:jc w:val="both"/>
        <w:rPr>
          <w:rFonts w:ascii="Arial" w:hAnsi="Arial" w:cs="Arial"/>
          <w:lang w:eastAsia="en-US"/>
        </w:rPr>
      </w:pPr>
    </w:p>
    <w:p w:rsidR="009F3C85" w:rsidP="009F3C85">
      <w:pPr>
        <w:tabs>
          <w:tab w:val="left" w:pos="426"/>
        </w:tabs>
        <w:bidi w:val="0"/>
        <w:jc w:val="both"/>
        <w:rPr>
          <w:rFonts w:ascii="Arial" w:hAnsi="Arial" w:cs="Arial"/>
          <w:b/>
        </w:rPr>
      </w:pPr>
    </w:p>
    <w:p w:rsidR="00B51DC0" w:rsidP="00B51DC0">
      <w:pPr>
        <w:bidi w:val="0"/>
        <w:ind w:left="426" w:hanging="426"/>
        <w:jc w:val="both"/>
        <w:rPr>
          <w:rFonts w:ascii="Arial" w:hAnsi="Arial" w:cs="Arial"/>
        </w:rPr>
      </w:pPr>
      <w:r w:rsidR="009F3C85"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K čl. I § 40 odseky 6 a 7</w:t>
        <w:tab/>
      </w:r>
    </w:p>
    <w:p w:rsidR="009F3C85" w:rsidP="009F3C85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B51DC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V § 40 odseky 6 a 7 znejú:</w:t>
      </w:r>
    </w:p>
    <w:p w:rsidR="009F3C85" w:rsidP="009F3C85">
      <w:pPr>
        <w:bidi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„(6) Povolenia pre prevádzky podľa odseku 5 sa zosúladia postupom podľa §  33 s požiadavkami tohto zákona do 7. januára 2014.</w:t>
      </w:r>
    </w:p>
    <w:p w:rsidR="009F3C85" w:rsidP="009F3C85">
      <w:pPr>
        <w:bidi w:val="0"/>
        <w:ind w:left="567" w:hanging="14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(7) Začaté a neukončené konania sa dokončia podľa doterajších predpisov.“.</w:t>
      </w:r>
    </w:p>
    <w:p w:rsidR="009F3C85" w:rsidP="009F3C85">
      <w:pPr>
        <w:bidi w:val="0"/>
        <w:ind w:left="141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</w:t>
      </w:r>
    </w:p>
    <w:p w:rsidR="009F3C85" w:rsidP="009F3C85">
      <w:pPr>
        <w:bidi w:val="0"/>
        <w:ind w:left="354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§ 40 ods. 6 legislatívne spresňuje, že ide o zosúladenie povolení pre prevádzky a tiež sa dopĺňa, podľa ktorého konkrétneho ustanovenia zákona sa tento postup uskutoční  (§ 33). § 40 ods. 7 nahrádza doterajšiu formuláciu štandardnou zrozumiteľnou formuláciou upravujúcich priebeh začatých a neukončených konaní s ohľadom na novú právnu úpravu. </w:t>
      </w:r>
    </w:p>
    <w:p w:rsidR="009F3C85" w:rsidP="009F3C85">
      <w:pPr>
        <w:pStyle w:val="ListParagraph"/>
        <w:bidi w:val="0"/>
        <w:ind w:left="3540"/>
        <w:jc w:val="both"/>
        <w:rPr>
          <w:rFonts w:ascii="Arial" w:hAnsi="Arial" w:cs="Arial"/>
        </w:rPr>
      </w:pPr>
    </w:p>
    <w:p w:rsidR="009F3C85" w:rsidP="009F3C85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 K čl. I § 40 </w:t>
      </w:r>
    </w:p>
    <w:p w:rsidR="009F3C85" w:rsidP="009F3C8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V § 40 ods. 6, 9 a 10 sa slovo „zákona“ nahrádza slovami „tohto zákona“.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legislatívnu úpravu súvisiacu s požiadavkami kladenými na právny predpis z hľadiska jeho jasnosti a určitosti.</w:t>
      </w: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</w:p>
    <w:p w:rsidR="009F3C85" w:rsidP="009F3C85">
      <w:pPr>
        <w:tabs>
          <w:tab w:val="left" w:pos="426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13.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 článok V sa vkladajú nové články VI a VII, ktoré znejú:</w:t>
      </w:r>
    </w:p>
    <w:p w:rsidR="009F3C85" w:rsidP="009F3C85">
      <w:pPr>
        <w:tabs>
          <w:tab w:val="left" w:pos="426"/>
        </w:tabs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>Čl. VI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tabs>
          <w:tab w:val="left" w:pos="284"/>
        </w:tabs>
        <w:autoSpaceDE w:val="0"/>
        <w:autoSpaceDN w:val="0"/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Zákon </w:t>
      </w:r>
      <w:r>
        <w:rPr>
          <w:rFonts w:ascii="Arial" w:hAnsi="Arial" w:cs="Arial"/>
          <w:bCs/>
        </w:rPr>
        <w:t>č. 24/2006 Z. z</w:t>
      </w:r>
      <w:r>
        <w:rPr>
          <w:rFonts w:ascii="Arial" w:hAnsi="Arial" w:cs="Arial"/>
        </w:rPr>
        <w:t>. o posudzovaní vplyvov na životné prostredie a o zmene a doplnení niektorých zákonov v znení zákona č. 275/2007 Z. z., zákona č. 454/2007 Z. z., zákona č. 287/2008 Z. z., zákona č. 117/2010 Z. z., zákona č. 145/2010 Z. z., zákona č. 258/2011 Z. z., zákona  č. 408/2011 Z. z. a zákona č. 448/2012 Z. z. sa dopĺňa takto: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 § 65b sa vkladá § 65c, ktorý vrátane nadpisu znie: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„§ 65c</w:t>
      </w:r>
    </w:p>
    <w:p w:rsidR="009F3C85" w:rsidP="009F3C85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Prechodné ustanovenie účinné od 15. marca 2013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Platnosť záverečného stanoviska k činnosti vydaného pred 1. decembrom 2011, ktoré nestratilo platnosť k 15. marcu 2013, je sedem rokov odo dňa jeho vydania.“.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pStyle w:val="Nadpis3Podloha"/>
        <w:numPr>
          <w:ilvl w:val="0"/>
          <w:numId w:val="0"/>
        </w:numPr>
        <w:tabs>
          <w:tab w:val="left" w:pos="708"/>
          <w:tab w:val="clear" w:pos="1418"/>
        </w:tabs>
        <w:bidi w:val="0"/>
        <w:spacing w:before="0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VII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Zákon č. 359/2007 Z. z. o prevencii a náprave environmentálnych škôd a o zmene a doplnení niektorých zákonov v znení zákona č. 514/2008 Z. z.,  zákona č. 515/2008 Z. z. a zákona č. 258/2011 Z. z. sa mení a dopĺňa takto: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V § 1 ods. 2 písm. i) znie: „i) prevádzkou veľkých zdrojov znečisťovania ovzdušia,</w:t>
      </w:r>
      <w:r>
        <w:rPr>
          <w:rFonts w:ascii="Arial" w:hAnsi="Arial" w:cs="Arial"/>
          <w:vertAlign w:val="superscript"/>
        </w:rPr>
        <w:t>12)</w:t>
      </w:r>
      <w:r>
        <w:rPr>
          <w:rFonts w:ascii="Arial" w:hAnsi="Arial" w:cs="Arial"/>
        </w:rPr>
        <w:t>.“</w:t>
      </w:r>
    </w:p>
    <w:p w:rsidR="009F3C85" w:rsidP="009F3C85">
      <w:pPr>
        <w:bidi w:val="0"/>
        <w:jc w:val="both"/>
        <w:rPr>
          <w:rFonts w:ascii="Arial" w:hAnsi="Arial" w:cs="Arial"/>
          <w:strike/>
        </w:rPr>
      </w:pPr>
    </w:p>
    <w:p w:rsidR="009F3C85" w:rsidP="009F3C8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Poznámka pod čiarou k odkazu 12 znie: </w:t>
      </w:r>
    </w:p>
    <w:p w:rsidR="009F3C85" w:rsidP="009F3C8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„12) § 3 ods. 2 písm. a) a § 33 písm. a) zákona č. 137/2010 Z. z. o ovzduší.“</w:t>
      </w:r>
    </w:p>
    <w:p w:rsidR="009F3C85" w:rsidP="009F3C8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F3C85" w:rsidP="009F3C8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V § 13 ods. 1 sa na konci pripája táto veta: „Finančné krytie zodpovednosti za environmentálnu škodu je prevádzkovateľ povinný zabezpečiť formou uzatvorenia zmluvy o poistení zodpovednosti za environmentálnu škodu alebo formou zmluvného zabezpečenia vyhovujúceho spôsobu finančného krytia tejto zodpovednosti napríklad zárukou banky alebo účelovo viazaným účtom.“.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§ 13 sa dopĺňa odsekom 4,  ktorý znie: „(4) Prevádzkovateľ pracovnej činnosti je povinný preukázať príslušnému orgánu spôsob finančného krytia svojej zodpovednosti za environmentálnu škodu vrátane predpokladaných nákladov na nápravnú činnosť a nápravné opatrenia na odstránenie environmentálnej škody a bezodkladne ho písomne informovať o všetkých jeho zmenách.“. 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numPr>
          <w:numId w:val="3"/>
        </w:numPr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 § 18 ods. 1 písm. b) sa na konci pripájajú tieto slová „alebo 4.“.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numPr>
          <w:numId w:val="3"/>
        </w:numPr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 § 22 ods. 1 písm. d) sa na konci pripájajú tieto slová „alebo 4.“.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Doterajší čl. VI sa označuje ako čl. VIII.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K čl. VI - Doplnením prechodného ustanovenia sa napravuje doterajší stav, kedy pre záverečné stanoviská porovnateľných navrhovaných činností platia od roku 2011 rôzne doby platnosti. Zjednotením platnosti záverečného stanoviska na 7 rokov sa odstraňuje neopodstatnený rozdiel.</w:t>
      </w:r>
    </w:p>
    <w:p w:rsidR="009F3C85" w:rsidP="009F3C85">
      <w:pPr>
        <w:bidi w:val="0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K čl. VII - Novým znením § 1 ods. 2 písm. i) sa zabezpečí oprava nesprávnej transpozície Prílohy III smernice 2004/35/ES o environmentálnej zodpovednosti pri prevencii a odstraňovaní environmentálnych škôd.</w:t>
      </w:r>
    </w:p>
    <w:p w:rsidR="009F3C85" w:rsidP="009F3C85">
      <w:pPr>
        <w:bidi w:val="0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Doplnením novej vety do § 13 ods. 1 sa vyšpecifikujú vyhovujúce spôsoby finančného krytia zodpovednosti za environmentálnu škodu. Forma finančného krytia v platnom znení zákona nie je zadefinovaná, čo prevádzkovateľom umožňuje zabezpečovať finančné krytie zodpovednosti aj nevyhovujúcim spôsobom (napr. bežným účtom v banke alebo hotovosťou v pokladni, atď.). </w:t>
      </w:r>
    </w:p>
    <w:p w:rsidR="009F3C85" w:rsidP="009F3C85">
      <w:pPr>
        <w:bidi w:val="0"/>
        <w:ind w:left="354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Doplnením nového odseku 4 do § 13 za zabezpečí preukazovanie finančného krytia zodpovednosti za environmentálnu škodu prevádzkovateľmi už povolených pracovných činností, nakoľko § 13 ods. 3 sa vzťahuje iba na  povolenia pracovných  činností vydaných po 31.6. 2012.</w:t>
      </w:r>
    </w:p>
    <w:p w:rsidR="009F3C85" w:rsidP="009F3C85">
      <w:pPr>
        <w:bidi w:val="0"/>
        <w:ind w:left="3402"/>
        <w:jc w:val="both"/>
        <w:rPr>
          <w:rFonts w:ascii="Arial" w:hAnsi="Arial" w:cs="Arial"/>
        </w:rPr>
      </w:pP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rPr>
          <w:rFonts w:ascii="Arial" w:hAnsi="Arial" w:cs="Arial"/>
        </w:rPr>
      </w:pP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</w:p>
    <w:p w:rsidR="009F3C85" w:rsidP="009F3C85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14. K čl. VI a čl. I § 40 ods. 9</w:t>
      </w:r>
    </w:p>
    <w:p w:rsidR="009F3C85" w:rsidP="009F3C85">
      <w:pPr>
        <w:bidi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V čl. VI sa  slová „1. marca 2013“ nahrádzajú slovami „15. marca 2013“.</w:t>
      </w:r>
    </w:p>
    <w:p w:rsidR="009F3C85" w:rsidP="009F3C85">
      <w:p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V nadväznosti na navrhovanú zmenu účinnosti je potrebné túto skutočnosť premietnuť aj v čl. I v ustanovení § 40 ods. 9 kde sa slová „po 1. marci 2013“ nahrádzajú slovami „po 15. marci 2013“. </w:t>
      </w:r>
    </w:p>
    <w:p w:rsidR="009F3C85" w:rsidP="009F3C85">
      <w:pPr>
        <w:bidi w:val="0"/>
        <w:ind w:left="426" w:hanging="426"/>
        <w:jc w:val="both"/>
        <w:rPr>
          <w:rFonts w:ascii="Arial" w:hAnsi="Arial" w:cs="Arial"/>
        </w:rPr>
      </w:pP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Nový deň účinnosti sa navrhuje ustanoviť v nadväznosti na predpokladaný termín schválenia zákona a jeho vyhlásenie v zbierke zákonov. 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9F3C85">
      <w:pPr>
        <w:bidi w:val="0"/>
        <w:spacing w:after="20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15. K prílohe č. 1 k zákonu  písm. bc):</w:t>
      </w:r>
    </w:p>
    <w:p w:rsidR="009F3C85" w:rsidP="009F3C85">
      <w:pPr>
        <w:bidi w:val="0"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V prílohe č. 1 k zákonu bod 6.4. písm. bc) znie:</w:t>
      </w:r>
    </w:p>
    <w:p w:rsidR="009F3C85" w:rsidP="009F3C8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„</w:t>
      </w:r>
      <w:r>
        <w:rPr>
          <w:rFonts w:ascii="Arial" w:hAnsi="Arial" w:cs="Arial"/>
        </w:rPr>
        <w:t>bc) zo surovín živočíšneho a rastlinného pôvodu v kombinovaných alebo oddelených výrobkoch s výrobnou kapacitou hotových výrobkov v tonách za deň väčšou ako:</w:t>
      </w:r>
    </w:p>
    <w:p w:rsidR="009F3C85" w:rsidP="009F3C8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x1" w:themeShade="FF"/>
        </w:rPr>
        <w:t xml:space="preserve">—   75 </w:t>
      </w:r>
      <w:r>
        <w:rPr>
          <w:rFonts w:ascii="Arial" w:hAnsi="Arial" w:cs="Arial"/>
        </w:rPr>
        <w:t xml:space="preserve">ak A sa rovná 10 alebo viac, kde „A“ predstavuje podiel materiálu živočíšneho pôvodu v percentách hmotnosti výrobnej kapacity hotových výrobkov, alebo </w:t>
      </w:r>
    </w:p>
    <w:p w:rsidR="009F3C85" w:rsidP="009F3C8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—  [300 – (22,5 × A)] vo všetkých ostatných prípadoch, kde „A“ predstavuje podiel materiálu živočíšneho pôvodu v percentách hmotnosti výrobnej kapacity hotových výrobkov.“.</w:t>
      </w: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</w:p>
    <w:p w:rsidR="009F3C85" w:rsidP="009F3C85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pripomienku, ktorou sa precizuje právny text v súlade s prílohou č. I bodom 6.4 písm. b) podods. i), ii), iii) smernice Európskeho parlamentu a Rady 2010/75/EÚ a Legislatívnymi pravidlami tvorby zákonov.</w:t>
      </w:r>
    </w:p>
    <w:p w:rsidR="009F3C85" w:rsidP="009F3C85">
      <w:pPr>
        <w:bidi w:val="0"/>
        <w:spacing w:line="360" w:lineRule="auto"/>
        <w:jc w:val="both"/>
        <w:rPr>
          <w:rFonts w:ascii="Arial" w:hAnsi="Arial" w:cs="Arial"/>
          <w:b/>
        </w:rPr>
      </w:pPr>
    </w:p>
    <w:p w:rsidR="009F3C85" w:rsidP="009F3C85">
      <w:pPr>
        <w:bidi w:val="0"/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K prílohe č.  3 </w:t>
      </w:r>
    </w:p>
    <w:p w:rsidR="009F3C85" w:rsidP="009F3C85">
      <w:pPr>
        <w:bidi w:val="0"/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prílohe č. 3 k zákonu v bode A bode 6. sa za slovo „látky“ pripájajú slová      „vrátane jemných častíc“.</w:t>
      </w:r>
    </w:p>
    <w:p w:rsidR="009F3C85" w:rsidP="009F3C85">
      <w:pPr>
        <w:autoSpaceDE w:val="0"/>
        <w:autoSpaceDN w:val="0"/>
        <w:bidi w:val="0"/>
        <w:adjustRightInd w:val="0"/>
        <w:spacing w:before="120" w:after="20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pripomienku, ktorou sa precizuje právny text v súlade s prílohou č. II bodom A smernice Európskeho parlamentu a Rady 2010/75/EÚ a Legislatívnymi pravidlami tvorby zákonov.</w:t>
      </w:r>
    </w:p>
    <w:p w:rsidR="009F3C85" w:rsidP="009F3C85">
      <w:pPr>
        <w:bidi w:val="0"/>
        <w:jc w:val="both"/>
        <w:rPr>
          <w:rFonts w:ascii="Arial" w:hAnsi="Arial" w:cs="Arial"/>
        </w:rPr>
      </w:pPr>
    </w:p>
    <w:p w:rsidR="009F3C8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13DF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13DF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13DF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B13DF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Národnej rade </w:t>
      </w:r>
      <w:r w:rsidRPr="00B13DF5">
        <w:rPr>
          <w:rFonts w:ascii="Arial" w:hAnsi="Arial" w:cs="Arial"/>
          <w:b/>
        </w:rPr>
        <w:t>Slovenskej republiky</w:t>
      </w:r>
    </w:p>
    <w:p w:rsidR="00B13DF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vládny návrh zákona o integrovanej prevencii a kontrole znečisťovania životného prostredia a o zmene a doplnení niektorých zákonov </w:t>
      </w:r>
      <w:r w:rsidR="009F3C85">
        <w:rPr>
          <w:rFonts w:ascii="Arial" w:hAnsi="Arial" w:cs="Arial"/>
          <w:b/>
        </w:rPr>
        <w:t>schváliť s pripomienkami.</w:t>
      </w:r>
    </w:p>
    <w:p w:rsidR="009F3C8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9F3C8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9F3C8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9F3C8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9F3C8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9F3C8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9F3C8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</w:p>
    <w:p w:rsidR="009F3C85" w:rsidRPr="009F3C85" w:rsidP="00B13DF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 </w:t>
        <w:tab/>
        <w:tab/>
        <w:tab/>
        <w:tab/>
        <w:tab/>
        <w:tab/>
        <w:tab/>
        <w:t xml:space="preserve">predseda výboru  </w:t>
      </w:r>
    </w:p>
    <w:p w:rsidR="00B13DF5" w:rsidP="00B13DF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B28F4">
      <w:pPr>
        <w:bidi w:val="0"/>
        <w:rPr>
          <w:rFonts w:ascii="Times New Roman" w:hAnsi="Times New Roman"/>
        </w:rPr>
      </w:pPr>
    </w:p>
    <w:sectPr w:rsidSect="009F3C85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85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51DC0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9F3C8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AF0"/>
    <w:multiLevelType w:val="hybridMultilevel"/>
    <w:tmpl w:val="BAA02A90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  <w:rtl w:val="0"/>
        <w:cs w:val="0"/>
      </w:rPr>
    </w:lvl>
  </w:abstractNum>
  <w:abstractNum w:abstractNumId="2">
    <w:nsid w:val="62DC582D"/>
    <w:multiLevelType w:val="hybridMultilevel"/>
    <w:tmpl w:val="D026E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13DF5"/>
    <w:rsid w:val="00135A6E"/>
    <w:rsid w:val="003B31D9"/>
    <w:rsid w:val="003B535A"/>
    <w:rsid w:val="00565A78"/>
    <w:rsid w:val="00646974"/>
    <w:rsid w:val="00801C4B"/>
    <w:rsid w:val="008072B4"/>
    <w:rsid w:val="00916BC0"/>
    <w:rsid w:val="009F01B5"/>
    <w:rsid w:val="009F3C85"/>
    <w:rsid w:val="00A1333B"/>
    <w:rsid w:val="00AF1C8A"/>
    <w:rsid w:val="00B13DF5"/>
    <w:rsid w:val="00B3709D"/>
    <w:rsid w:val="00B51DC0"/>
    <w:rsid w:val="00C15FB4"/>
    <w:rsid w:val="00C300A5"/>
    <w:rsid w:val="00C607C6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F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semiHidden/>
    <w:unhideWhenUsed/>
    <w:qFormat/>
    <w:rsid w:val="009F3C85"/>
    <w:pPr>
      <w:numPr>
        <w:ilvl w:val="4"/>
        <w:numId w:val="1"/>
      </w:numPr>
      <w:tabs>
        <w:tab w:val="num" w:pos="3240"/>
      </w:tabs>
      <w:autoSpaceDE w:val="0"/>
      <w:autoSpaceDN w:val="0"/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semiHidden/>
    <w:unhideWhenUsed/>
    <w:qFormat/>
    <w:rsid w:val="009F3C85"/>
    <w:pPr>
      <w:numPr>
        <w:ilvl w:val="5"/>
        <w:numId w:val="1"/>
      </w:numPr>
      <w:tabs>
        <w:tab w:val="num" w:pos="3960"/>
      </w:tabs>
      <w:autoSpaceDE w:val="0"/>
      <w:autoSpaceDN w:val="0"/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semiHidden/>
    <w:unhideWhenUsed/>
    <w:qFormat/>
    <w:rsid w:val="009F3C85"/>
    <w:pPr>
      <w:numPr>
        <w:ilvl w:val="6"/>
        <w:numId w:val="1"/>
      </w:numPr>
      <w:tabs>
        <w:tab w:val="num" w:pos="4680"/>
      </w:tabs>
      <w:autoSpaceDE w:val="0"/>
      <w:autoSpaceDN w:val="0"/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9"/>
    <w:semiHidden/>
    <w:unhideWhenUsed/>
    <w:qFormat/>
    <w:rsid w:val="009F3C85"/>
    <w:pPr>
      <w:numPr>
        <w:ilvl w:val="7"/>
        <w:numId w:val="1"/>
      </w:numPr>
      <w:tabs>
        <w:tab w:val="num" w:pos="5400"/>
      </w:tabs>
      <w:autoSpaceDE w:val="0"/>
      <w:autoSpaceDN w:val="0"/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Nadpis9Char"/>
    <w:uiPriority w:val="99"/>
    <w:semiHidden/>
    <w:unhideWhenUsed/>
    <w:qFormat/>
    <w:rsid w:val="009F3C85"/>
    <w:pPr>
      <w:numPr>
        <w:ilvl w:val="8"/>
        <w:numId w:val="1"/>
      </w:numPr>
      <w:tabs>
        <w:tab w:val="num" w:pos="6120"/>
      </w:tabs>
      <w:autoSpaceDE w:val="0"/>
      <w:autoSpaceDN w:val="0"/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9F3C85"/>
    <w:rPr>
      <w:rFonts w:ascii="Times New Roman" w:hAnsi="Times New Roman" w:cs="Times New Roman"/>
      <w:b/>
      <w:bCs/>
      <w:i/>
      <w:iCs/>
      <w:sz w:val="26"/>
      <w:szCs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sid w:val="009F3C85"/>
    <w:rPr>
      <w:rFonts w:ascii="Times New Roman" w:hAnsi="Times New Roman" w:cs="Times New Roman"/>
      <w:b/>
      <w:bCs/>
      <w:sz w:val="22"/>
      <w:szCs w:val="22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semiHidden/>
    <w:locked/>
    <w:rsid w:val="009F3C85"/>
    <w:rPr>
      <w:rFonts w:ascii="Times New Roman" w:hAnsi="Times New Roman" w:cs="Times New Roman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semiHidden/>
    <w:locked/>
    <w:rsid w:val="009F3C85"/>
    <w:rPr>
      <w:rFonts w:ascii="Times New Roman" w:hAnsi="Times New Roman" w:cs="Times New Roman"/>
      <w:i/>
      <w:iCs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semiHidden/>
    <w:locked/>
    <w:rsid w:val="009F3C85"/>
    <w:rPr>
      <w:rFonts w:cs="Times New Roman"/>
      <w:sz w:val="22"/>
      <w:szCs w:val="22"/>
      <w:rtl w:val="0"/>
      <w:cs w:val="0"/>
      <w:lang w:val="x-none" w:eastAsia="sk-SK"/>
    </w:r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ListParagraph">
    <w:name w:val="List Paragraph"/>
    <w:basedOn w:val="Normal"/>
    <w:uiPriority w:val="34"/>
    <w:qFormat/>
    <w:rsid w:val="009F3C85"/>
    <w:pPr>
      <w:ind w:left="720"/>
      <w:contextualSpacing/>
      <w:jc w:val="left"/>
    </w:pPr>
  </w:style>
  <w:style w:type="paragraph" w:customStyle="1" w:styleId="Nadpis1orobas">
    <w:name w:val="Nadpis 1.Čo robí (časť)"/>
    <w:basedOn w:val="Normal"/>
    <w:next w:val="Normal"/>
    <w:uiPriority w:val="99"/>
    <w:rsid w:val="009F3C85"/>
    <w:pPr>
      <w:keepNext/>
      <w:numPr>
        <w:numId w:val="1"/>
      </w:numPr>
      <w:tabs>
        <w:tab w:val="num" w:pos="567"/>
      </w:tabs>
      <w:autoSpaceDE w:val="0"/>
      <w:autoSpaceDN w:val="0"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9F3C85"/>
    <w:pPr>
      <w:numPr>
        <w:ilvl w:val="1"/>
        <w:numId w:val="1"/>
      </w:numPr>
      <w:tabs>
        <w:tab w:val="num" w:pos="1418"/>
      </w:tabs>
      <w:autoSpaceDE w:val="0"/>
      <w:autoSpaceDN w:val="0"/>
      <w:spacing w:before="120"/>
      <w:ind w:left="1418" w:hanging="851"/>
      <w:jc w:val="both"/>
      <w:outlineLvl w:val="1"/>
    </w:pPr>
  </w:style>
  <w:style w:type="paragraph" w:customStyle="1" w:styleId="Nadpis3Podloha">
    <w:name w:val="Nadpis 3.Podúloha"/>
    <w:basedOn w:val="Normal"/>
    <w:uiPriority w:val="99"/>
    <w:rsid w:val="009F3C85"/>
    <w:pPr>
      <w:keepNext/>
      <w:numPr>
        <w:ilvl w:val="2"/>
        <w:numId w:val="1"/>
      </w:numPr>
      <w:tabs>
        <w:tab w:val="num" w:pos="1418"/>
      </w:tabs>
      <w:autoSpaceDE w:val="0"/>
      <w:autoSpaceDN w:val="0"/>
      <w:spacing w:before="120"/>
      <w:ind w:left="2269" w:hanging="851"/>
      <w:jc w:val="left"/>
      <w:outlineLvl w:val="2"/>
    </w:pPr>
  </w:style>
  <w:style w:type="paragraph" w:customStyle="1" w:styleId="Nadpis4Termn">
    <w:name w:val="Nadpis 4.Termín"/>
    <w:basedOn w:val="Normal"/>
    <w:next w:val="Nadpis2loha"/>
    <w:uiPriority w:val="99"/>
    <w:rsid w:val="009F3C85"/>
    <w:pPr>
      <w:numPr>
        <w:ilvl w:val="3"/>
        <w:numId w:val="1"/>
      </w:numPr>
      <w:tabs>
        <w:tab w:val="num" w:pos="1418"/>
      </w:tabs>
      <w:autoSpaceDE w:val="0"/>
      <w:autoSpaceDN w:val="0"/>
      <w:spacing w:before="120" w:after="120"/>
      <w:ind w:left="1418" w:hanging="1418"/>
      <w:jc w:val="left"/>
      <w:outlineLvl w:val="3"/>
    </w:pPr>
    <w:rPr>
      <w:i/>
      <w:iCs/>
    </w:rPr>
  </w:style>
  <w:style w:type="paragraph" w:styleId="Header">
    <w:name w:val="header"/>
    <w:basedOn w:val="Normal"/>
    <w:link w:val="HlavikaChar"/>
    <w:uiPriority w:val="99"/>
    <w:unhideWhenUsed/>
    <w:rsid w:val="009F3C8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3C85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3C8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3C85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6</Pages>
  <Words>1468</Words>
  <Characters>8372</Characters>
  <Application>Microsoft Office Word</Application>
  <DocSecurity>0</DocSecurity>
  <Lines>0</Lines>
  <Paragraphs>0</Paragraphs>
  <ScaleCrop>false</ScaleCrop>
  <Company>Kancelaria NR SR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5</cp:revision>
  <dcterms:created xsi:type="dcterms:W3CDTF">2013-01-09T11:04:00Z</dcterms:created>
  <dcterms:modified xsi:type="dcterms:W3CDTF">2013-01-29T11:08:00Z</dcterms:modified>
</cp:coreProperties>
</file>