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7559F9">
        <w:t>2295</w:t>
      </w:r>
      <w:r w:rsidR="003D6EDC">
        <w:t>/</w:t>
      </w:r>
      <w:r w:rsidR="009F1034">
        <w:t>20</w:t>
      </w:r>
      <w:r w:rsidR="00CD2A22">
        <w:t>1</w:t>
      </w:r>
      <w:r w:rsidR="007559F9">
        <w:t>3</w:t>
      </w:r>
      <w:r>
        <w:tab/>
        <w:tab/>
        <w:tab/>
        <w:tab/>
      </w:r>
    </w:p>
    <w:p w:rsidR="00233A93"/>
    <w:p w:rsidR="00D57D3E"/>
    <w:p w:rsidR="00233A93" w:rsidP="0085353E">
      <w:pPr>
        <w:jc w:val="center"/>
        <w:rPr>
          <w:b/>
          <w:bCs/>
          <w:sz w:val="28"/>
        </w:rPr>
      </w:pPr>
      <w:r w:rsidR="00C23D38">
        <w:rPr>
          <w:b/>
          <w:bCs/>
          <w:sz w:val="28"/>
        </w:rPr>
        <w:t>2</w:t>
      </w:r>
      <w:r w:rsidR="007559F9">
        <w:rPr>
          <w:b/>
          <w:bCs/>
          <w:sz w:val="28"/>
        </w:rPr>
        <w:t>8</w:t>
      </w:r>
      <w:r w:rsidR="00C23D38">
        <w:rPr>
          <w:b/>
          <w:bCs/>
          <w:sz w:val="28"/>
        </w:rPr>
        <w:t>7</w:t>
      </w:r>
      <w:r>
        <w:rPr>
          <w:b/>
          <w:bCs/>
          <w:sz w:val="28"/>
        </w:rPr>
        <w:t>a</w:t>
      </w:r>
    </w:p>
    <w:p w:rsidR="005E1880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87E97" w:rsidP="00987E97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</w:t>
      </w:r>
      <w:r w:rsidRPr="00987E97">
        <w:rPr>
          <w:b/>
        </w:rPr>
        <w:t>ovania</w:t>
      </w:r>
      <w:r w:rsidRPr="00987E97" w:rsidR="00F53C66">
        <w:rPr>
          <w:b/>
        </w:rPr>
        <w:t xml:space="preserve"> </w:t>
      </w:r>
      <w:r w:rsidRPr="007559F9" w:rsidR="007559F9">
        <w:rPr>
          <w:b/>
        </w:rPr>
        <w:t>vládneho návrhu zákona o pôsobnosti orgánov Slovenskej republiky pri zabezpečovaní rozpočtovej zodpovednosti v Európskej únii a o zmene a doplnení zákona č. 386/2002 Z. z.</w:t>
        <w:br/>
        <w:t>o štátnom dlhu a štátnych zárukách a ktorým sa dopĺňa zákon č. 291/2002 Z. z. o Štátnej pokladnici a o zmene a doplnení niektorých zákonov v znení neskorších predpisov (tlač 287)</w:t>
      </w:r>
      <w:r w:rsidR="007559F9">
        <w:rPr>
          <w:b/>
        </w:rPr>
        <w:t xml:space="preserve"> </w:t>
      </w:r>
      <w:r w:rsidRPr="00987E97">
        <w:rPr>
          <w:b/>
        </w:rPr>
        <w:t>v</w:t>
      </w:r>
      <w:r w:rsidRPr="00987E97" w:rsidR="00D57D3E">
        <w:rPr>
          <w:b/>
        </w:rPr>
        <w:t xml:space="preserve">o výboroch Národnej rady Slovenskej republiky v </w:t>
      </w:r>
      <w:r w:rsidRPr="00987E97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</w:t>
      </w:r>
      <w:r>
        <w:t>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7559F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336880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7559F9">
        <w:t xml:space="preserve"> 385</w:t>
      </w:r>
      <w:r w:rsidR="00C23D38">
        <w:t xml:space="preserve"> </w:t>
      </w:r>
      <w:r w:rsidRPr="0091798A">
        <w:t>z</w:t>
      </w:r>
      <w:r w:rsidRPr="0091798A" w:rsidR="00893F40">
        <w:t xml:space="preserve"> </w:t>
      </w:r>
      <w:r w:rsidR="007559F9">
        <w:t>18</w:t>
      </w:r>
      <w:r w:rsidRPr="0091798A">
        <w:t xml:space="preserve">. </w:t>
      </w:r>
      <w:r w:rsidR="007559F9">
        <w:t>decembra</w:t>
      </w:r>
      <w:r w:rsidR="00CD2A22">
        <w:t xml:space="preserve"> </w:t>
      </w:r>
      <w:r w:rsidRPr="0091798A">
        <w:t>20</w:t>
      </w:r>
      <w:r w:rsidR="00CD2A22">
        <w:t>1</w:t>
      </w:r>
      <w:r w:rsidR="00C23D38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="007559F9">
        <w:t>v</w:t>
      </w:r>
      <w:r w:rsidRPr="0052760E" w:rsidR="007559F9">
        <w:t>ládny návrh zákona o pôsobnosti orgánov Slovenskej republiky pri zabezpečovaní rozpočtovej zodpovednosti v Európskej únii a o zmene a doplnení zákona č. 386/2002 Z. z.</w:t>
      </w:r>
      <w:r w:rsidR="00336880">
        <w:t xml:space="preserve"> </w:t>
      </w:r>
      <w:r w:rsidRPr="0052760E" w:rsidR="007559F9">
        <w:t>o štátnom dlhu a štátnych zárukách a ktorým sa dopĺňa zákon č. 291/2002 Z. z. o Štátnej pokladnici a o zmene a doplnení niektorých zákonov v znení neskorších predpisov (tlač 287)</w:t>
      </w:r>
      <w:r w:rsidR="007559F9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>
      <w:pPr>
        <w:pStyle w:val="BodyText2"/>
        <w:jc w:val="left"/>
      </w:pPr>
    </w:p>
    <w:p w:rsidR="00485859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7559F9" w:rsidP="00227BF3">
      <w:pPr>
        <w:pStyle w:val="BodyText2"/>
        <w:numPr>
          <w:ilvl w:val="0"/>
          <w:numId w:val="1"/>
        </w:numPr>
      </w:pPr>
      <w:r>
        <w:t>Výboru Národnej rady Slovenskej republiky pre európske záležitosti</w:t>
      </w:r>
    </w:p>
    <w:p w:rsidR="0063094F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 xml:space="preserve">Uvedené výbory prerokovali predmetný </w:t>
      </w:r>
      <w:r w:rsidR="00485859">
        <w:t xml:space="preserve">vládny </w:t>
      </w:r>
      <w:r w:rsidR="00233A93">
        <w:t>ná</w:t>
      </w:r>
      <w:r w:rsidR="00B057B4">
        <w:t>vrh zá</w:t>
      </w:r>
      <w:r w:rsidR="002B2710">
        <w:t>kona v stanovenom termíne.</w:t>
      </w:r>
    </w:p>
    <w:p w:rsidR="008E39AD">
      <w:pPr>
        <w:pStyle w:val="BodyText2"/>
        <w:jc w:val="center"/>
        <w:rPr>
          <w:b/>
        </w:rPr>
      </w:pPr>
    </w:p>
    <w:p w:rsidR="007559F9">
      <w:pPr>
        <w:pStyle w:val="BodyText2"/>
        <w:jc w:val="center"/>
        <w:rPr>
          <w:b/>
        </w:rPr>
      </w:pPr>
    </w:p>
    <w:p w:rsidR="007559F9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7559F9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="007559F9">
        <w:t>v</w:t>
      </w:r>
      <w:r w:rsidRPr="0052760E" w:rsidR="007559F9">
        <w:t>ládn</w:t>
      </w:r>
      <w:r w:rsidR="006E7E62">
        <w:t>om</w:t>
      </w:r>
      <w:r w:rsidRPr="0052760E" w:rsidR="007559F9">
        <w:t xml:space="preserve"> návrh</w:t>
      </w:r>
      <w:r w:rsidR="006E7E62">
        <w:t>u</w:t>
      </w:r>
      <w:r w:rsidRPr="0052760E" w:rsidR="007559F9">
        <w:t xml:space="preserve"> zákona o pôsobnosti orgánov Slovenskej republiky pri zabezpečovaní rozpočtovej zodpovednosti v Európskej únii a o zmene a doplnení zákona č. 386/2002 Z. z.</w:t>
      </w:r>
      <w:r w:rsidR="007559F9">
        <w:t xml:space="preserve"> </w:t>
      </w:r>
      <w:r w:rsidRPr="0052760E" w:rsidR="007559F9">
        <w:t>o štátnom dlhu a štátnych zárukách a ktorým sa dopĺňa zákon č. 291/2002 Z. z. o Štátnej pokladnici a o zmene a doplnení niektorých zákonov v znení neskorších predpisov (tlač 287)</w:t>
      </w:r>
      <w:r w:rsidR="007559F9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324934">
      <w:pPr>
        <w:jc w:val="both"/>
      </w:pPr>
    </w:p>
    <w:p w:rsidR="007559F9" w:rsidP="00324934">
      <w:pPr>
        <w:jc w:val="both"/>
      </w:pPr>
    </w:p>
    <w:p w:rsidR="007559F9" w:rsidP="00324934">
      <w:pPr>
        <w:jc w:val="both"/>
      </w:pPr>
    </w:p>
    <w:p w:rsidR="007559F9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</w:t>
      </w:r>
      <w:r>
        <w:t xml:space="preserve">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9757E3">
        <w:t>136</w:t>
      </w:r>
      <w:r>
        <w:t xml:space="preserve"> zo dňa </w:t>
      </w:r>
      <w:r w:rsidR="00485859">
        <w:t>24</w:t>
      </w:r>
      <w:r>
        <w:t xml:space="preserve">. </w:t>
      </w:r>
      <w:r w:rsidR="00485859">
        <w:t>januára</w:t>
      </w:r>
      <w:r w:rsidR="00C23D38">
        <w:t xml:space="preserve"> 201</w:t>
      </w:r>
      <w:r w:rsidR="00485859">
        <w:t>3</w:t>
      </w:r>
      <w:r>
        <w:t>)</w:t>
      </w:r>
    </w:p>
    <w:p w:rsidR="00C23D38" w:rsidP="00C23D38">
      <w:pPr>
        <w:pStyle w:val="BodyText2"/>
        <w:ind w:left="1065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336880">
        <w:t>165</w:t>
      </w:r>
      <w:r w:rsidR="00BE636E">
        <w:t xml:space="preserve"> </w:t>
      </w:r>
      <w:r>
        <w:t xml:space="preserve">zo dňa </w:t>
      </w:r>
      <w:r w:rsidR="0068050F">
        <w:t>2</w:t>
      </w:r>
      <w:r w:rsidR="00485859">
        <w:t>2</w:t>
      </w:r>
      <w:r>
        <w:t xml:space="preserve">. </w:t>
      </w:r>
      <w:r w:rsidR="00485859">
        <w:t>januára 2013</w:t>
      </w:r>
      <w:r w:rsidR="00C23D38">
        <w:t>)</w:t>
      </w:r>
    </w:p>
    <w:p w:rsidR="00485859" w:rsidP="00485859">
      <w:pPr>
        <w:pStyle w:val="BodyText2"/>
      </w:pPr>
    </w:p>
    <w:p w:rsidR="00485859" w:rsidP="00485859">
      <w:pPr>
        <w:pStyle w:val="BodyText2"/>
        <w:numPr>
          <w:ilvl w:val="0"/>
          <w:numId w:val="1"/>
        </w:numPr>
      </w:pPr>
      <w:r>
        <w:t xml:space="preserve">Výbor Národnej rady Slovenskej republiky pre európske záležitosti (uzn. č. </w:t>
      </w:r>
      <w:r w:rsidR="00336880">
        <w:t>49</w:t>
      </w:r>
      <w:r>
        <w:t xml:space="preserve"> zo dňa 22. januára 2013)</w:t>
      </w:r>
    </w:p>
    <w:p w:rsidR="00485859" w:rsidP="00485859">
      <w:pPr>
        <w:pStyle w:val="BodyText2"/>
        <w:ind w:left="1065"/>
      </w:pPr>
    </w:p>
    <w:p w:rsidR="0024051E" w:rsidP="0024051E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</w:t>
      </w:r>
      <w:r w:rsidRPr="00AC16EF" w:rsidR="00EB7C0C">
        <w:t>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9757E3">
        <w:t>i</w:t>
      </w:r>
      <w:r>
        <w:t xml:space="preserve"> </w:t>
      </w:r>
      <w:r w:rsidR="003D7154">
        <w:t>t</w:t>
      </w:r>
      <w:r w:rsidR="009757E3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9757E3">
        <w:t>e</w:t>
      </w:r>
      <w:r w:rsidR="00D3131A">
        <w:t xml:space="preserve"> </w:t>
      </w:r>
      <w:r w:rsidR="003D7154">
        <w:t>a doplňujúc</w:t>
      </w:r>
      <w:r w:rsidR="009757E3">
        <w:t>e</w:t>
      </w:r>
      <w:r w:rsidR="003D7154">
        <w:t xml:space="preserve"> </w:t>
      </w:r>
      <w:r w:rsidR="00D3131A">
        <w:t>návrh</w:t>
      </w:r>
      <w:r w:rsidR="009757E3">
        <w:t>y</w:t>
      </w:r>
      <w:r w:rsidR="00736608">
        <w:t>:</w:t>
      </w:r>
    </w:p>
    <w:p w:rsidR="0024051E" w:rsidP="0024051E">
      <w:pPr>
        <w:ind w:left="3538"/>
        <w:jc w:val="both"/>
      </w:pPr>
    </w:p>
    <w:p w:rsidR="008A11AD" w:rsidRPr="008A11AD" w:rsidP="008A11AD">
      <w:pPr>
        <w:numPr>
          <w:ilvl w:val="0"/>
          <w:numId w:val="12"/>
        </w:numPr>
        <w:spacing w:line="360" w:lineRule="atLeast"/>
        <w:ind w:left="284" w:hanging="284"/>
        <w:jc w:val="both"/>
        <w:rPr>
          <w:b/>
          <w:color w:val="000000"/>
          <w:spacing w:val="5"/>
          <w:u w:val="single"/>
          <w:lang w:eastAsia="en-US"/>
        </w:rPr>
      </w:pPr>
      <w:r w:rsidRPr="008A11AD">
        <w:rPr>
          <w:b/>
          <w:color w:val="000000"/>
          <w:spacing w:val="5"/>
          <w:u w:val="single"/>
          <w:lang w:eastAsia="en-US"/>
        </w:rPr>
        <w:t>K názvu</w:t>
      </w:r>
    </w:p>
    <w:p w:rsidR="008A11AD" w:rsidRPr="008A11AD" w:rsidP="008A11AD">
      <w:pPr>
        <w:ind w:left="284" w:firstLine="16"/>
        <w:jc w:val="both"/>
        <w:rPr>
          <w:color w:val="000000"/>
          <w:spacing w:val="5"/>
          <w:lang w:eastAsia="en-US"/>
        </w:rPr>
      </w:pPr>
      <w:r w:rsidRPr="008A11AD">
        <w:rPr>
          <w:color w:val="000000"/>
          <w:spacing w:val="5"/>
          <w:lang w:eastAsia="en-US"/>
        </w:rPr>
        <w:t xml:space="preserve">V súvislosti s vložením nových článkov do návrhu zákona je potrebné upraviť názov návrhu zákona.  </w:t>
      </w:r>
    </w:p>
    <w:p w:rsidR="008A11AD" w:rsidRPr="008A11AD" w:rsidP="008A11AD">
      <w:pPr>
        <w:ind w:left="284"/>
        <w:jc w:val="both"/>
        <w:rPr>
          <w:color w:val="000000"/>
          <w:spacing w:val="5"/>
          <w:lang w:eastAsia="en-US"/>
        </w:rPr>
      </w:pPr>
    </w:p>
    <w:p w:rsidR="008A11AD" w:rsidRPr="008A11AD" w:rsidP="008A11AD">
      <w:pPr>
        <w:ind w:left="284"/>
        <w:jc w:val="both"/>
        <w:rPr>
          <w:color w:val="000000"/>
          <w:spacing w:val="5"/>
          <w:lang w:eastAsia="en-US"/>
        </w:rPr>
      </w:pPr>
      <w:r w:rsidRPr="008A11AD">
        <w:rPr>
          <w:color w:val="000000"/>
          <w:spacing w:val="5"/>
          <w:lang w:eastAsia="en-US"/>
        </w:rPr>
        <w:t>V názve n</w:t>
      </w:r>
      <w:r w:rsidRPr="008A11AD">
        <w:rPr>
          <w:color w:val="000000"/>
          <w:spacing w:val="5"/>
          <w:lang w:eastAsia="en-US"/>
        </w:rPr>
        <w:t>ávrhu zákona sa slová „</w:t>
      </w:r>
      <w:r w:rsidRPr="008A11AD">
        <w:rPr>
          <w:spacing w:val="5"/>
          <w:sz w:val="22"/>
          <w:szCs w:val="20"/>
          <w:lang w:eastAsia="en-US"/>
        </w:rPr>
        <w:t>zákona č. 386/2002 Z. z. o štátnom dlhu a štátnych zárukách a ktorým sa dopĺňa zákon č. 291/2002 Z. z. o Štátnej pokladnici a o zmene a doplnení niektorých zákonov v znení neskorších predpisov</w:t>
      </w:r>
      <w:r w:rsidRPr="008A11AD">
        <w:rPr>
          <w:color w:val="000000"/>
          <w:spacing w:val="5"/>
          <w:lang w:eastAsia="en-US"/>
        </w:rPr>
        <w:t>“ nahrádzajú slovami „niektorých zákonov“</w:t>
      </w:r>
      <w:r w:rsidRPr="008A11AD">
        <w:rPr>
          <w:color w:val="000000"/>
          <w:spacing w:val="5"/>
          <w:lang w:eastAsia="en-US"/>
        </w:rPr>
        <w:t>.</w:t>
      </w:r>
    </w:p>
    <w:p w:rsidR="008A11AD" w:rsidRPr="008A11AD" w:rsidP="008A11AD">
      <w:pPr>
        <w:rPr>
          <w:b/>
        </w:rPr>
      </w:pPr>
    </w:p>
    <w:p w:rsidR="008A11AD" w:rsidRPr="008A11AD" w:rsidP="008A11AD">
      <w:pPr>
        <w:rPr>
          <w:b/>
        </w:rPr>
      </w:pPr>
    </w:p>
    <w:p w:rsidR="008A11AD" w:rsidRPr="008A11AD" w:rsidP="008A11AD">
      <w:pPr>
        <w:ind w:left="1416" w:firstLine="708"/>
        <w:jc w:val="both"/>
        <w:rPr>
          <w:b/>
        </w:rPr>
      </w:pPr>
      <w:r w:rsidRPr="008A11AD">
        <w:rPr>
          <w:b/>
        </w:rPr>
        <w:t>Výbor NR SR pre financie a rozpočet</w:t>
      </w:r>
    </w:p>
    <w:p w:rsidR="008A11AD" w:rsidP="008A11AD">
      <w:pPr>
        <w:ind w:left="1416" w:firstLine="708"/>
        <w:jc w:val="both"/>
      </w:pPr>
      <w:r>
        <w:rPr>
          <w:b/>
        </w:rPr>
        <w:t>Gestorský výbor odporúča schváliť.</w:t>
      </w:r>
    </w:p>
    <w:p w:rsidR="008A11AD" w:rsidP="008A11AD">
      <w:pPr>
        <w:rPr>
          <w:b/>
        </w:rPr>
      </w:pPr>
    </w:p>
    <w:p w:rsidR="008A11AD" w:rsidRPr="008A11AD" w:rsidP="008A11AD">
      <w:pPr>
        <w:rPr>
          <w:b/>
        </w:rPr>
      </w:pPr>
    </w:p>
    <w:p w:rsidR="008A11AD" w:rsidRPr="008A11AD" w:rsidP="008A11AD">
      <w:pPr>
        <w:numPr>
          <w:ilvl w:val="0"/>
          <w:numId w:val="12"/>
        </w:numPr>
        <w:ind w:left="284" w:hanging="284"/>
        <w:rPr>
          <w:rFonts w:eastAsia="Calibri"/>
          <w:b/>
          <w:u w:val="single"/>
          <w:lang w:eastAsia="en-US"/>
        </w:rPr>
      </w:pPr>
      <w:r w:rsidRPr="008A11AD">
        <w:rPr>
          <w:rFonts w:eastAsia="Calibri"/>
          <w:b/>
          <w:u w:val="single"/>
          <w:lang w:eastAsia="en-US"/>
        </w:rPr>
        <w:t xml:space="preserve"> K čl. II</w:t>
      </w:r>
    </w:p>
    <w:p w:rsidR="008A11AD" w:rsidRPr="008A11AD" w:rsidP="008A11AD">
      <w:pPr>
        <w:rPr>
          <w:rFonts w:eastAsia="Calibri"/>
          <w:lang w:eastAsia="en-US"/>
        </w:rPr>
      </w:pPr>
      <w:r w:rsidRPr="008A11AD">
        <w:rPr>
          <w:rFonts w:eastAsia="Calibri"/>
          <w:lang w:eastAsia="en-US"/>
        </w:rPr>
        <w:t xml:space="preserve">     Čl. II doplniť bodom 3, ktorý znie :</w:t>
      </w:r>
    </w:p>
    <w:p w:rsidR="008A11AD" w:rsidRPr="008A11AD" w:rsidP="008A11AD">
      <w:pPr>
        <w:rPr>
          <w:rFonts w:eastAsia="Calibri"/>
          <w:lang w:eastAsia="en-US"/>
        </w:rPr>
      </w:pPr>
      <w:r w:rsidRPr="008A11AD">
        <w:rPr>
          <w:rFonts w:eastAsia="Calibri"/>
          <w:lang w:eastAsia="en-US"/>
        </w:rPr>
        <w:t xml:space="preserve">     „3. V § 12 ods. 1 sa vypúšťajú slová „Slovenskej republiky“.</w:t>
      </w:r>
    </w:p>
    <w:p w:rsidR="008A11AD" w:rsidRPr="008A11AD" w:rsidP="008A11AD">
      <w:pPr>
        <w:spacing w:after="200"/>
        <w:ind w:left="2268"/>
        <w:jc w:val="both"/>
        <w:rPr>
          <w:rFonts w:eastAsia="Calibri"/>
          <w:lang w:eastAsia="en-US"/>
        </w:rPr>
      </w:pPr>
    </w:p>
    <w:p w:rsidR="008A11AD" w:rsidRPr="008A11AD" w:rsidP="008A11AD">
      <w:pPr>
        <w:spacing w:after="200"/>
        <w:ind w:left="2124"/>
        <w:jc w:val="both"/>
        <w:rPr>
          <w:rFonts w:eastAsia="Calibri"/>
          <w:lang w:eastAsia="en-US"/>
        </w:rPr>
      </w:pPr>
      <w:r w:rsidRPr="008A11AD">
        <w:rPr>
          <w:rFonts w:eastAsia="Calibri"/>
          <w:lang w:eastAsia="en-US"/>
        </w:rPr>
        <w:t xml:space="preserve">Uvedeným doplnením sa zabezpečuje dôsledné rešpektovanie novozavedenej legislatívnej skratky  v § 4 ods. 3  zákona   č. 386/2002 Z. z.  o štátnom dlhu a štátnych zárukách a ktorým sa dopĺňa zákon č. 291/2002 Z. z. o Štátnej pokladnici a o zmene a doplnení niektorých zákonov v znení neskorších predpisov  (v čl. II prvom bode) v súlade s bodom 8  Prílohy č. 2 k legislatívnym pravidlám tvorby zákonov č. 19/1997 Z. z.  </w:t>
      </w:r>
    </w:p>
    <w:p w:rsidR="008A11AD" w:rsidRPr="008A11AD" w:rsidP="008A11AD">
      <w:pPr>
        <w:ind w:left="1416" w:firstLine="708"/>
        <w:jc w:val="both"/>
        <w:rPr>
          <w:b/>
        </w:rPr>
      </w:pPr>
      <w:r w:rsidRPr="008A11AD">
        <w:rPr>
          <w:b/>
        </w:rPr>
        <w:t>Výbor NR SR pre financie a rozpočet</w:t>
      </w:r>
    </w:p>
    <w:p w:rsidR="008A11AD" w:rsidP="008A11AD">
      <w:pPr>
        <w:ind w:left="1416" w:firstLine="708"/>
        <w:jc w:val="both"/>
        <w:rPr>
          <w:b/>
        </w:rPr>
      </w:pPr>
      <w:r w:rsidRPr="006B79F2">
        <w:rPr>
          <w:b/>
        </w:rPr>
        <w:t>Ústavnoprávny výbor NR SR</w:t>
      </w:r>
    </w:p>
    <w:p w:rsidR="008A11AD" w:rsidRPr="00485859" w:rsidP="008A11AD">
      <w:pPr>
        <w:ind w:left="2124"/>
        <w:jc w:val="both"/>
        <w:rPr>
          <w:b/>
        </w:rPr>
      </w:pPr>
      <w:r w:rsidRPr="00485859">
        <w:rPr>
          <w:b/>
        </w:rPr>
        <w:t>Výbor NR SR pre európske záležitosti</w:t>
      </w:r>
    </w:p>
    <w:p w:rsidR="008A11AD" w:rsidP="008A11AD">
      <w:pPr>
        <w:ind w:left="1416" w:firstLine="708"/>
        <w:jc w:val="both"/>
      </w:pPr>
      <w:r>
        <w:rPr>
          <w:b/>
        </w:rPr>
        <w:t>Gestorský výbor odporúča schváliť.</w:t>
      </w:r>
    </w:p>
    <w:p w:rsidR="008A11AD" w:rsidRPr="008A11AD" w:rsidP="008A11AD">
      <w:pPr>
        <w:spacing w:after="200"/>
        <w:ind w:left="2268"/>
        <w:jc w:val="both"/>
        <w:rPr>
          <w:rFonts w:eastAsia="Calibri"/>
          <w:lang w:eastAsia="en-US"/>
        </w:rPr>
      </w:pPr>
    </w:p>
    <w:p w:rsidR="008A11AD" w:rsidRPr="008A11AD" w:rsidP="008A11AD">
      <w:pPr>
        <w:numPr>
          <w:ilvl w:val="0"/>
          <w:numId w:val="12"/>
        </w:numPr>
        <w:spacing w:line="360" w:lineRule="atLeast"/>
        <w:ind w:left="284" w:hanging="284"/>
        <w:jc w:val="both"/>
        <w:rPr>
          <w:b/>
          <w:color w:val="000000"/>
          <w:spacing w:val="5"/>
          <w:u w:val="single"/>
          <w:lang w:eastAsia="en-US"/>
        </w:rPr>
      </w:pPr>
      <w:r w:rsidRPr="008A11AD">
        <w:rPr>
          <w:b/>
          <w:color w:val="000000"/>
          <w:spacing w:val="5"/>
          <w:u w:val="single"/>
          <w:lang w:eastAsia="en-US"/>
        </w:rPr>
        <w:t>K novým článkom I</w:t>
      </w:r>
      <w:r w:rsidRPr="008A11AD">
        <w:rPr>
          <w:b/>
          <w:color w:val="000000"/>
          <w:spacing w:val="5"/>
          <w:u w:val="single"/>
          <w:lang w:eastAsia="en-US"/>
        </w:rPr>
        <w:t xml:space="preserve">II a IV </w:t>
      </w:r>
    </w:p>
    <w:p w:rsidR="008A11AD" w:rsidRPr="008A11AD" w:rsidP="008A11AD">
      <w:pPr>
        <w:jc w:val="both"/>
        <w:rPr>
          <w:color w:val="000000"/>
          <w:spacing w:val="5"/>
          <w:lang w:eastAsia="en-US"/>
        </w:rPr>
      </w:pPr>
      <w:r w:rsidRPr="008A11AD">
        <w:rPr>
          <w:color w:val="000000"/>
          <w:spacing w:val="5"/>
          <w:lang w:eastAsia="en-US"/>
        </w:rPr>
        <w:t xml:space="preserve">    Do návrhu zákona navrhujem vložiť nové články III a IV takto:</w:t>
      </w: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color w:val="000000"/>
          <w:spacing w:val="5"/>
          <w:lang w:eastAsia="en-US"/>
        </w:rPr>
        <w:t xml:space="preserve"> </w:t>
      </w:r>
      <w:r w:rsidRPr="008A11AD">
        <w:rPr>
          <w:spacing w:val="5"/>
          <w:lang w:eastAsia="en-US"/>
        </w:rPr>
        <w:t xml:space="preserve">   Za čl. II sa vkladajú nové čl. III a IV, ktoré znejú:  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jc w:val="center"/>
        <w:rPr>
          <w:spacing w:val="5"/>
          <w:lang w:val="en-GB" w:eastAsia="en-US"/>
        </w:rPr>
      </w:pPr>
      <w:r w:rsidRPr="008A11AD">
        <w:rPr>
          <w:spacing w:val="5"/>
          <w:lang w:val="en-GB" w:eastAsia="en-US"/>
        </w:rPr>
        <w:t>„Čl. III</w:t>
      </w:r>
    </w:p>
    <w:p w:rsidR="008A11AD" w:rsidRPr="008A11AD" w:rsidP="008A11AD">
      <w:pPr>
        <w:jc w:val="both"/>
        <w:rPr>
          <w:spacing w:val="5"/>
          <w:lang w:val="en-GB"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Zákon č. 530/1990 Zb. o dlhopisoch v znení zákona č. 600/1992 Zb., zákona Národnej rady Slovenskej republiky č. 194/1995 Z. z., zákona Národnej rady Slovenskej republiky č. 58/1996 Z. z., zákona č. 355/1997 Z. z., zákona č. 361/1999 Z. z., zákona č. 103/2000 Z. z., zákona č. 329/2000 Z. z., zákona č. 566/2001 Z. z., zákona č. 96/2002 Z. z., zákona č. 430/2002 Z. z., zákona č. 594/2003 Z. z., zákona č. 747/2004 Z. z., zákona č. 336/2005 Z. z., zákona č. 209/2007 Z. z., zákona č. 659/2007 Z. z., zákona č. 552/2008 Z. z., zákona č. 276/2009 Z. z., zákona č. 200/2011 Z. z. a zákona č. 296/2012 Z. z. sa mení a dopĺňa ta</w:t>
      </w:r>
      <w:r w:rsidRPr="008A11AD">
        <w:rPr>
          <w:spacing w:val="5"/>
          <w:lang w:eastAsia="en-US"/>
        </w:rPr>
        <w:t>kto:</w:t>
      </w:r>
    </w:p>
    <w:p w:rsidR="008A11AD" w:rsidRPr="008A11AD" w:rsidP="008A11AD">
      <w:pPr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1. V § 18 ods. 3 sa vypúšťa slovo „ministerstvo“.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ind w:left="2835"/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ARDAL bol na vydávanie štátnych dlhopisov v mene ministerstva poverený osobitným zákonom (zákon č. 291/2002 Z. z. o štátnej pokladnici a o zmene a doplnení niektorých zákonov v znení neskorších predpisov) a preto by na základe iného zákona nemalo byť umožnené, aby minister</w:t>
      </w:r>
      <w:r w:rsidR="002A2272">
        <w:rPr>
          <w:spacing w:val="5"/>
          <w:lang w:eastAsia="en-US"/>
        </w:rPr>
        <w:t>st</w:t>
      </w:r>
      <w:r w:rsidRPr="008A11AD">
        <w:rPr>
          <w:spacing w:val="5"/>
          <w:lang w:eastAsia="en-US"/>
        </w:rPr>
        <w:t>vo mohlo vydávanie štátnych dlhopisov delegovať na inú osobu, to znamená, že je potrebné odstrániť legislatívny rozpor medzi dvoma zákonmi. V tomto kontexte je predmetná úprava pre</w:t>
      </w:r>
      <w:r w:rsidRPr="008A11AD">
        <w:rPr>
          <w:spacing w:val="5"/>
          <w:lang w:eastAsia="en-US"/>
        </w:rPr>
        <w:t>mietnutá aj do súvisiaceho ustanovenia § 18 ods. 4 zákona o dlhopisoch.</w:t>
      </w:r>
    </w:p>
    <w:p w:rsidR="008A11AD" w:rsidRPr="008A11AD" w:rsidP="008A11AD">
      <w:pPr>
        <w:ind w:left="2835"/>
        <w:jc w:val="both"/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 xml:space="preserve">2. V § 18 odseky 4 a 5 znejú: </w:t>
      </w: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„(4) Agentúra môže po súhlase ministerstva činnosťou spojenou s vydávaním štátnych dlhopisov poveriť Národnú banku Slovenska, banku, zahraničnú banku, pobočku zahraničnej banky alebo inú osobu, ktorá je oprávnená vykonávať takúto činnosť.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(5) Emisné podmienky štátnych dlhopisov zverejňuje agentúra v periodickej tlači s celoštátnou pôsobnosťou uverejňujúcej burzové správy alebo v elektronických informačných systémoch najneskôr jeden pracovný deň pred začiatkom ich vydávania. Na štátne dlhopisy sa nevzťahujú ustanovenia § 3 ods. 5 a § 8 ods. 1.“.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ind w:left="2832"/>
        <w:jc w:val="both"/>
        <w:rPr>
          <w:spacing w:val="5"/>
          <w:lang w:eastAsia="en-US"/>
        </w:rPr>
      </w:pPr>
      <w:r w:rsidRPr="008A11AD">
        <w:rPr>
          <w:spacing w:val="5"/>
          <w:lang w:eastAsia="en-GB"/>
        </w:rPr>
        <w:t>Vzhľadom na komplikovanú situáciu na finančných trhoch je potrebné poskytnúť Agentúre pre riadenie dlhu a likvidity možnosť prístupu na trhy v čo najkratšom čase. V súlade s vyššie uvedeným návrhom by právomoc na poverenie tretej osoby vykonávaním činností súvisiacich s vydávaním štátnych dlhopisov mala byť daná agentúre, samozrejme po súhlase ministerstva financií. Rovnako sa navrhuje odstrániť požiadavku vykonania výberového konania, ktoré môže len spomaľovať proces uskutočnenia transakcie a je len administratívnym bremenom, keďže agentúra má už dobre rozvinuté vlastné výberové mechanizmy. Táto podmienka sa rovnako nevyskytuje v ustanoveniach § 19 ods. 2. Koncept dlhopisov vydaných v zahraničí je značne neurčitý, nie je jasné, čo má byť rozhodujúcim kritériom, preto sa aplikácia týchto ustanovení uvedeným návrhom zjednocuje.</w:t>
      </w:r>
    </w:p>
    <w:p w:rsidR="008A11AD" w:rsidRPr="008A11AD" w:rsidP="008A11AD">
      <w:pPr>
        <w:ind w:left="2832"/>
        <w:jc w:val="both"/>
        <w:rPr>
          <w:spacing w:val="5"/>
          <w:lang w:eastAsia="en-US"/>
        </w:rPr>
      </w:pPr>
      <w:r w:rsidRPr="008A11AD">
        <w:rPr>
          <w:spacing w:val="5"/>
          <w:lang w:eastAsia="en-GB"/>
        </w:rPr>
        <w:t>Publikovanie emisných podmienok až 7 dní pred emisiou nie je praktické z pohľadu reálneho fungovania kapitálových trhov. Tieto ustanovenia rozširujú medzeru medzi dňom kedy emitent v spolupráci</w:t>
      </w:r>
      <w:r w:rsidRPr="008A11AD">
        <w:rPr>
          <w:spacing w:val="5"/>
          <w:lang w:eastAsia="en-GB"/>
        </w:rPr>
        <w:t xml:space="preserve"> s manažérmi emisie (bankami) ponúkne emisiu investorom a určí jej objem a príslušnú cenu a kedy dôjde k emisii dlhopisov a prevodu finančných prostriedkov. Publikovanie v periodickej tlači rovnako nie je praktické a neposkytuje predovšetkým medzinárodným investorom vhodný spôsob prístupu k informáciám. Preto je navrhované, aby sa lehota skrátila na 1 deň a emitent mal na výber medzi publikáciou v periodickej tlači a v elektronických informačných systémoch. </w:t>
      </w:r>
    </w:p>
    <w:p w:rsidR="008A11AD" w:rsidRPr="008A11AD" w:rsidP="008A11AD">
      <w:pPr>
        <w:ind w:left="2832"/>
        <w:jc w:val="both"/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3. V § 18 ods. 6 sa na konci bodka nahrádza bodkočiarkou a pripájajú sa tieto slová: „táto povinnosť sa nevzťahuje na štátne dlhopisy, ktoré sú vydávané ako súčasť emisie štátnych dlhopisov, ktorých emisné podmienky obsahujú dátum začiatku vydávania dlhopisov pred 1. januárom 2013.“.</w:t>
      </w:r>
    </w:p>
    <w:p w:rsidR="008A11AD" w:rsidRPr="008A11AD" w:rsidP="008A11AD">
      <w:pPr>
        <w:ind w:left="2832"/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V rámci schvaľovania princípov fungovania Európskeho stabilizačného mechanizmu (euroval 2, „ESM“) sa prijala povinnosť členských štátov ESM prijať na národnej úrovni tzv. doložku o spoločnom postupe,  </w:t>
      </w:r>
      <w:r w:rsidRPr="008A11AD">
        <w:rPr>
          <w:bCs/>
          <w:spacing w:val="5"/>
          <w:lang w:eastAsia="en-US"/>
        </w:rPr>
        <w:t>Collection Action Clause</w:t>
      </w:r>
      <w:r w:rsidRPr="008A11AD">
        <w:rPr>
          <w:spacing w:val="5"/>
          <w:lang w:eastAsia="en-US"/>
        </w:rPr>
        <w:t xml:space="preserve"> („CAC“), ktorá je súčasťou Zmluvy, ktorou sa zakladá Európsky stabilizačný mechanizmus (preambula 11 a článok 12, odsek 3).</w:t>
      </w:r>
    </w:p>
    <w:p w:rsidR="008A11AD" w:rsidRPr="008A11AD" w:rsidP="008A11AD">
      <w:pPr>
        <w:ind w:left="2835"/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V rámci zabezpečenia prechodného  a jednotného uplatňovania CAC je potrebné vyriešiť použitie CAC na otvorené emisie (tapping), ktoré by sa vykonali po januári 2013.  Cieľom je zabrániť tomu, aby sa s CAC spájali vyššie náklady na obsluhu dlhu a tým odradzovali štáty od potreby dosiahnutia potrebnej reštrukturalizácie.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jc w:val="center"/>
        <w:rPr>
          <w:spacing w:val="5"/>
          <w:lang w:eastAsia="en-US"/>
        </w:rPr>
      </w:pPr>
      <w:r w:rsidRPr="008A11AD">
        <w:rPr>
          <w:spacing w:val="5"/>
          <w:lang w:eastAsia="en-US"/>
        </w:rPr>
        <w:t>Čl. IV</w:t>
      </w:r>
    </w:p>
    <w:p w:rsidR="008A11AD" w:rsidRPr="008A11AD" w:rsidP="008A11AD">
      <w:pPr>
        <w:jc w:val="center"/>
        <w:rPr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</w:rPr>
      </w:pPr>
      <w:r w:rsidRPr="008A11AD">
        <w:rPr>
          <w:spacing w:val="5"/>
        </w:rPr>
        <w:t>Zákon č. 80/1997 Z. z. o Exportno-importnej banke Slovenskej republiky v znení zákona č. 336/1998 Z. z., zákona č. 214/2000 Z. z., zákona č. 623/2004 Z. z., zákona č. 688/2006 Z. z., zákona č. 659/2007 Z. z., zákona č. 567/2008 Z. z., zákona č. 492/2009 Z. z. a zákona č. 414/2012 Z. z. sa mení a dopĺňa takto:</w:t>
      </w:r>
    </w:p>
    <w:p w:rsidR="008A11AD" w:rsidRPr="008A11AD" w:rsidP="008A11AD">
      <w:pPr>
        <w:ind w:right="283"/>
        <w:jc w:val="both"/>
        <w:rPr>
          <w:spacing w:val="5"/>
        </w:rPr>
      </w:pPr>
    </w:p>
    <w:p w:rsidR="008A11AD" w:rsidRPr="008A11AD" w:rsidP="008A11AD">
      <w:pPr>
        <w:numPr>
          <w:ilvl w:val="0"/>
          <w:numId w:val="13"/>
        </w:numPr>
        <w:spacing w:line="360" w:lineRule="atLeast"/>
        <w:ind w:left="284" w:hanging="284"/>
        <w:jc w:val="both"/>
        <w:rPr>
          <w:spacing w:val="5"/>
        </w:rPr>
      </w:pPr>
      <w:r w:rsidRPr="008A11AD">
        <w:rPr>
          <w:spacing w:val="5"/>
        </w:rPr>
        <w:t>V § 6 ods. 2 sa vypúšťa písmeno d).</w:t>
      </w:r>
    </w:p>
    <w:p w:rsidR="008A11AD" w:rsidRPr="008A11AD" w:rsidP="008A11AD">
      <w:pPr>
        <w:jc w:val="both"/>
        <w:rPr>
          <w:spacing w:val="5"/>
        </w:rPr>
      </w:pPr>
    </w:p>
    <w:p w:rsidR="008A11AD" w:rsidRPr="008A11AD" w:rsidP="008A11AD">
      <w:pPr>
        <w:ind w:left="284"/>
        <w:jc w:val="both"/>
        <w:rPr>
          <w:spacing w:val="5"/>
        </w:rPr>
      </w:pPr>
      <w:r w:rsidRPr="008A11AD">
        <w:rPr>
          <w:spacing w:val="5"/>
        </w:rPr>
        <w:t xml:space="preserve">Doterajšie písmená e) až i) sa označujú ako písmená d) až h).  </w:t>
      </w:r>
    </w:p>
    <w:p w:rsidR="008A11AD" w:rsidRPr="008A11AD" w:rsidP="008A11AD">
      <w:pPr>
        <w:ind w:left="284"/>
        <w:jc w:val="both"/>
        <w:rPr>
          <w:spacing w:val="5"/>
        </w:rPr>
      </w:pPr>
      <w:r w:rsidRPr="008A11AD">
        <w:rPr>
          <w:spacing w:val="5"/>
        </w:rPr>
        <w:t xml:space="preserve">   </w:t>
      </w:r>
    </w:p>
    <w:p w:rsidR="008A11AD" w:rsidRPr="008A11AD" w:rsidP="008A11AD">
      <w:pPr>
        <w:numPr>
          <w:ilvl w:val="0"/>
          <w:numId w:val="13"/>
        </w:numPr>
        <w:spacing w:line="360" w:lineRule="atLeast"/>
        <w:ind w:left="284" w:hanging="284"/>
        <w:jc w:val="both"/>
        <w:rPr>
          <w:spacing w:val="5"/>
        </w:rPr>
      </w:pPr>
      <w:r w:rsidRPr="008A11AD">
        <w:rPr>
          <w:spacing w:val="5"/>
        </w:rPr>
        <w:t>V § 15 ods. 5 sa slová „§ 6 ods. 2 písm. d)“ nahrádzajú slovami „§ 19 ods. 2“.</w:t>
      </w:r>
    </w:p>
    <w:p w:rsidR="008A11AD" w:rsidRPr="008A11AD" w:rsidP="008A11AD">
      <w:pPr>
        <w:ind w:left="360"/>
        <w:jc w:val="both"/>
        <w:rPr>
          <w:spacing w:val="5"/>
        </w:rPr>
      </w:pPr>
    </w:p>
    <w:p w:rsidR="008A11AD" w:rsidRPr="008A11AD" w:rsidP="008A11AD">
      <w:pPr>
        <w:numPr>
          <w:ilvl w:val="0"/>
          <w:numId w:val="13"/>
        </w:numPr>
        <w:spacing w:line="360" w:lineRule="atLeast"/>
        <w:ind w:left="284" w:hanging="284"/>
        <w:jc w:val="both"/>
        <w:rPr>
          <w:spacing w:val="5"/>
        </w:rPr>
      </w:pPr>
      <w:r w:rsidRPr="008A11AD">
        <w:rPr>
          <w:spacing w:val="5"/>
        </w:rPr>
        <w:t>V § 19 sa za odsek 1 vkladá nový odsek 2, ktorý znie:</w:t>
      </w:r>
    </w:p>
    <w:p w:rsidR="008A11AD" w:rsidRPr="008A11AD" w:rsidP="008A11AD">
      <w:pPr>
        <w:ind w:left="284"/>
        <w:jc w:val="both"/>
        <w:rPr>
          <w:spacing w:val="5"/>
        </w:rPr>
      </w:pPr>
      <w:r w:rsidRPr="008A11AD">
        <w:rPr>
          <w:spacing w:val="5"/>
        </w:rPr>
        <w:t>„(2) Ministerstvo určuje mzdové podmienky a iné požitky generálneho riaditeľa a námestníkov generálneho riaditeľa.“.</w:t>
      </w:r>
    </w:p>
    <w:p w:rsidR="008A11AD" w:rsidRPr="008A11AD" w:rsidP="008A11AD">
      <w:pPr>
        <w:jc w:val="both"/>
        <w:rPr>
          <w:spacing w:val="5"/>
        </w:rPr>
      </w:pPr>
    </w:p>
    <w:p w:rsidR="008A11AD" w:rsidRPr="008A11AD" w:rsidP="008A11AD">
      <w:pPr>
        <w:ind w:left="284"/>
        <w:jc w:val="both"/>
        <w:rPr>
          <w:spacing w:val="5"/>
        </w:rPr>
      </w:pPr>
      <w:r w:rsidRPr="008A11AD">
        <w:rPr>
          <w:spacing w:val="5"/>
        </w:rPr>
        <w:t>Doterajší odsek 2 sa označuje ako odsek 3.</w:t>
      </w:r>
    </w:p>
    <w:p w:rsidR="008A11AD" w:rsidRPr="008A11AD" w:rsidP="008A11AD">
      <w:pPr>
        <w:ind w:left="284"/>
        <w:jc w:val="both"/>
        <w:rPr>
          <w:spacing w:val="5"/>
        </w:rPr>
      </w:pPr>
      <w:r w:rsidRPr="008A11AD">
        <w:rPr>
          <w:spacing w:val="5"/>
        </w:rPr>
        <w:t xml:space="preserve"> </w:t>
      </w:r>
    </w:p>
    <w:p w:rsidR="008A11AD" w:rsidRPr="008A11AD" w:rsidP="008A11AD">
      <w:pPr>
        <w:numPr>
          <w:ilvl w:val="0"/>
          <w:numId w:val="13"/>
        </w:numPr>
        <w:spacing w:line="360" w:lineRule="atLeast"/>
        <w:ind w:left="284" w:hanging="284"/>
        <w:jc w:val="both"/>
        <w:rPr>
          <w:spacing w:val="5"/>
        </w:rPr>
      </w:pPr>
      <w:r w:rsidRPr="008A11AD">
        <w:rPr>
          <w:spacing w:val="5"/>
        </w:rPr>
        <w:t>V § 24 ods. 5 písm. j) sa na konci pripájajú tieto slová: „a účty pre holdingové fondy slúžiace na implementáciu nástrojov finančného inžinierstva podľa osobitného predpisu</w:t>
      </w:r>
      <w:r w:rsidRPr="008A11AD">
        <w:rPr>
          <w:spacing w:val="5"/>
          <w:vertAlign w:val="superscript"/>
        </w:rPr>
        <w:t>11aa)</w:t>
      </w:r>
      <w:r w:rsidRPr="008A11AD">
        <w:rPr>
          <w:spacing w:val="5"/>
        </w:rPr>
        <w:t>“.</w:t>
      </w:r>
    </w:p>
    <w:p w:rsidR="008A11AD" w:rsidRPr="008A11AD" w:rsidP="008A11AD">
      <w:pPr>
        <w:jc w:val="both"/>
        <w:rPr>
          <w:spacing w:val="5"/>
        </w:rPr>
      </w:pPr>
    </w:p>
    <w:p w:rsidR="008A11AD" w:rsidRPr="008A11AD" w:rsidP="008A11AD">
      <w:pPr>
        <w:jc w:val="both"/>
        <w:rPr>
          <w:spacing w:val="5"/>
        </w:rPr>
      </w:pPr>
      <w:r w:rsidRPr="008A11AD">
        <w:rPr>
          <w:spacing w:val="5"/>
        </w:rPr>
        <w:t>Poznámka pod čiarou k odkazu 11aa znie:</w:t>
      </w:r>
    </w:p>
    <w:p w:rsidR="008A11AD" w:rsidRPr="008A11AD" w:rsidP="008A11AD">
      <w:pPr>
        <w:jc w:val="both"/>
        <w:rPr>
          <w:spacing w:val="5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</w:rPr>
        <w:t>„11aa) Čl. 44 n</w:t>
      </w:r>
      <w:r w:rsidRPr="008A11AD">
        <w:rPr>
          <w:spacing w:val="5"/>
          <w:lang w:eastAsia="en-US"/>
        </w:rPr>
        <w:t xml:space="preserve">ariadenia Rady (ES) č. </w:t>
      </w:r>
      <w:hyperlink r:id="rId4" w:tgtFrame="_blank" w:tooltip="Nariadenie Rady (ES) č. 1083/2006 z 11. júla 2006 , ktorým sa ustanovujú všeobecné ustanovenia o Európskom fonde regionálneho rozvoja, Európskom sociálnom fonde a Kohéznom fonde a ktorým sa zrušuje nariadenie (ES) č. 1260/1999" w:history="1">
        <w:r w:rsidRPr="008A11AD">
          <w:rPr>
            <w:bCs/>
            <w:spacing w:val="5"/>
            <w:lang w:eastAsia="en-US"/>
          </w:rPr>
          <w:t>1083/2006</w:t>
        </w:r>
      </w:hyperlink>
      <w:r w:rsidRPr="008A11AD">
        <w:rPr>
          <w:spacing w:val="5"/>
          <w:lang w:eastAsia="en-US"/>
        </w:rPr>
        <w:t xml:space="preserve"> z 11. júla 2006, ktorým sa ustanovujú všeobecné ustanovenia o Európskom fonde regionálneho rozvoja, Európskom sociálnom fonde a Kohéznom fonde a ktorým sa zrušuje nariadenie (ES) č. 1260/1999 (Ú. v. EÚ L 210, 31. 7. 2006) v platnom znení. </w:t>
      </w:r>
    </w:p>
    <w:p w:rsidR="008A11AD" w:rsidRPr="008A11AD" w:rsidP="008A11AD">
      <w:pPr>
        <w:jc w:val="both"/>
        <w:rPr>
          <w:color w:val="4B4B4B"/>
          <w:spacing w:val="5"/>
          <w:lang w:eastAsia="en-US"/>
        </w:rPr>
      </w:pPr>
      <w:r w:rsidRPr="008A11AD">
        <w:rPr>
          <w:spacing w:val="5"/>
          <w:lang w:eastAsia="en-US"/>
        </w:rPr>
        <w:t xml:space="preserve">Čl. 43 až 46 nariadenia Komisie (ES) č. </w:t>
      </w:r>
      <w:hyperlink r:id="rId5" w:tgtFrame="_blank" w:tooltip="Nariadenie Komisie (ES) č. 1828/2006 z 8. decembra 2006 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" w:history="1">
        <w:r w:rsidRPr="008A11AD">
          <w:rPr>
            <w:bCs/>
            <w:spacing w:val="5"/>
            <w:lang w:eastAsia="en-US"/>
          </w:rPr>
          <w:t>1828/2006</w:t>
        </w:r>
      </w:hyperlink>
      <w:r w:rsidRPr="008A11AD">
        <w:rPr>
          <w:spacing w:val="5"/>
          <w:lang w:eastAsia="en-US"/>
        </w:rPr>
        <w:t xml:space="preserve">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 (Ú. v. EÚ L 371, 27. 12. 2006) v platnom znení.“.“.</w:t>
      </w:r>
    </w:p>
    <w:p w:rsidR="008A11AD" w:rsidRPr="008A11AD" w:rsidP="008A11AD">
      <w:pPr>
        <w:jc w:val="both"/>
        <w:rPr>
          <w:color w:val="4B4B4B"/>
          <w:spacing w:val="5"/>
          <w:lang w:eastAsia="en-US"/>
        </w:rPr>
      </w:pPr>
    </w:p>
    <w:p w:rsidR="008A11AD" w:rsidRPr="008A11AD" w:rsidP="008A11AD">
      <w:pPr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Doterajší článok III sa označí ako článok V.</w:t>
      </w:r>
    </w:p>
    <w:p w:rsidR="008A11AD" w:rsidRPr="008A11AD" w:rsidP="008A11AD">
      <w:pPr>
        <w:jc w:val="both"/>
        <w:rPr>
          <w:spacing w:val="5"/>
          <w:lang w:eastAsia="en-US"/>
        </w:rPr>
      </w:pPr>
    </w:p>
    <w:p w:rsidR="008A11AD" w:rsidRPr="008A11AD" w:rsidP="008A11AD">
      <w:pPr>
        <w:ind w:left="2835"/>
        <w:jc w:val="both"/>
        <w:rPr>
          <w:spacing w:val="5"/>
          <w:lang w:eastAsia="en-US"/>
        </w:rPr>
      </w:pPr>
      <w:r w:rsidRPr="008A11AD">
        <w:rPr>
          <w:spacing w:val="5"/>
          <w:lang w:eastAsia="en-US"/>
        </w:rPr>
        <w:t>V súvislosti s globálnou finančnou a hospodárskou krízou sa v EÚ sprísnili pravidlá schvaľovania odmeňovania ako aj systém odmeňovania členov štatutárnych orgánov bánk a vedúcich zamestnancov bánk, k</w:t>
      </w:r>
      <w:r w:rsidR="002A2272">
        <w:rPr>
          <w:spacing w:val="5"/>
          <w:lang w:eastAsia="en-US"/>
        </w:rPr>
        <w:t>t</w:t>
      </w:r>
      <w:r w:rsidRPr="008A11AD">
        <w:rPr>
          <w:spacing w:val="5"/>
          <w:lang w:eastAsia="en-US"/>
        </w:rPr>
        <w:t>oré boli premietnuté do zákona o bankách. V tomto kontexte sa obdobne navrhuje v zákone č. 80/1997 Z. z. o Exportno-importnej banke Slovenskej republiky sprísniť pravidlá schvaľovania odmeňovania generálneho riaditeľa a námestníkov generálneho riaditeľa EXIMBANKY SR. Týmto sa odstráni nerovnoprávne postavenie členov štatutárnych orgánov kome</w:t>
      </w:r>
      <w:r w:rsidR="002A2272">
        <w:rPr>
          <w:spacing w:val="5"/>
          <w:lang w:eastAsia="en-US"/>
        </w:rPr>
        <w:t>r</w:t>
      </w:r>
      <w:r w:rsidRPr="008A11AD">
        <w:rPr>
          <w:spacing w:val="5"/>
          <w:lang w:eastAsia="en-US"/>
        </w:rPr>
        <w:t xml:space="preserve">čných bánk v porovnaní s členmi štatutárneho orgánu EXIMBANKY SR v oblasti pravidiel schvaľovania ich odmeňovania.  </w:t>
      </w:r>
    </w:p>
    <w:p w:rsidR="008A11AD" w:rsidRPr="008A11AD" w:rsidP="008A11AD">
      <w:pPr>
        <w:ind w:left="2835"/>
        <w:jc w:val="both"/>
        <w:rPr>
          <w:b/>
          <w:spacing w:val="5"/>
          <w:lang w:eastAsia="en-US"/>
        </w:rPr>
      </w:pPr>
      <w:r w:rsidRPr="008A11AD">
        <w:rPr>
          <w:spacing w:val="5"/>
          <w:lang w:eastAsia="en-US"/>
        </w:rPr>
        <w:t>Zároveň sa doplnením ďalšieho ustanovenia do tohto zákona umožní EXIMBANKE SR viesť účty pre spoločnosť Slovenský záručný a rozvojový fond, s.r.o.. Tento holdingový fond bude implementovať finančné zdroje z Európskej únie v zmysle schválených princípov a priorít pri zabezpečovaní úloh súvisiacich so štruktúrou JEREMIE na Slovensku.</w:t>
      </w:r>
    </w:p>
    <w:p w:rsidR="008A11AD" w:rsidRPr="008A11AD" w:rsidP="008A11AD">
      <w:pPr>
        <w:jc w:val="both"/>
        <w:rPr>
          <w:color w:val="4B4B4B"/>
          <w:spacing w:val="5"/>
          <w:lang w:eastAsia="en-US"/>
        </w:rPr>
      </w:pPr>
    </w:p>
    <w:p w:rsidR="008A11AD" w:rsidRPr="008A11AD" w:rsidP="008A11AD">
      <w:pPr>
        <w:ind w:left="2124" w:firstLine="708"/>
        <w:jc w:val="both"/>
        <w:rPr>
          <w:b/>
        </w:rPr>
      </w:pPr>
      <w:r w:rsidRPr="008A11AD">
        <w:rPr>
          <w:b/>
        </w:rPr>
        <w:t>Výbor NR SR pre financie a rozpočet</w:t>
      </w:r>
    </w:p>
    <w:p w:rsidR="008A11AD" w:rsidP="008A11AD">
      <w:pPr>
        <w:ind w:left="2124" w:firstLine="708"/>
        <w:jc w:val="both"/>
      </w:pPr>
      <w:r>
        <w:rPr>
          <w:b/>
        </w:rPr>
        <w:t>Gestorský výbor odporúča schváliť.</w:t>
      </w:r>
    </w:p>
    <w:p w:rsidR="009757E3" w:rsidP="0024051E">
      <w:pPr>
        <w:ind w:left="3538"/>
        <w:jc w:val="both"/>
      </w:pPr>
    </w:p>
    <w:p w:rsidR="00746557" w:rsidP="00445EE1">
      <w:pPr>
        <w:pStyle w:val="BodyText2"/>
        <w:ind w:firstLine="708"/>
      </w:pPr>
    </w:p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E81D2C" w:rsidP="00445EE1">
      <w:pPr>
        <w:pStyle w:val="BodyText2"/>
      </w:pPr>
    </w:p>
    <w:p w:rsidR="00445EE1" w:rsidP="00C23D38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485859">
        <w:t xml:space="preserve"> </w:t>
      </w:r>
      <w:r w:rsidR="009757E3">
        <w:t>1,2,3</w:t>
      </w:r>
      <w:r w:rsidR="00485859">
        <w:t xml:space="preserve"> 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96696" w:rsidP="00996696">
      <w:pPr>
        <w:pStyle w:val="BodyText2"/>
        <w:ind w:firstLine="708"/>
      </w:pPr>
    </w:p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="006E7E62">
        <w:t>v</w:t>
      </w:r>
      <w:r w:rsidRPr="0052760E" w:rsidR="006E7E62">
        <w:t>ládn</w:t>
      </w:r>
      <w:r w:rsidR="006E7E62">
        <w:t>emu</w:t>
      </w:r>
      <w:r w:rsidRPr="0052760E" w:rsidR="006E7E62">
        <w:t xml:space="preserve"> návrh</w:t>
      </w:r>
      <w:r w:rsidR="006E7E62">
        <w:t>u</w:t>
      </w:r>
      <w:r w:rsidRPr="0052760E" w:rsidR="006E7E62">
        <w:t xml:space="preserve"> zákona o pôsobnosti orgánov Slovenskej republiky pri zabezpečovaní rozpočtovej zodpovednosti v Európskej únii a o zmene a doplnení zákona č. 386/2002 Z. z.</w:t>
      </w:r>
      <w:r w:rsidR="006E7E62">
        <w:t xml:space="preserve"> </w:t>
      </w:r>
      <w:r w:rsidRPr="0052760E" w:rsidR="006E7E62">
        <w:t>o štátnom dlhu a štátnych zárukách a ktorým sa dopĺňa zákon č. 291/2002 Z. z. o Štátnej pokladnici a o zmene a doplnení niektorých zákonov v znení neskorších predpisov (tlač 287)</w:t>
      </w:r>
      <w:r w:rsidR="006E7E62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8A11AD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1056A3">
      <w:pPr>
        <w:tabs>
          <w:tab w:val="left" w:pos="720"/>
        </w:tabs>
        <w:jc w:val="both"/>
        <w:rPr>
          <w:b/>
          <w:bCs/>
        </w:rPr>
      </w:pPr>
      <w:r w:rsidR="001056A3">
        <w:tab/>
      </w:r>
      <w:r w:rsidR="006E7E62">
        <w:t>v</w:t>
      </w:r>
      <w:r w:rsidRPr="0052760E" w:rsidR="006E7E62">
        <w:t>ládn</w:t>
      </w:r>
      <w:r w:rsidR="006E7E62">
        <w:t>y</w:t>
      </w:r>
      <w:r w:rsidRPr="0052760E" w:rsidR="006E7E62">
        <w:t xml:space="preserve"> návrh zákona o pôsobnosti orgánov Slovenskej republiky pri zabezpečovaní rozpočtovej zodpovednosti v Európskej únii a o zmene a doplnení zákona č. 386/2002 Z. z.</w:t>
      </w:r>
      <w:r w:rsidR="006E7E62">
        <w:t xml:space="preserve"> </w:t>
      </w:r>
      <w:r w:rsidRPr="0052760E" w:rsidR="006E7E62">
        <w:t>o štátnom dlhu a štátnych zárukách a ktorým sa dopĺňa zákon č. 291/2002 Z. z. o Štátnej pokladnici a o zmene a doplnení niektorých zákonov v znení neskorších predpisov (tlač 287)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="006E7E62">
        <w:t>v</w:t>
      </w:r>
      <w:r w:rsidRPr="0052760E" w:rsidR="006E7E62">
        <w:t>ládn</w:t>
      </w:r>
      <w:r w:rsidR="006E7E62">
        <w:t>om</w:t>
      </w:r>
      <w:r w:rsidRPr="0052760E" w:rsidR="006E7E62">
        <w:t xml:space="preserve"> návrh</w:t>
      </w:r>
      <w:r w:rsidR="006E7E62">
        <w:t>u</w:t>
      </w:r>
      <w:r w:rsidRPr="0052760E" w:rsidR="006E7E62">
        <w:t xml:space="preserve"> zákona o pôsobnosti orgánov Slovenskej republiky pri zabezpečovaní rozpočtovej zodpovednosti v Európskej únii a o zmene a doplnení zákona č. 386/2002 Z. z.</w:t>
      </w:r>
      <w:r w:rsidR="006E7E62">
        <w:t xml:space="preserve"> </w:t>
      </w:r>
      <w:r w:rsidRPr="0052760E" w:rsidR="006E7E62">
        <w:t>o štátnom dlhu a štátnych zárukách a ktorým sa dopĺňa zákon č. 291/2002 Z. z. o Štátnej pokladnici a o zmene a doplnení niektorých zákonov v znení neskorších predpisov (tlač 287</w:t>
      </w:r>
      <w:r w:rsidR="006E7E62">
        <w:t>a</w:t>
      </w:r>
      <w:r w:rsidRPr="0052760E" w:rsidR="006E7E62">
        <w:t>)</w:t>
      </w:r>
      <w:r w:rsidR="006E7E62">
        <w:t xml:space="preserve"> </w:t>
      </w:r>
      <w:r>
        <w:t>bola schválená uznesením gestorského výboru č.</w:t>
      </w:r>
      <w:r w:rsidR="004E1881">
        <w:t xml:space="preserve"> </w:t>
      </w:r>
      <w:r w:rsidR="009757E3">
        <w:t>137</w:t>
      </w:r>
      <w:r w:rsidR="00996696">
        <w:t xml:space="preserve"> </w:t>
      </w:r>
      <w:r>
        <w:t>z</w:t>
      </w:r>
      <w:r w:rsidR="00E6496B">
        <w:t xml:space="preserve"> </w:t>
      </w:r>
      <w:r w:rsidR="001056A3">
        <w:t>2</w:t>
      </w:r>
      <w:r w:rsidR="006E7E62">
        <w:t>4</w:t>
      </w:r>
      <w:r w:rsidR="002741E7">
        <w:t xml:space="preserve">. </w:t>
      </w:r>
      <w:r w:rsidR="006E7E62">
        <w:t>januára</w:t>
      </w:r>
      <w:r w:rsidR="00D365D2">
        <w:t xml:space="preserve"> 20</w:t>
      </w:r>
      <w:r w:rsidR="0020341D">
        <w:t>1</w:t>
      </w:r>
      <w:r w:rsidR="006E7E62">
        <w:t>3. Výbor určil poslankyňu</w:t>
      </w:r>
      <w:r w:rsidR="007F1816">
        <w:t xml:space="preserve"> </w:t>
      </w:r>
      <w:r w:rsidRPr="006E7E62" w:rsidR="006E7E62">
        <w:rPr>
          <w:b/>
        </w:rPr>
        <w:t>Evu Hufkovú</w:t>
      </w:r>
      <w:r w:rsidR="00363905">
        <w:rPr>
          <w:b/>
        </w:rPr>
        <w:t xml:space="preserve"> </w:t>
      </w:r>
      <w:r>
        <w:t>za spoločn</w:t>
      </w:r>
      <w:r w:rsidR="006E7E62">
        <w:t>ú</w:t>
      </w:r>
      <w:r>
        <w:t xml:space="preserve"> spravodaj</w:t>
      </w:r>
      <w:r w:rsidR="006E7E62">
        <w:t>kyňu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746557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6E7E62">
        <w:t>ju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897D95">
      <w:pPr>
        <w:pStyle w:val="BodyText3"/>
        <w:ind w:left="720"/>
        <w:rPr>
          <w:lang w:val="sk-SK"/>
        </w:rPr>
      </w:pPr>
    </w:p>
    <w:p w:rsidR="00746557" w:rsidP="00897D95">
      <w:pPr>
        <w:pStyle w:val="BodyText3"/>
        <w:ind w:left="720"/>
        <w:rPr>
          <w:lang w:val="sk-SK"/>
        </w:rPr>
      </w:pPr>
    </w:p>
    <w:p w:rsidR="00746557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0949CC">
        <w:t>2</w:t>
      </w:r>
      <w:r w:rsidR="006E7E62">
        <w:t>4</w:t>
      </w:r>
      <w:r w:rsidR="001056A3">
        <w:t xml:space="preserve">. </w:t>
      </w:r>
      <w:r w:rsidR="006E7E62">
        <w:t>januára</w:t>
      </w:r>
      <w:r w:rsidR="00385F60">
        <w:t xml:space="preserve"> </w:t>
      </w:r>
      <w:r w:rsidR="00C23D38">
        <w:t>201</w:t>
      </w:r>
      <w:r w:rsidR="006E7E62">
        <w:t>3</w:t>
      </w:r>
    </w:p>
    <w:p w:rsidR="00B94345">
      <w:pPr>
        <w:pStyle w:val="BodyText2"/>
      </w:pPr>
    </w:p>
    <w:p w:rsidR="00AB5099">
      <w:pPr>
        <w:pStyle w:val="BodyText2"/>
      </w:pPr>
    </w:p>
    <w:p w:rsidR="00E81D2C">
      <w:pPr>
        <w:pStyle w:val="BodyText2"/>
      </w:pPr>
    </w:p>
    <w:p w:rsidR="00E81D2C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DA15AE">
        <w:rPr>
          <w:b/>
          <w:bCs/>
        </w:rPr>
        <w:t> </w:t>
      </w:r>
      <w:r w:rsidR="00C23D38">
        <w:rPr>
          <w:b/>
          <w:bCs/>
        </w:rPr>
        <w:t>ň</w:t>
      </w:r>
      <w:r w:rsidR="00DA15AE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6"/>
      <w:footerReference w:type="default" r:id="rId7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5AE">
      <w:rPr>
        <w:rStyle w:val="PageNumber"/>
        <w:noProof/>
      </w:rPr>
      <w:t>6</w:t>
    </w:r>
    <w:r>
      <w:rPr>
        <w:rStyle w:val="PageNumber"/>
      </w:rPr>
      <w:fldChar w:fldCharType="end"/>
    </w:r>
  </w:p>
  <w:p w:rsidR="00987E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B6D66"/>
    <w:multiLevelType w:val="hybridMultilevel"/>
    <w:tmpl w:val="8B02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A721D9"/>
    <w:multiLevelType w:val="hybridMultilevel"/>
    <w:tmpl w:val="EADA3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2325E52"/>
    <w:multiLevelType w:val="hybridMultilevel"/>
    <w:tmpl w:val="841A5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EBC7EFA"/>
    <w:multiLevelType w:val="hybridMultilevel"/>
    <w:tmpl w:val="068EC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1723A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9CC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145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289D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0163"/>
    <w:rsid w:val="002812D2"/>
    <w:rsid w:val="00281F8A"/>
    <w:rsid w:val="00284EDF"/>
    <w:rsid w:val="002869E9"/>
    <w:rsid w:val="00292B7A"/>
    <w:rsid w:val="002939EE"/>
    <w:rsid w:val="00295B15"/>
    <w:rsid w:val="002A095E"/>
    <w:rsid w:val="002A2272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880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2C60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66B"/>
    <w:rsid w:val="00471D67"/>
    <w:rsid w:val="00482F4E"/>
    <w:rsid w:val="00483811"/>
    <w:rsid w:val="00485859"/>
    <w:rsid w:val="00486553"/>
    <w:rsid w:val="00491A24"/>
    <w:rsid w:val="004972EC"/>
    <w:rsid w:val="004A0802"/>
    <w:rsid w:val="004A189D"/>
    <w:rsid w:val="004A4283"/>
    <w:rsid w:val="004A4CEC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2760E"/>
    <w:rsid w:val="00530409"/>
    <w:rsid w:val="00530898"/>
    <w:rsid w:val="00536ABE"/>
    <w:rsid w:val="00540A0D"/>
    <w:rsid w:val="00544D03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08B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1880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360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E7E62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109B"/>
    <w:rsid w:val="0072290F"/>
    <w:rsid w:val="00736608"/>
    <w:rsid w:val="00737319"/>
    <w:rsid w:val="007377AF"/>
    <w:rsid w:val="00740C06"/>
    <w:rsid w:val="007411BA"/>
    <w:rsid w:val="00741E32"/>
    <w:rsid w:val="00742C22"/>
    <w:rsid w:val="00746557"/>
    <w:rsid w:val="00752A2A"/>
    <w:rsid w:val="007559F9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719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11AD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8EC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757E3"/>
    <w:rsid w:val="009802DB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D60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5781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47330"/>
    <w:rsid w:val="00B52049"/>
    <w:rsid w:val="00B52696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5E5F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27F37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4163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43C3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0B06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5AE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09D5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579FF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D2C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2D7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3A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OJ:L:2006:210:0025:01:SK:HTML" TargetMode="External" /><Relationship Id="rId5" Type="http://schemas.openxmlformats.org/officeDocument/2006/relationships/hyperlink" Target="http://eur-lex.europa.eu/LexUriServ/LexUriServ.do?uri=OJ:L:2006:371:0001:0155:SK:PDF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</cp:revision>
  <cp:lastPrinted>2011-06-28T08:06:00Z</cp:lastPrinted>
  <dcterms:created xsi:type="dcterms:W3CDTF">2013-01-24T15:04:00Z</dcterms:created>
  <dcterms:modified xsi:type="dcterms:W3CDTF">2013-01-30T07:07:00Z</dcterms:modified>
</cp:coreProperties>
</file>