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B05E3">
        <w:rPr>
          <w:sz w:val="22"/>
          <w:szCs w:val="22"/>
        </w:rPr>
        <w:t>98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DB05E3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DB05E3">
        <w:t>339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B05E3">
        <w:rPr>
          <w:rFonts w:ascii="Arial" w:hAnsi="Arial" w:cs="Arial"/>
          <w:sz w:val="22"/>
        </w:rPr>
        <w:t> 11. januára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DB05E3">
        <w:rPr>
          <w:rFonts w:cs="Arial"/>
          <w:noProof/>
          <w:sz w:val="22"/>
          <w:lang w:val="sk-SK"/>
        </w:rPr>
        <w:t>ktorým sa mení a dopĺňa zákon č. 25/2006 Z. z. o verejnom obstarávaní a o zmene a doplnení niektorých zákonov v znení neskorších predpisov a o zmene zákona č. 455/1991 Zb. o živnostenskom podnikaní (živnosten</w:t>
      </w:r>
      <w:r w:rsidR="00173873">
        <w:rPr>
          <w:rFonts w:cs="Arial"/>
          <w:noProof/>
          <w:sz w:val="22"/>
          <w:lang w:val="sk-SK"/>
        </w:rPr>
        <w:t>sk</w:t>
      </w:r>
      <w:r w:rsidR="00DB05E3">
        <w:rPr>
          <w:rFonts w:cs="Arial"/>
          <w:noProof/>
          <w:sz w:val="22"/>
          <w:lang w:val="sk-SK"/>
        </w:rPr>
        <w:t>ý zákon)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DB05E3">
        <w:rPr>
          <w:rFonts w:cs="Arial"/>
          <w:sz w:val="22"/>
          <w:lang w:val="sk-SK"/>
        </w:rPr>
        <w:t>359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B05E3">
        <w:rPr>
          <w:rFonts w:cs="Arial"/>
          <w:sz w:val="22"/>
          <w:lang w:val="sk-SK"/>
        </w:rPr>
        <w:t>11.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17387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17387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73873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73873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73873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E641C" w:rsidRPr="00636772" w:rsidP="00636772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 w:rsidR="00E40DC8"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 w:rsidR="00E40DC8">
        <w:rPr>
          <w:rFonts w:ascii="Arial" w:hAnsi="Arial" w:cs="Arial"/>
          <w:sz w:val="22"/>
          <w:szCs w:val="22"/>
        </w:rPr>
        <w:t>   v. r.</w:t>
      </w:r>
    </w:p>
    <w:sectPr w:rsidSect="00173873">
      <w:pgSz w:w="11906" w:h="16838"/>
      <w:pgMar w:top="1417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B1D7B"/>
    <w:rsid w:val="00107708"/>
    <w:rsid w:val="00162815"/>
    <w:rsid w:val="00173873"/>
    <w:rsid w:val="00182B46"/>
    <w:rsid w:val="001D742D"/>
    <w:rsid w:val="00292FE3"/>
    <w:rsid w:val="00294C70"/>
    <w:rsid w:val="00321530"/>
    <w:rsid w:val="00324863"/>
    <w:rsid w:val="003259C0"/>
    <w:rsid w:val="00364139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36772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25803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B05E3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4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D742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D742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D742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D742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B05E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DB05E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190</Words>
  <Characters>1086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2013-01-11T16:41:00Z</cp:lastPrinted>
  <dcterms:created xsi:type="dcterms:W3CDTF">2013-01-16T08:58:00Z</dcterms:created>
  <dcterms:modified xsi:type="dcterms:W3CDTF">2013-01-16T08:58:00Z</dcterms:modified>
</cp:coreProperties>
</file>