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B32B22" w:rsidP="005D18E8">
      <w:pPr>
        <w:pBdr>
          <w:bottom w:val="single" w:sz="12" w:space="1" w:color="auto"/>
        </w:pBdr>
        <w:bidi w:val="0"/>
        <w:spacing w:line="360" w:lineRule="auto"/>
        <w:jc w:val="center"/>
        <w:rPr>
          <w:rFonts w:ascii="Book Antiqua" w:hAnsi="Book Antiqua"/>
          <w:b/>
          <w:spacing w:val="20"/>
        </w:rPr>
      </w:pPr>
      <w:r w:rsidRPr="00B32B22">
        <w:rPr>
          <w:rFonts w:ascii="Book Antiqua" w:hAnsi="Book Antiqua"/>
          <w:b/>
          <w:spacing w:val="20"/>
        </w:rPr>
        <w:t>NÁRODNÁ  RADA  SLOVENSKEJ  REPUBLIKY</w:t>
      </w:r>
    </w:p>
    <w:p w:rsidR="00355DF8" w:rsidRPr="00B32B22" w:rsidP="005D18E8">
      <w:pPr>
        <w:bidi w:val="0"/>
        <w:spacing w:line="360" w:lineRule="auto"/>
        <w:jc w:val="center"/>
        <w:rPr>
          <w:rFonts w:ascii="Book Antiqua" w:hAnsi="Book Antiqua"/>
          <w:spacing w:val="20"/>
        </w:rPr>
      </w:pPr>
    </w:p>
    <w:p w:rsidR="00355DF8" w:rsidRPr="005D18E8" w:rsidP="005D18E8">
      <w:pPr>
        <w:bidi w:val="0"/>
        <w:spacing w:line="360" w:lineRule="auto"/>
        <w:jc w:val="center"/>
        <w:rPr>
          <w:rFonts w:ascii="Book Antiqua" w:hAnsi="Book Antiqua"/>
          <w:spacing w:val="20"/>
        </w:rPr>
      </w:pPr>
      <w:r w:rsidRPr="00B32B22">
        <w:rPr>
          <w:rFonts w:ascii="Book Antiqua" w:hAnsi="Book Antiqua"/>
          <w:spacing w:val="20"/>
        </w:rPr>
        <w:t>VI. volebné obdobie</w:t>
      </w:r>
    </w:p>
    <w:p w:rsidR="00450A28" w:rsidRPr="00B32B22" w:rsidP="005D18E8">
      <w:pPr>
        <w:bidi w:val="0"/>
        <w:spacing w:line="360" w:lineRule="auto"/>
        <w:jc w:val="center"/>
        <w:rPr>
          <w:rFonts w:ascii="Book Antiqua" w:hAnsi="Book Antiqua"/>
          <w:b/>
          <w:spacing w:val="30"/>
        </w:rPr>
      </w:pPr>
    </w:p>
    <w:p w:rsidR="00355DF8" w:rsidRPr="00B32B22" w:rsidP="005D18E8">
      <w:pPr>
        <w:bidi w:val="0"/>
        <w:spacing w:line="360" w:lineRule="auto"/>
        <w:jc w:val="center"/>
        <w:rPr>
          <w:rFonts w:ascii="Book Antiqua" w:hAnsi="Book Antiqua"/>
          <w:b/>
          <w:spacing w:val="30"/>
        </w:rPr>
      </w:pPr>
      <w:r w:rsidRPr="00B32B22">
        <w:rPr>
          <w:rFonts w:ascii="Book Antiqua" w:hAnsi="Book Antiqua"/>
          <w:b/>
          <w:spacing w:val="30"/>
        </w:rPr>
        <w:t>Návrh</w:t>
      </w:r>
    </w:p>
    <w:p w:rsidR="00450A28" w:rsidRPr="00B32B22" w:rsidP="005D18E8">
      <w:pPr>
        <w:bidi w:val="0"/>
        <w:spacing w:line="360" w:lineRule="auto"/>
        <w:jc w:val="center"/>
        <w:rPr>
          <w:rFonts w:ascii="Book Antiqua" w:hAnsi="Book Antiqua"/>
          <w:b/>
          <w:spacing w:val="30"/>
        </w:rPr>
      </w:pPr>
    </w:p>
    <w:p w:rsidR="00450A28" w:rsidRPr="005D18E8" w:rsidP="005D18E8">
      <w:pPr>
        <w:bidi w:val="0"/>
        <w:spacing w:line="360" w:lineRule="auto"/>
        <w:jc w:val="center"/>
        <w:rPr>
          <w:rFonts w:ascii="Book Antiqua" w:hAnsi="Book Antiqua"/>
          <w:b/>
          <w:caps/>
          <w:spacing w:val="30"/>
        </w:rPr>
      </w:pPr>
      <w:r w:rsidRPr="00B32B22" w:rsidR="00355DF8">
        <w:rPr>
          <w:rFonts w:ascii="Book Antiqua" w:hAnsi="Book Antiqua"/>
          <w:b/>
          <w:caps/>
          <w:spacing w:val="30"/>
        </w:rPr>
        <w:t>ÚSTAVNÝ zákon</w:t>
      </w:r>
    </w:p>
    <w:p w:rsidR="00450A28" w:rsidRPr="00B32B22" w:rsidP="005D18E8">
      <w:pPr>
        <w:bidi w:val="0"/>
        <w:spacing w:line="360" w:lineRule="auto"/>
        <w:jc w:val="center"/>
        <w:rPr>
          <w:rFonts w:ascii="Book Antiqua" w:hAnsi="Book Antiqua"/>
        </w:rPr>
      </w:pPr>
    </w:p>
    <w:p w:rsidR="00355DF8" w:rsidRPr="00B32B22" w:rsidP="005D18E8">
      <w:pPr>
        <w:bidi w:val="0"/>
        <w:spacing w:line="360" w:lineRule="auto"/>
        <w:jc w:val="center"/>
        <w:rPr>
          <w:rFonts w:ascii="Book Antiqua" w:hAnsi="Book Antiqua"/>
        </w:rPr>
      </w:pPr>
      <w:r w:rsidRPr="00B32B22">
        <w:rPr>
          <w:rFonts w:ascii="Book Antiqua" w:hAnsi="Book Antiqua"/>
        </w:rPr>
        <w:t>z ... 2013,</w:t>
      </w:r>
    </w:p>
    <w:p w:rsidR="00355DF8" w:rsidRPr="00B32B22" w:rsidP="005D18E8">
      <w:pPr>
        <w:bidi w:val="0"/>
        <w:spacing w:line="360" w:lineRule="auto"/>
        <w:jc w:val="center"/>
        <w:rPr>
          <w:rFonts w:ascii="Book Antiqua" w:hAnsi="Book Antiqua"/>
        </w:rPr>
      </w:pPr>
    </w:p>
    <w:p w:rsidR="00355DF8" w:rsidRPr="00B32B22" w:rsidP="005D18E8">
      <w:pPr>
        <w:bidi w:val="0"/>
        <w:spacing w:line="360" w:lineRule="auto"/>
        <w:jc w:val="center"/>
        <w:rPr>
          <w:rFonts w:ascii="Book Antiqua" w:hAnsi="Book Antiqua"/>
          <w:b/>
        </w:rPr>
      </w:pPr>
      <w:r w:rsidRPr="00B32B22">
        <w:rPr>
          <w:rFonts w:ascii="Book Antiqua" w:hAnsi="Book Antiqua"/>
          <w:b/>
        </w:rPr>
        <w:t xml:space="preserve">ktorým sa dopĺňa Ústava Slovenskej republiky č. 460/1992 Zb. v znení neskorších predpisov </w:t>
      </w:r>
    </w:p>
    <w:p w:rsidR="00355DF8" w:rsidRPr="00B32B22" w:rsidP="005D18E8">
      <w:pPr>
        <w:bidi w:val="0"/>
        <w:spacing w:line="360" w:lineRule="auto"/>
        <w:jc w:val="both"/>
        <w:rPr>
          <w:rFonts w:ascii="Book Antiqua" w:hAnsi="Book Antiqua"/>
        </w:rPr>
      </w:pPr>
    </w:p>
    <w:p w:rsidR="00355DF8" w:rsidRPr="00B32B22" w:rsidP="005D18E8">
      <w:pPr>
        <w:bidi w:val="0"/>
        <w:spacing w:line="360" w:lineRule="auto"/>
        <w:jc w:val="both"/>
        <w:rPr>
          <w:rFonts w:ascii="Book Antiqua" w:hAnsi="Book Antiqua"/>
        </w:rPr>
      </w:pPr>
      <w:r w:rsidRPr="00B32B22">
        <w:rPr>
          <w:rFonts w:ascii="Book Antiqua" w:hAnsi="Book Antiqua"/>
        </w:rPr>
        <w:t xml:space="preserve">Národná rada Slovenskej republiky sa uzniesla na tomto ústavnom zákone: </w:t>
      </w:r>
    </w:p>
    <w:p w:rsidR="00355DF8" w:rsidRPr="00B32B22" w:rsidP="005D18E8">
      <w:pPr>
        <w:bidi w:val="0"/>
        <w:spacing w:line="360" w:lineRule="auto"/>
        <w:jc w:val="both"/>
        <w:rPr>
          <w:rFonts w:ascii="Book Antiqua" w:hAnsi="Book Antiqua"/>
          <w:b/>
        </w:rPr>
      </w:pPr>
    </w:p>
    <w:p w:rsidR="00355DF8" w:rsidRPr="00B32B22" w:rsidP="005D18E8">
      <w:pPr>
        <w:bidi w:val="0"/>
        <w:spacing w:line="360" w:lineRule="auto"/>
        <w:jc w:val="center"/>
        <w:rPr>
          <w:rFonts w:ascii="Book Antiqua" w:hAnsi="Book Antiqua"/>
          <w:b/>
        </w:rPr>
      </w:pPr>
      <w:r w:rsidRPr="00B32B22">
        <w:rPr>
          <w:rFonts w:ascii="Book Antiqua" w:hAnsi="Book Antiqua"/>
          <w:b/>
        </w:rPr>
        <w:t>Čl. I</w:t>
      </w:r>
    </w:p>
    <w:p w:rsidR="00355DF8" w:rsidRPr="00B32B22" w:rsidP="005D18E8">
      <w:pPr>
        <w:bidi w:val="0"/>
        <w:spacing w:line="360" w:lineRule="auto"/>
        <w:jc w:val="both"/>
        <w:rPr>
          <w:rFonts w:ascii="Book Antiqua" w:hAnsi="Book Antiqua"/>
        </w:rPr>
      </w:pPr>
    </w:p>
    <w:p w:rsidR="00355DF8" w:rsidRPr="00B32B22" w:rsidP="005D18E8">
      <w:pPr>
        <w:autoSpaceDE w:val="0"/>
        <w:autoSpaceDN w:val="0"/>
        <w:bidi w:val="0"/>
        <w:adjustRightInd w:val="0"/>
        <w:spacing w:line="360" w:lineRule="auto"/>
        <w:ind w:firstLine="360"/>
        <w:jc w:val="both"/>
        <w:rPr>
          <w:rFonts w:ascii="Book Antiqua" w:eastAsia="Calibri" w:hAnsi="Book Antiqua" w:hint="default"/>
          <w:color w:val="231F20"/>
          <w:lang w:eastAsia="en-US"/>
        </w:rPr>
      </w:pPr>
      <w:r w:rsidRPr="00B32B22">
        <w:rPr>
          <w:rFonts w:ascii="Book Antiqua" w:eastAsia="Calibri" w:hAnsi="Book Antiqua" w:hint="default"/>
          <w:color w:val="231F20"/>
          <w:lang w:eastAsia="en-US"/>
        </w:rPr>
        <w:t>Ú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stava Slovenskej republiky č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. 460/1992 Zb. v 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znení</w:t>
      </w:r>
      <w:r w:rsidRPr="00B32B22">
        <w:rPr>
          <w:rFonts w:ascii="Book Antiqua" w:eastAsia="Calibri" w:hAnsi="Book Antiqua" w:hint="default"/>
          <w:color w:val="231F20"/>
          <w:lang w:eastAsia="en-US"/>
        </w:rPr>
        <w:t xml:space="preserve"> ú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stavné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ho zá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. 244/1998 Z. z., ú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stavné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ho zá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. 9/1999 Z. z., ú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stavné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ho zá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. 90/2001 Z. z, ú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stavné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ho zá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kona</w:t>
      </w:r>
      <w:r w:rsidR="009B3C7E">
        <w:rPr>
          <w:rFonts w:ascii="Book Antiqua" w:eastAsia="Calibri" w:hAnsi="Book Antiqua"/>
          <w:color w:val="231F20"/>
          <w:lang w:eastAsia="en-US"/>
        </w:rPr>
        <w:t xml:space="preserve"> 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č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. 140/2004 Z. z., ú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stavné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ho zá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. 323/2004 Z. z., ú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stavné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ho zá</w:t>
      </w:r>
      <w:r w:rsidRPr="00B32B22">
        <w:rPr>
          <w:rFonts w:ascii="Book Antiqua" w:eastAsia="Calibri" w:hAnsi="Book Antiqua" w:hint="default"/>
          <w:color w:val="231F20"/>
          <w:lang w:eastAsia="en-US"/>
        </w:rPr>
        <w:t xml:space="preserve">kona 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č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. 463/2005 Z. z., ú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stavné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ho zá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. 92/2006 Z. z., ú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stavné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ho zá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. 210/2006 Z. z., ú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stavné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ho zá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. 100/2010 Z. z., ú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stavné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ho zá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. 356/2011 Z. z. a 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ú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stavné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ho zá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kona č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. 232/2012 Z. z. sa dopĺň</w:t>
      </w:r>
      <w:r w:rsidRPr="00B32B22">
        <w:rPr>
          <w:rFonts w:ascii="Book Antiqua" w:eastAsia="Calibri" w:hAnsi="Book Antiqua" w:hint="default"/>
          <w:color w:val="231F20"/>
          <w:lang w:eastAsia="en-US"/>
        </w:rPr>
        <w:t>a takto:</w:t>
      </w:r>
    </w:p>
    <w:p w:rsidR="00355DF8" w:rsidRPr="00B32B22" w:rsidP="005D18E8">
      <w:p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/>
          <w:bCs/>
        </w:rPr>
      </w:pPr>
    </w:p>
    <w:p w:rsidR="00950795" w:rsidRPr="00B32B22" w:rsidP="005D18E8">
      <w:pPr>
        <w:numPr>
          <w:numId w:val="3"/>
        </w:numPr>
        <w:bidi w:val="0"/>
        <w:spacing w:line="360" w:lineRule="auto"/>
        <w:jc w:val="both"/>
        <w:rPr>
          <w:rFonts w:ascii="Book Antiqua" w:hAnsi="Book Antiqua"/>
          <w:bCs/>
        </w:rPr>
      </w:pPr>
      <w:r w:rsidRPr="00B32B22" w:rsidR="00273F9E">
        <w:rPr>
          <w:rFonts w:ascii="Book Antiqua" w:hAnsi="Book Antiqua"/>
          <w:bCs/>
        </w:rPr>
        <w:t>V č</w:t>
      </w:r>
      <w:r w:rsidRPr="00B32B22" w:rsidR="00FE3A0B">
        <w:rPr>
          <w:rFonts w:ascii="Book Antiqua" w:hAnsi="Book Antiqua"/>
          <w:bCs/>
        </w:rPr>
        <w:t>l. 145 ods.</w:t>
      </w:r>
      <w:r w:rsidRPr="00B32B22">
        <w:rPr>
          <w:rFonts w:ascii="Book Antiqua" w:hAnsi="Book Antiqua"/>
          <w:bCs/>
        </w:rPr>
        <w:t xml:space="preserve"> 1 sa na konci pripája táto veta: </w:t>
      </w:r>
      <w:r w:rsidRPr="00B32B22" w:rsidR="00F63AF2">
        <w:rPr>
          <w:rFonts w:ascii="Book Antiqua" w:hAnsi="Book Antiqua"/>
          <w:bCs/>
        </w:rPr>
        <w:t>„</w:t>
      </w:r>
      <w:r w:rsidRPr="00B32B22">
        <w:rPr>
          <w:rFonts w:ascii="Book Antiqua" w:hAnsi="Book Antiqua"/>
          <w:bCs/>
        </w:rPr>
        <w:t xml:space="preserve">Ak do 60 dní odo dňa podania návrhu nedôjde k vymenovaniu sudcu </w:t>
      </w:r>
      <w:r w:rsidRPr="00B32B22" w:rsidR="00A90DCB">
        <w:rPr>
          <w:rFonts w:ascii="Book Antiqua" w:hAnsi="Book Antiqua"/>
          <w:bCs/>
        </w:rPr>
        <w:t xml:space="preserve">alebo ak </w:t>
      </w:r>
      <w:r w:rsidRPr="00B32B22" w:rsidR="00E21846">
        <w:rPr>
          <w:rFonts w:ascii="Book Antiqua" w:hAnsi="Book Antiqua"/>
          <w:bCs/>
        </w:rPr>
        <w:t xml:space="preserve">prezident </w:t>
      </w:r>
      <w:r w:rsidRPr="00B32B22" w:rsidR="00273F9E">
        <w:rPr>
          <w:rFonts w:ascii="Book Antiqua" w:hAnsi="Book Antiqua"/>
          <w:bCs/>
        </w:rPr>
        <w:t xml:space="preserve">v tejto lehote </w:t>
      </w:r>
      <w:r w:rsidRPr="00B32B22" w:rsidR="00A90DCB">
        <w:rPr>
          <w:rFonts w:ascii="Book Antiqua" w:hAnsi="Book Antiqua"/>
          <w:bCs/>
        </w:rPr>
        <w:t xml:space="preserve">neoznámi, že </w:t>
      </w:r>
      <w:r w:rsidRPr="00B32B22" w:rsidR="00273F9E">
        <w:rPr>
          <w:rFonts w:ascii="Book Antiqua" w:hAnsi="Book Antiqua"/>
          <w:bCs/>
        </w:rPr>
        <w:t>navrhnutú</w:t>
      </w:r>
      <w:r w:rsidRPr="00B32B22" w:rsidR="00A90DCB">
        <w:rPr>
          <w:rFonts w:ascii="Book Antiqua" w:hAnsi="Book Antiqua"/>
          <w:bCs/>
        </w:rPr>
        <w:t xml:space="preserve"> osobu nevymenuje, </w:t>
      </w:r>
      <w:r w:rsidRPr="00B32B22">
        <w:rPr>
          <w:rFonts w:ascii="Book Antiqua" w:hAnsi="Book Antiqua"/>
          <w:bCs/>
        </w:rPr>
        <w:t xml:space="preserve">považuje sa </w:t>
      </w:r>
      <w:r w:rsidRPr="00B32B22" w:rsidR="00273F9E">
        <w:rPr>
          <w:rFonts w:ascii="Book Antiqua" w:hAnsi="Book Antiqua"/>
          <w:bCs/>
        </w:rPr>
        <w:t>táto</w:t>
      </w:r>
      <w:r w:rsidRPr="00B32B22" w:rsidR="00A90DCB">
        <w:rPr>
          <w:rFonts w:ascii="Book Antiqua" w:hAnsi="Book Antiqua"/>
          <w:bCs/>
        </w:rPr>
        <w:t xml:space="preserve"> osoba za vymenovanú</w:t>
      </w:r>
      <w:r w:rsidRPr="00B32B22">
        <w:rPr>
          <w:rFonts w:ascii="Book Antiqua" w:hAnsi="Book Antiqua"/>
          <w:bCs/>
        </w:rPr>
        <w:t xml:space="preserve"> dňom nasledujúcim po dni uplynutia tejto lehoty.</w:t>
      </w:r>
      <w:r w:rsidRPr="00B32B22" w:rsidR="00F63AF2">
        <w:rPr>
          <w:rFonts w:ascii="Book Antiqua" w:hAnsi="Book Antiqua"/>
          <w:bCs/>
        </w:rPr>
        <w:t>“.</w:t>
      </w:r>
    </w:p>
    <w:p w:rsidR="00950795" w:rsidRPr="00B32B22" w:rsidP="005D18E8">
      <w:pPr>
        <w:bidi w:val="0"/>
        <w:spacing w:line="360" w:lineRule="auto"/>
        <w:ind w:left="720"/>
        <w:jc w:val="both"/>
        <w:rPr>
          <w:rFonts w:ascii="Book Antiqua" w:hAnsi="Book Antiqua"/>
          <w:bCs/>
        </w:rPr>
      </w:pPr>
    </w:p>
    <w:p w:rsidR="00950795" w:rsidRPr="00B32B22" w:rsidP="005D18E8">
      <w:pPr>
        <w:pStyle w:val="ListParagraph"/>
        <w:numPr>
          <w:numId w:val="3"/>
        </w:numPr>
        <w:bidi w:val="0"/>
        <w:spacing w:line="360" w:lineRule="auto"/>
        <w:jc w:val="both"/>
        <w:rPr>
          <w:rFonts w:ascii="Book Antiqua" w:hAnsi="Book Antiqua"/>
          <w:bCs/>
        </w:rPr>
      </w:pPr>
      <w:r w:rsidRPr="00B32B22" w:rsidR="00273F9E">
        <w:rPr>
          <w:rFonts w:ascii="Book Antiqua" w:hAnsi="Book Antiqua"/>
          <w:bCs/>
        </w:rPr>
        <w:t>V č</w:t>
      </w:r>
      <w:r w:rsidRPr="00B32B22">
        <w:rPr>
          <w:rFonts w:ascii="Book Antiqua" w:hAnsi="Book Antiqua"/>
          <w:bCs/>
        </w:rPr>
        <w:t xml:space="preserve">l. 145 ods. 3 sa </w:t>
      </w:r>
      <w:r w:rsidRPr="00B32B22" w:rsidR="00FE3A0B">
        <w:rPr>
          <w:rFonts w:ascii="Book Antiqua" w:hAnsi="Book Antiqua"/>
          <w:bCs/>
        </w:rPr>
        <w:t xml:space="preserve">za </w:t>
      </w:r>
      <w:r w:rsidRPr="00B32B22" w:rsidR="00F63AF2">
        <w:rPr>
          <w:rFonts w:ascii="Book Antiqua" w:hAnsi="Book Antiqua"/>
          <w:bCs/>
        </w:rPr>
        <w:t xml:space="preserve">prvú vetu vkladá </w:t>
      </w:r>
      <w:r w:rsidRPr="00B32B22" w:rsidR="00F444F8">
        <w:rPr>
          <w:rFonts w:ascii="Book Antiqua" w:hAnsi="Book Antiqua"/>
          <w:bCs/>
        </w:rPr>
        <w:t xml:space="preserve">nová druhá </w:t>
      </w:r>
      <w:r w:rsidRPr="00B32B22" w:rsidR="00F63AF2">
        <w:rPr>
          <w:rFonts w:ascii="Book Antiqua" w:hAnsi="Book Antiqua"/>
          <w:bCs/>
        </w:rPr>
        <w:t>veta</w:t>
      </w:r>
      <w:r w:rsidRPr="00B32B22" w:rsidR="00392D5C">
        <w:rPr>
          <w:rFonts w:ascii="Book Antiqua" w:hAnsi="Book Antiqua"/>
          <w:bCs/>
        </w:rPr>
        <w:t>, ktorá znie</w:t>
      </w:r>
      <w:r w:rsidRPr="00B32B22">
        <w:rPr>
          <w:rFonts w:ascii="Book Antiqua" w:hAnsi="Book Antiqua"/>
          <w:bCs/>
        </w:rPr>
        <w:t xml:space="preserve">: </w:t>
      </w:r>
      <w:r w:rsidRPr="00B32B22" w:rsidR="00F63AF2">
        <w:rPr>
          <w:rFonts w:ascii="Book Antiqua" w:hAnsi="Book Antiqua"/>
          <w:bCs/>
        </w:rPr>
        <w:t>„</w:t>
      </w:r>
      <w:r w:rsidRPr="00B32B22">
        <w:rPr>
          <w:rFonts w:ascii="Book Antiqua" w:hAnsi="Book Antiqua"/>
          <w:bCs/>
        </w:rPr>
        <w:t>Ak do 60 dní odo dňa podania návrhu nedôjde k vymenovaniu predsedu alebo podpredsedu Najvyššieho súdu Slovenskej republiky</w:t>
      </w:r>
      <w:r w:rsidRPr="00B32B22" w:rsidR="001E271E">
        <w:rPr>
          <w:rFonts w:ascii="Book Antiqua" w:hAnsi="Book Antiqua"/>
          <w:bCs/>
        </w:rPr>
        <w:t xml:space="preserve"> alebo </w:t>
      </w:r>
      <w:r w:rsidRPr="00B32B22" w:rsidR="00A90DCB">
        <w:rPr>
          <w:rFonts w:ascii="Book Antiqua" w:hAnsi="Book Antiqua"/>
          <w:bCs/>
        </w:rPr>
        <w:t xml:space="preserve">ak </w:t>
      </w:r>
      <w:r w:rsidRPr="00B32B22" w:rsidR="00E21846">
        <w:rPr>
          <w:rFonts w:ascii="Book Antiqua" w:hAnsi="Book Antiqua"/>
          <w:bCs/>
        </w:rPr>
        <w:t xml:space="preserve">prezident </w:t>
      </w:r>
      <w:r w:rsidRPr="00B32B22" w:rsidR="00F444F8">
        <w:rPr>
          <w:rFonts w:ascii="Book Antiqua" w:hAnsi="Book Antiqua"/>
          <w:bCs/>
        </w:rPr>
        <w:t>v tejto lehote neoznámi, že navrhnutú</w:t>
      </w:r>
      <w:r w:rsidRPr="00B32B22" w:rsidR="00A90DCB">
        <w:rPr>
          <w:rFonts w:ascii="Book Antiqua" w:hAnsi="Book Antiqua"/>
          <w:bCs/>
        </w:rPr>
        <w:t xml:space="preserve"> osobu nevymenuje,</w:t>
      </w:r>
      <w:r w:rsidRPr="00B32B22" w:rsidR="00F444F8">
        <w:rPr>
          <w:rFonts w:ascii="Book Antiqua" w:hAnsi="Book Antiqua"/>
          <w:bCs/>
        </w:rPr>
        <w:t xml:space="preserve"> považuje sa táto</w:t>
      </w:r>
      <w:r w:rsidRPr="00B32B22">
        <w:rPr>
          <w:rFonts w:ascii="Book Antiqua" w:hAnsi="Book Antiqua"/>
          <w:bCs/>
        </w:rPr>
        <w:t xml:space="preserve"> osoba za vymenovanú dňom nasledujúcim po dni uplynutia tejto lehoty</w:t>
      </w:r>
      <w:r w:rsidRPr="00B32B22" w:rsidR="00F63AF2">
        <w:rPr>
          <w:rFonts w:ascii="Book Antiqua" w:hAnsi="Book Antiqua"/>
          <w:bCs/>
        </w:rPr>
        <w:t>.“.</w:t>
      </w:r>
    </w:p>
    <w:p w:rsidR="00950795" w:rsidRPr="00B32B22" w:rsidP="005D18E8">
      <w:pPr>
        <w:pStyle w:val="ListParagraph"/>
        <w:bidi w:val="0"/>
        <w:spacing w:line="360" w:lineRule="auto"/>
        <w:jc w:val="both"/>
        <w:rPr>
          <w:rFonts w:ascii="Book Antiqua" w:hAnsi="Book Antiqua"/>
          <w:bCs/>
        </w:rPr>
      </w:pPr>
    </w:p>
    <w:p w:rsidR="00950795" w:rsidRPr="00B32B22" w:rsidP="005D18E8">
      <w:pPr>
        <w:pStyle w:val="ListParagraph"/>
        <w:numPr>
          <w:numId w:val="3"/>
        </w:numPr>
        <w:bidi w:val="0"/>
        <w:spacing w:line="360" w:lineRule="auto"/>
        <w:jc w:val="both"/>
        <w:rPr>
          <w:rFonts w:ascii="Book Antiqua" w:hAnsi="Book Antiqua"/>
          <w:bCs/>
        </w:rPr>
      </w:pPr>
      <w:r w:rsidRPr="00B32B22" w:rsidR="00273F9E">
        <w:rPr>
          <w:rFonts w:ascii="Book Antiqua" w:hAnsi="Book Antiqua"/>
          <w:bCs/>
        </w:rPr>
        <w:t>V č</w:t>
      </w:r>
      <w:r w:rsidRPr="00B32B22">
        <w:rPr>
          <w:rFonts w:ascii="Book Antiqua" w:hAnsi="Book Antiqua"/>
          <w:bCs/>
        </w:rPr>
        <w:t xml:space="preserve">l. 145 ods. 4 </w:t>
      </w:r>
      <w:r w:rsidRPr="00B32B22" w:rsidR="00FE3A0B">
        <w:rPr>
          <w:rFonts w:ascii="Book Antiqua" w:hAnsi="Book Antiqua"/>
          <w:bCs/>
        </w:rPr>
        <w:t xml:space="preserve">úvodnej vete </w:t>
      </w:r>
      <w:r w:rsidRPr="00B32B22">
        <w:rPr>
          <w:rFonts w:ascii="Book Antiqua" w:hAnsi="Book Antiqua"/>
          <w:bCs/>
        </w:rPr>
        <w:t>sa za</w:t>
      </w:r>
      <w:r w:rsidRPr="00B32B22" w:rsidR="00FE3A0B">
        <w:rPr>
          <w:rFonts w:ascii="Book Antiqua" w:hAnsi="Book Antiqua"/>
          <w:bCs/>
        </w:rPr>
        <w:t xml:space="preserve"> slovo</w:t>
      </w:r>
      <w:r w:rsidRPr="00B32B22">
        <w:rPr>
          <w:rFonts w:ascii="Book Antiqua" w:hAnsi="Book Antiqua"/>
          <w:bCs/>
        </w:rPr>
        <w:t xml:space="preserve"> „republiky“</w:t>
      </w:r>
      <w:r w:rsidRPr="00B32B22" w:rsidR="00FE3A0B">
        <w:rPr>
          <w:rFonts w:ascii="Book Antiqua" w:hAnsi="Book Antiqua"/>
          <w:bCs/>
        </w:rPr>
        <w:t xml:space="preserve"> vkladajú slová „do </w:t>
      </w:r>
      <w:r w:rsidRPr="00B32B22" w:rsidR="00511153">
        <w:rPr>
          <w:rFonts w:ascii="Book Antiqua" w:hAnsi="Book Antiqua"/>
          <w:bCs/>
        </w:rPr>
        <w:t>30</w:t>
      </w:r>
      <w:r w:rsidRPr="00B32B22" w:rsidR="00FE3A0B">
        <w:rPr>
          <w:rFonts w:ascii="Book Antiqua" w:hAnsi="Book Antiqua"/>
          <w:bCs/>
        </w:rPr>
        <w:t xml:space="preserve"> dní odo dňa vymenovania“.</w:t>
      </w:r>
    </w:p>
    <w:p w:rsidR="00950795" w:rsidRPr="00B32B22" w:rsidP="005D18E8">
      <w:pPr>
        <w:pStyle w:val="ListParagraph"/>
        <w:bidi w:val="0"/>
        <w:spacing w:line="360" w:lineRule="auto"/>
        <w:rPr>
          <w:rFonts w:ascii="Book Antiqua" w:hAnsi="Book Antiqua"/>
          <w:bCs/>
        </w:rPr>
      </w:pPr>
    </w:p>
    <w:p w:rsidR="00950795" w:rsidRPr="00B32B22" w:rsidP="005D18E8">
      <w:pPr>
        <w:pStyle w:val="ListParagraph"/>
        <w:numPr>
          <w:numId w:val="3"/>
        </w:numPr>
        <w:bidi w:val="0"/>
        <w:spacing w:line="360" w:lineRule="auto"/>
        <w:jc w:val="both"/>
        <w:rPr>
          <w:rFonts w:ascii="Book Antiqua" w:hAnsi="Book Antiqua"/>
          <w:bCs/>
        </w:rPr>
      </w:pPr>
      <w:r w:rsidRPr="00B32B22" w:rsidR="00273F9E">
        <w:rPr>
          <w:rFonts w:ascii="Book Antiqua" w:hAnsi="Book Antiqua"/>
          <w:bCs/>
        </w:rPr>
        <w:t>V č</w:t>
      </w:r>
      <w:r w:rsidRPr="00B32B22">
        <w:rPr>
          <w:rFonts w:ascii="Book Antiqua" w:hAnsi="Book Antiqua"/>
          <w:bCs/>
        </w:rPr>
        <w:t>l. 150 sa na konci pripája táto veta: „Ak do 60 dní odo dňa podania návrhu nedôjde k vymenovaniu generálneho prokurátora</w:t>
      </w:r>
      <w:r w:rsidRPr="00B32B22" w:rsidR="001E271E">
        <w:rPr>
          <w:rFonts w:ascii="Book Antiqua" w:hAnsi="Book Antiqua"/>
          <w:bCs/>
        </w:rPr>
        <w:t xml:space="preserve"> </w:t>
      </w:r>
      <w:r w:rsidRPr="00B32B22" w:rsidR="00A90DCB">
        <w:rPr>
          <w:rFonts w:ascii="Book Antiqua" w:hAnsi="Book Antiqua"/>
          <w:bCs/>
        </w:rPr>
        <w:t xml:space="preserve">alebo ak </w:t>
      </w:r>
      <w:r w:rsidRPr="00B32B22" w:rsidR="00E21846">
        <w:rPr>
          <w:rFonts w:ascii="Book Antiqua" w:hAnsi="Book Antiqua"/>
          <w:bCs/>
        </w:rPr>
        <w:t xml:space="preserve">prezident </w:t>
      </w:r>
      <w:r w:rsidRPr="00B32B22" w:rsidR="00F444F8">
        <w:rPr>
          <w:rFonts w:ascii="Book Antiqua" w:hAnsi="Book Antiqua"/>
          <w:bCs/>
        </w:rPr>
        <w:t>v tejto lehote neoznámi, že navrhnutú</w:t>
      </w:r>
      <w:r w:rsidRPr="00B32B22" w:rsidR="00E21846">
        <w:rPr>
          <w:rFonts w:ascii="Book Antiqua" w:hAnsi="Book Antiqua"/>
          <w:bCs/>
        </w:rPr>
        <w:t xml:space="preserve"> </w:t>
      </w:r>
      <w:r w:rsidRPr="00B32B22" w:rsidR="00A90DCB">
        <w:rPr>
          <w:rFonts w:ascii="Book Antiqua" w:hAnsi="Book Antiqua"/>
          <w:bCs/>
        </w:rPr>
        <w:t>osobu nevymenuje,</w:t>
      </w:r>
      <w:r w:rsidRPr="00B32B22">
        <w:rPr>
          <w:rFonts w:ascii="Book Antiqua" w:hAnsi="Book Antiqua"/>
          <w:bCs/>
        </w:rPr>
        <w:t xml:space="preserve"> </w:t>
      </w:r>
      <w:r w:rsidRPr="00B32B22" w:rsidR="00FE3A0B">
        <w:rPr>
          <w:rFonts w:ascii="Book Antiqua" w:hAnsi="Book Antiqua"/>
          <w:bCs/>
        </w:rPr>
        <w:t xml:space="preserve">považuje sa </w:t>
      </w:r>
      <w:r w:rsidRPr="00B32B22" w:rsidR="00F444F8">
        <w:rPr>
          <w:rFonts w:ascii="Book Antiqua" w:hAnsi="Book Antiqua"/>
          <w:bCs/>
        </w:rPr>
        <w:t>táto</w:t>
      </w:r>
      <w:r w:rsidRPr="00B32B22" w:rsidR="00A90DCB">
        <w:rPr>
          <w:rFonts w:ascii="Book Antiqua" w:hAnsi="Book Antiqua"/>
          <w:bCs/>
        </w:rPr>
        <w:t xml:space="preserve"> osoba za vymenovanú</w:t>
      </w:r>
      <w:r w:rsidRPr="00B32B22">
        <w:rPr>
          <w:rFonts w:ascii="Book Antiqua" w:hAnsi="Book Antiqua"/>
          <w:bCs/>
        </w:rPr>
        <w:t xml:space="preserve"> dňom nasledujúcim po dni uplynutia tejto lehoty</w:t>
      </w:r>
      <w:r w:rsidRPr="00B32B22" w:rsidR="00F63AF2">
        <w:rPr>
          <w:rFonts w:ascii="Book Antiqua" w:hAnsi="Book Antiqua"/>
          <w:bCs/>
        </w:rPr>
        <w:t>.“.</w:t>
      </w:r>
    </w:p>
    <w:p w:rsidR="00E21846" w:rsidRPr="00B32B22" w:rsidP="005D18E8">
      <w:pPr>
        <w:bidi w:val="0"/>
        <w:spacing w:line="360" w:lineRule="auto"/>
        <w:rPr>
          <w:rFonts w:ascii="Book Antiqua" w:hAnsi="Book Antiqua"/>
          <w:bCs/>
        </w:rPr>
      </w:pPr>
    </w:p>
    <w:p w:rsidR="00E21846" w:rsidRPr="00B32B22" w:rsidP="005D18E8">
      <w:pPr>
        <w:bidi w:val="0"/>
        <w:spacing w:line="360" w:lineRule="auto"/>
        <w:rPr>
          <w:rFonts w:ascii="Book Antiqua" w:hAnsi="Book Antiqua"/>
          <w:bCs/>
        </w:rPr>
      </w:pPr>
    </w:p>
    <w:p w:rsidR="00355DF8" w:rsidRPr="00B32B22" w:rsidP="005D18E8">
      <w:pPr>
        <w:bidi w:val="0"/>
        <w:spacing w:line="360" w:lineRule="auto"/>
        <w:jc w:val="center"/>
        <w:rPr>
          <w:rFonts w:ascii="Book Antiqua" w:hAnsi="Book Antiqua"/>
          <w:b/>
        </w:rPr>
      </w:pPr>
      <w:r w:rsidRPr="00B32B22">
        <w:rPr>
          <w:rFonts w:ascii="Book Antiqua" w:hAnsi="Book Antiqua"/>
          <w:b/>
        </w:rPr>
        <w:t>Čl. II</w:t>
      </w:r>
    </w:p>
    <w:p w:rsidR="00F444F8" w:rsidRPr="00B32B22" w:rsidP="005D18E8">
      <w:pPr>
        <w:bidi w:val="0"/>
        <w:spacing w:line="360" w:lineRule="auto"/>
        <w:jc w:val="center"/>
        <w:rPr>
          <w:rFonts w:ascii="Book Antiqua" w:hAnsi="Book Antiqua"/>
          <w:b/>
        </w:rPr>
      </w:pPr>
    </w:p>
    <w:p w:rsidR="00355DF8" w:rsidRPr="00B32B22" w:rsidP="005D18E8">
      <w:pPr>
        <w:bidi w:val="0"/>
        <w:spacing w:line="360" w:lineRule="auto"/>
        <w:ind w:firstLine="708"/>
        <w:jc w:val="both"/>
        <w:rPr>
          <w:rFonts w:ascii="Book Antiqua" w:hAnsi="Book Antiqua"/>
        </w:rPr>
      </w:pPr>
      <w:r w:rsidRPr="00B32B22">
        <w:rPr>
          <w:rFonts w:ascii="Book Antiqua" w:hAnsi="Book Antiqua"/>
        </w:rPr>
        <w:t xml:space="preserve">Tento </w:t>
      </w:r>
      <w:r w:rsidRPr="00B32B22" w:rsidR="00F444F8">
        <w:rPr>
          <w:rFonts w:ascii="Book Antiqua" w:hAnsi="Book Antiqua"/>
        </w:rPr>
        <w:t xml:space="preserve">ústavný </w:t>
      </w:r>
      <w:r w:rsidRPr="00B32B22">
        <w:rPr>
          <w:rFonts w:ascii="Book Antiqua" w:hAnsi="Book Antiqua"/>
        </w:rPr>
        <w:t>zákon nadobúda účinnosť 1. mája 2013.</w:t>
      </w:r>
    </w:p>
    <w:sectPr w:rsidSect="00450A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5DF8"/>
    <w:rsid w:val="00026FF8"/>
    <w:rsid w:val="000F4272"/>
    <w:rsid w:val="00120770"/>
    <w:rsid w:val="001717B1"/>
    <w:rsid w:val="001E271E"/>
    <w:rsid w:val="002637A5"/>
    <w:rsid w:val="00273F9E"/>
    <w:rsid w:val="002A10BC"/>
    <w:rsid w:val="00355DF8"/>
    <w:rsid w:val="00392D5C"/>
    <w:rsid w:val="003A3B7B"/>
    <w:rsid w:val="00450A28"/>
    <w:rsid w:val="00496EE0"/>
    <w:rsid w:val="00511153"/>
    <w:rsid w:val="005D18E8"/>
    <w:rsid w:val="00740E04"/>
    <w:rsid w:val="007A60C4"/>
    <w:rsid w:val="0094671B"/>
    <w:rsid w:val="00950795"/>
    <w:rsid w:val="009B3C7E"/>
    <w:rsid w:val="00A90DCB"/>
    <w:rsid w:val="00B16FB6"/>
    <w:rsid w:val="00B32B22"/>
    <w:rsid w:val="00C210C5"/>
    <w:rsid w:val="00DB457A"/>
    <w:rsid w:val="00E21846"/>
    <w:rsid w:val="00F444F8"/>
    <w:rsid w:val="00F63AF2"/>
    <w:rsid w:val="00FC34C8"/>
    <w:rsid w:val="00FE3A0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270</Words>
  <Characters>1544</Characters>
  <Application>Microsoft Office Word</Application>
  <DocSecurity>0</DocSecurity>
  <Lines>0</Lines>
  <Paragraphs>0</Paragraphs>
  <ScaleCrop>false</ScaleCrop>
  <Company>Kancelaria NR SR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Gašparíková, Jarmila</cp:lastModifiedBy>
  <cp:revision>2</cp:revision>
  <cp:lastPrinted>2013-01-10T16:21:00Z</cp:lastPrinted>
  <dcterms:created xsi:type="dcterms:W3CDTF">2013-01-11T17:41:00Z</dcterms:created>
  <dcterms:modified xsi:type="dcterms:W3CDTF">2013-01-11T17:41:00Z</dcterms:modified>
</cp:coreProperties>
</file>