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2722C8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2722C8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2722C8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2722C8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2722C8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2722C8">
        <w:rPr>
          <w:rFonts w:ascii="Times New Roman" w:hAnsi="Times New Roman"/>
          <w:b/>
          <w:color w:val="000000"/>
        </w:rPr>
        <w:t>A. Všeobecná časť</w:t>
      </w:r>
    </w:p>
    <w:p w:rsidR="008B25A6" w:rsidRPr="002722C8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BC573D" w:rsidRPr="002722C8" w:rsidP="00BC573D">
      <w:pPr>
        <w:bidi w:val="0"/>
        <w:spacing w:after="120"/>
        <w:ind w:firstLine="709"/>
        <w:jc w:val="both"/>
        <w:rPr>
          <w:rFonts w:ascii="Times New Roman" w:hAnsi="Times New Roman"/>
        </w:rPr>
      </w:pPr>
      <w:r w:rsidRPr="002722C8">
        <w:rPr>
          <w:rFonts w:ascii="Times New Roman" w:hAnsi="Times New Roman"/>
        </w:rPr>
        <w:t xml:space="preserve">Ministerstvo kultúry Slovenskej republiky (ďalej len „ministerstvo“) predkladá </w:t>
      </w:r>
      <w:r w:rsidRPr="002722C8" w:rsidR="00882C0E">
        <w:rPr>
          <w:rFonts w:ascii="Times New Roman" w:hAnsi="Times New Roman"/>
        </w:rPr>
        <w:t xml:space="preserve">                           </w:t>
      </w:r>
      <w:r w:rsidRPr="002722C8" w:rsidR="00CB482C">
        <w:rPr>
          <w:rFonts w:ascii="Times New Roman" w:hAnsi="Times New Roman"/>
          <w:i/>
        </w:rPr>
        <w:t>vládny</w:t>
      </w:r>
      <w:r w:rsidRPr="002722C8" w:rsidR="00CB482C">
        <w:rPr>
          <w:rFonts w:ascii="Times New Roman" w:hAnsi="Times New Roman"/>
        </w:rPr>
        <w:t xml:space="preserve"> </w:t>
      </w:r>
      <w:r w:rsidRPr="002722C8">
        <w:rPr>
          <w:rFonts w:ascii="Times New Roman" w:hAnsi="Times New Roman"/>
          <w:i/>
        </w:rPr>
        <w:t xml:space="preserve">návrh zákona, ktorým sa </w:t>
      </w:r>
      <w:r w:rsidRPr="002722C8" w:rsidR="00D86F6A">
        <w:rPr>
          <w:rFonts w:ascii="Times New Roman" w:hAnsi="Times New Roman"/>
          <w:i/>
        </w:rPr>
        <w:t xml:space="preserve">mení </w:t>
      </w:r>
      <w:r w:rsidRPr="002722C8">
        <w:rPr>
          <w:rFonts w:ascii="Times New Roman" w:hAnsi="Times New Roman"/>
          <w:i/>
        </w:rPr>
        <w:t>zákon č. 434/2010 Z. z. o poskytovaní dotácií v pôsobnosti Ministerstva kultúry Slovenskej republiky</w:t>
      </w:r>
      <w:r w:rsidRPr="002722C8">
        <w:rPr>
          <w:rFonts w:ascii="Times New Roman" w:hAnsi="Times New Roman"/>
        </w:rPr>
        <w:t xml:space="preserve"> (ďalej len „</w:t>
      </w:r>
      <w:r w:rsidRPr="002722C8" w:rsidR="0025518C">
        <w:rPr>
          <w:rFonts w:ascii="Times New Roman" w:hAnsi="Times New Roman"/>
        </w:rPr>
        <w:t>návrh zákona</w:t>
      </w:r>
      <w:r w:rsidRPr="002722C8">
        <w:rPr>
          <w:rFonts w:ascii="Times New Roman" w:hAnsi="Times New Roman"/>
        </w:rPr>
        <w:t>“); návrh zákona sa predkladá ako iniciatívny materiál.</w:t>
      </w:r>
      <w:r w:rsidRPr="002722C8" w:rsidR="00CB482C">
        <w:rPr>
          <w:rFonts w:ascii="Times New Roman" w:hAnsi="Times New Roman"/>
        </w:rPr>
        <w:t xml:space="preserve"> Návrh zákona bol schválený na rokovaní vlády Slovenskej republiky uznesením č. 10/2013. </w:t>
      </w:r>
    </w:p>
    <w:p w:rsidR="00BC573D" w:rsidRPr="002722C8" w:rsidP="00BC573D">
      <w:pPr>
        <w:bidi w:val="0"/>
        <w:spacing w:after="120"/>
        <w:ind w:firstLine="709"/>
        <w:jc w:val="both"/>
        <w:rPr>
          <w:rFonts w:ascii="Times New Roman" w:hAnsi="Times New Roman"/>
        </w:rPr>
      </w:pPr>
      <w:r w:rsidRPr="002722C8">
        <w:rPr>
          <w:rFonts w:ascii="Times New Roman" w:hAnsi="Times New Roman"/>
        </w:rPr>
        <w:t xml:space="preserve">Cieľom </w:t>
      </w:r>
      <w:r w:rsidRPr="002722C8" w:rsidR="0025518C">
        <w:rPr>
          <w:rFonts w:ascii="Times New Roman" w:hAnsi="Times New Roman"/>
        </w:rPr>
        <w:t>návrhu</w:t>
      </w:r>
      <w:r w:rsidRPr="002722C8">
        <w:rPr>
          <w:rFonts w:ascii="Times New Roman" w:hAnsi="Times New Roman"/>
        </w:rPr>
        <w:t xml:space="preserve"> zákona o dotáciách je úprava ustanovení zákona, ktoré sú pre žiadateľov o poskytnutie dotácie nejednoznačné a v aplikačnej praxi spôsobujú problémy. </w:t>
      </w:r>
    </w:p>
    <w:p w:rsidR="00BC573D" w:rsidRPr="002722C8" w:rsidP="00BC573D">
      <w:pPr>
        <w:bidi w:val="0"/>
        <w:spacing w:after="120"/>
        <w:ind w:firstLine="709"/>
        <w:jc w:val="both"/>
        <w:rPr>
          <w:rFonts w:ascii="Times New Roman" w:hAnsi="Times New Roman"/>
        </w:rPr>
      </w:pPr>
      <w:r w:rsidRPr="002722C8">
        <w:rPr>
          <w:rFonts w:ascii="Times New Roman" w:hAnsi="Times New Roman"/>
        </w:rPr>
        <w:t xml:space="preserve">Návrh zákona, okrem iného, upravuje okruh oprávnených žiadateľov o dotáciu v programe </w:t>
      </w:r>
      <w:r w:rsidRPr="002722C8">
        <w:rPr>
          <w:rFonts w:ascii="Times New Roman" w:hAnsi="Times New Roman"/>
          <w:i/>
        </w:rPr>
        <w:t xml:space="preserve">Obnovme si svoj dom, </w:t>
      </w:r>
      <w:r w:rsidRPr="002722C8">
        <w:rPr>
          <w:rFonts w:ascii="Times New Roman" w:hAnsi="Times New Roman"/>
        </w:rPr>
        <w:t xml:space="preserve">a to tak, že za oprávnených žiadateľov sa navrhuje ustanoviť vlastníkov národných kultúrnych pamiatok a správcov. Ak ide o obnovu bytového domu, ktorý je národnou kultúrnou pamiatkou, navrhuje sa medzi oprávnených žiadateľov </w:t>
      </w:r>
      <w:r w:rsidRPr="002722C8" w:rsidR="00F02D39">
        <w:rPr>
          <w:rFonts w:ascii="Times New Roman" w:hAnsi="Times New Roman"/>
        </w:rPr>
        <w:t>uviesť</w:t>
      </w:r>
      <w:r w:rsidRPr="002722C8">
        <w:rPr>
          <w:rFonts w:ascii="Times New Roman" w:hAnsi="Times New Roman"/>
        </w:rPr>
        <w:t xml:space="preserve"> aj spoločenstvo vlastníkov bytov a nebytových priestorov v dome a ak ide o obnovu a záchranu hradov a hradných zrúcanín navrhuje sa medzi oprávnených žiadateľov </w:t>
      </w:r>
      <w:r w:rsidRPr="002722C8" w:rsidR="00F02D39">
        <w:rPr>
          <w:rFonts w:ascii="Times New Roman" w:hAnsi="Times New Roman"/>
        </w:rPr>
        <w:t>zaradiť</w:t>
      </w:r>
      <w:r w:rsidRPr="002722C8">
        <w:rPr>
          <w:rFonts w:ascii="Times New Roman" w:hAnsi="Times New Roman"/>
        </w:rPr>
        <w:t xml:space="preserve"> aj občianske združenia, neziskové organizácie a nadácie so sídlom na území Slovenskej republiky.  </w:t>
      </w:r>
    </w:p>
    <w:p w:rsidR="00BC573D" w:rsidRPr="002722C8" w:rsidP="00BC573D">
      <w:pPr>
        <w:bidi w:val="0"/>
        <w:spacing w:after="120"/>
        <w:ind w:firstLine="709"/>
        <w:jc w:val="both"/>
        <w:rPr>
          <w:rFonts w:ascii="Times New Roman" w:hAnsi="Times New Roman"/>
        </w:rPr>
      </w:pPr>
      <w:r w:rsidRPr="002722C8">
        <w:rPr>
          <w:rFonts w:ascii="Times New Roman" w:hAnsi="Times New Roman"/>
        </w:rPr>
        <w:t xml:space="preserve">Predložený návrh zákona nezakladá žiadne vplyvy na rozpočet verejnej správy </w:t>
      </w:r>
      <w:r w:rsidRPr="002722C8" w:rsidR="00367FB2">
        <w:rPr>
          <w:rFonts w:ascii="Times New Roman" w:hAnsi="Times New Roman"/>
        </w:rPr>
        <w:t xml:space="preserve">                            </w:t>
      </w:r>
      <w:r w:rsidRPr="002722C8">
        <w:rPr>
          <w:rFonts w:ascii="Times New Roman" w:hAnsi="Times New Roman"/>
        </w:rPr>
        <w:t xml:space="preserve">a na podnikateľské prostredie, nevyvoláva sociálne vplyvy, ani vplyvy na životné prostredie a informatizáciu spoločnosti. </w:t>
      </w:r>
    </w:p>
    <w:p w:rsidR="00BC573D" w:rsidRPr="002722C8" w:rsidP="00BC573D">
      <w:pPr>
        <w:bidi w:val="0"/>
        <w:ind w:firstLine="708"/>
        <w:jc w:val="both"/>
        <w:rPr>
          <w:rFonts w:ascii="Times New Roman" w:hAnsi="Times New Roman"/>
        </w:rPr>
      </w:pPr>
      <w:r w:rsidRPr="002722C8">
        <w:rPr>
          <w:rFonts w:ascii="Times New Roman" w:hAnsi="Times New Roman"/>
        </w:rPr>
        <w:t xml:space="preserve">Návrh zákona je v súlade s Ústavou Slovenskej republiky, zákonmi a medzinárodnými zmluvami a inými medzinárodnými dokumentmi, ktorými je Slovenská republika viazaná a je </w:t>
      </w:r>
      <w:r w:rsidRPr="002722C8" w:rsidR="00367FB2">
        <w:rPr>
          <w:rFonts w:ascii="Times New Roman" w:hAnsi="Times New Roman"/>
        </w:rPr>
        <w:t xml:space="preserve">                    </w:t>
      </w:r>
      <w:r w:rsidRPr="002722C8">
        <w:rPr>
          <w:rFonts w:ascii="Times New Roman" w:hAnsi="Times New Roman"/>
        </w:rPr>
        <w:t xml:space="preserve">v súlade s právom Európskej únie.  </w:t>
      </w:r>
    </w:p>
    <w:p w:rsidR="0025518C" w:rsidRPr="002722C8" w:rsidP="00BC573D">
      <w:pPr>
        <w:bidi w:val="0"/>
        <w:ind w:firstLine="708"/>
        <w:jc w:val="both"/>
        <w:rPr>
          <w:rFonts w:ascii="Times New Roman" w:hAnsi="Times New Roman"/>
        </w:rPr>
      </w:pPr>
    </w:p>
    <w:p w:rsidR="00BC573D" w:rsidRPr="002722C8" w:rsidP="00BC573D">
      <w:pPr>
        <w:bidi w:val="0"/>
        <w:ind w:firstLine="708"/>
        <w:jc w:val="both"/>
        <w:rPr>
          <w:rFonts w:ascii="Times New Roman" w:hAnsi="Times New Roman"/>
        </w:rPr>
      </w:pPr>
    </w:p>
    <w:p w:rsidR="00C0489E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2722C8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2722C8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2722C8" w:rsidRPr="002722C8" w:rsidP="002722C8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2722C8">
        <w:rPr>
          <w:rFonts w:ascii="Times New Roman" w:hAnsi="Times New Roman"/>
          <w:b/>
          <w:bCs/>
          <w:color w:val="000000"/>
        </w:rPr>
        <w:t>vybraných vplyvov</w:t>
      </w:r>
    </w:p>
    <w:p w:rsidR="002722C8" w:rsidRPr="002722C8" w:rsidP="002722C8">
      <w:pPr>
        <w:bidi w:val="0"/>
        <w:rPr>
          <w:rFonts w:ascii="Times New Roman" w:hAnsi="Times New Roman"/>
          <w:color w:val="000000"/>
        </w:rPr>
      </w:pPr>
    </w:p>
    <w:p w:rsidR="002722C8" w:rsidRPr="002722C8" w:rsidP="002722C8">
      <w:pPr>
        <w:bidi w:val="0"/>
        <w:rPr>
          <w:rFonts w:ascii="Times New Roman" w:hAnsi="Times New Roman"/>
          <w:color w:val="000000"/>
        </w:rPr>
      </w:pPr>
    </w:p>
    <w:p w:rsidR="002722C8" w:rsidRPr="002722C8" w:rsidP="002722C8">
      <w:pPr>
        <w:bidi w:val="0"/>
        <w:jc w:val="both"/>
        <w:rPr>
          <w:rFonts w:ascii="Times New Roman" w:hAnsi="Times New Roman"/>
          <w:color w:val="000000"/>
        </w:rPr>
      </w:pPr>
      <w:r w:rsidRPr="002722C8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2722C8">
        <w:rPr>
          <w:rFonts w:ascii="Times New Roman" w:hAnsi="Times New Roman"/>
          <w:color w:val="000000"/>
        </w:rPr>
        <w:t>Návrh zákona, ktorým sa mení zákon č. 434/2010 Z. z. o poskytovaní dotácií v pôsobnosti Ministerstva kultúry Slovenskej republiky </w:t>
      </w:r>
    </w:p>
    <w:p w:rsidR="002722C8" w:rsidRPr="002722C8" w:rsidP="002722C8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2722C8"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2722C8">
        <w:rPr>
          <w:rFonts w:ascii="Times New Roman" w:hAnsi="Times New Roman"/>
          <w:color w:val="000000"/>
        </w:rPr>
        <w:t xml:space="preserve"> -  </w:t>
      </w:r>
    </w:p>
    <w:p w:rsidR="002722C8" w:rsidRPr="002722C8" w:rsidP="002722C8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2722C8" w:rsidRPr="002722C8" w:rsidP="002722C8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2722C8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22C8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22C8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22C8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22C8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22C8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22C8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22C8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22C8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22C8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22C8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22C8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22C8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22C8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22C8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22C8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22C8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722C8" w:rsidRPr="002722C8" w:rsidP="00E6059B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2722C8" w:rsidRPr="002722C8" w:rsidP="002722C8">
      <w:pPr>
        <w:widowControl/>
        <w:bidi w:val="0"/>
        <w:rPr>
          <w:rFonts w:ascii="Times New Roman" w:hAnsi="Times New Roman"/>
          <w:color w:val="000000"/>
        </w:rPr>
      </w:pPr>
      <w:r w:rsidRPr="002722C8">
        <w:rPr>
          <w:rFonts w:ascii="Times New Roman" w:hAnsi="Times New Roman"/>
          <w:color w:val="000000"/>
        </w:rPr>
        <w:t> </w:t>
      </w:r>
    </w:p>
    <w:p w:rsidR="002722C8" w:rsidRPr="002722C8" w:rsidP="002722C8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2722C8" w:rsidRPr="002722C8" w:rsidP="002722C8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2722C8">
        <w:rPr>
          <w:rFonts w:ascii="Times New Roman" w:hAnsi="Times New Roman"/>
          <w:b/>
          <w:bCs/>
          <w:color w:val="000000"/>
        </w:rPr>
        <w:t>A.3. Poznámky</w:t>
      </w:r>
    </w:p>
    <w:p w:rsidR="002722C8" w:rsidRPr="002722C8" w:rsidP="002722C8">
      <w:pPr>
        <w:bidi w:val="0"/>
        <w:jc w:val="both"/>
        <w:rPr>
          <w:rFonts w:ascii="Times New Roman" w:hAnsi="Times New Roman"/>
          <w:color w:val="000000"/>
        </w:rPr>
      </w:pPr>
      <w:r w:rsidRPr="002722C8">
        <w:rPr>
          <w:rFonts w:ascii="Times New Roman" w:hAnsi="Times New Roman"/>
          <w:color w:val="000000"/>
        </w:rPr>
        <w:t> </w:t>
      </w:r>
    </w:p>
    <w:p w:rsidR="002722C8" w:rsidRPr="002722C8" w:rsidP="002722C8">
      <w:pPr>
        <w:bidi w:val="0"/>
        <w:jc w:val="both"/>
        <w:rPr>
          <w:rFonts w:ascii="Times New Roman" w:hAnsi="Times New Roman"/>
          <w:i/>
          <w:iCs/>
          <w:color w:val="000000"/>
        </w:rPr>
      </w:pPr>
      <w:r w:rsidRPr="002722C8">
        <w:rPr>
          <w:rFonts w:ascii="Times New Roman" w:hAnsi="Times New Roman"/>
          <w:i/>
          <w:iCs/>
          <w:color w:val="000000"/>
        </w:rPr>
        <w:t xml:space="preserve">      </w:t>
      </w:r>
    </w:p>
    <w:p w:rsidR="002722C8" w:rsidRPr="002722C8" w:rsidP="002722C8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2722C8">
        <w:rPr>
          <w:rFonts w:ascii="Times New Roman" w:hAnsi="Times New Roman"/>
          <w:b/>
          <w:bCs/>
          <w:color w:val="000000"/>
        </w:rPr>
        <w:t>A.4. Alternatívne riešenia</w:t>
      </w:r>
    </w:p>
    <w:p w:rsidR="002722C8" w:rsidRPr="002722C8" w:rsidP="002722C8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2722C8">
        <w:rPr>
          <w:rFonts w:ascii="Times New Roman" w:hAnsi="Times New Roman"/>
          <w:color w:val="000000"/>
        </w:rPr>
        <w:t> </w:t>
      </w:r>
    </w:p>
    <w:p w:rsidR="002722C8" w:rsidRPr="002722C8" w:rsidP="002722C8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2722C8" w:rsidRPr="002722C8" w:rsidP="002722C8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2722C8">
        <w:rPr>
          <w:rFonts w:ascii="Times New Roman" w:hAnsi="Times New Roman"/>
          <w:b/>
          <w:bCs/>
          <w:color w:val="000000"/>
        </w:rPr>
        <w:t>A.5. Stanovisko gestorov</w:t>
      </w:r>
    </w:p>
    <w:p w:rsidR="002722C8" w:rsidRPr="002722C8" w:rsidP="002722C8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2722C8">
        <w:rPr>
          <w:rFonts w:ascii="Times New Roman" w:hAnsi="Times New Roman"/>
          <w:color w:val="000000"/>
        </w:rPr>
        <w:t> </w:t>
      </w: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2722C8" w:rsidP="002722C8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2722C8">
        <w:rPr>
          <w:rFonts w:ascii="Times New Roman" w:hAnsi="Times New Roman"/>
          <w:b/>
          <w:caps/>
          <w:spacing w:val="30"/>
        </w:rPr>
        <w:t>Doložka zlučiteľnosti</w:t>
      </w:r>
    </w:p>
    <w:p w:rsidR="002722C8" w:rsidRPr="002722C8" w:rsidP="002722C8">
      <w:pPr>
        <w:bidi w:val="0"/>
        <w:jc w:val="center"/>
        <w:rPr>
          <w:rFonts w:ascii="Times New Roman" w:hAnsi="Times New Roman"/>
          <w:b/>
        </w:rPr>
      </w:pPr>
      <w:r w:rsidRPr="002722C8">
        <w:rPr>
          <w:rFonts w:ascii="Times New Roman" w:hAnsi="Times New Roman"/>
          <w:b/>
        </w:rPr>
        <w:t>právneho predpisu s právom Európskej únie </w:t>
      </w:r>
    </w:p>
    <w:p w:rsidR="002722C8" w:rsidRPr="002722C8" w:rsidP="002722C8">
      <w:pPr>
        <w:bidi w:val="0"/>
        <w:rPr>
          <w:rFonts w:ascii="Times New Roman" w:hAnsi="Times New Roman"/>
        </w:rPr>
      </w:pPr>
    </w:p>
    <w:p w:rsidR="002722C8" w:rsidRPr="002722C8" w:rsidP="002722C8">
      <w:pPr>
        <w:bidi w:val="0"/>
        <w:rPr>
          <w:rFonts w:ascii="Times New Roman" w:hAnsi="Times New Roman"/>
        </w:rPr>
      </w:pPr>
    </w:p>
    <w:p w:rsidR="002722C8" w:rsidRPr="002722C8" w:rsidP="002722C8">
      <w:pPr>
        <w:bidi w:val="0"/>
        <w:ind w:left="360" w:hanging="360"/>
        <w:rPr>
          <w:rFonts w:ascii="Times New Roman" w:hAnsi="Times New Roman"/>
          <w:b/>
        </w:rPr>
      </w:pPr>
      <w:r w:rsidRPr="002722C8">
        <w:rPr>
          <w:rFonts w:ascii="Times New Roman" w:hAnsi="Times New Roman"/>
          <w:b/>
        </w:rPr>
        <w:t>1.</w:t>
        <w:tab/>
        <w:t>Predkladateľ právneho predpisu:</w:t>
      </w:r>
      <w:r w:rsidRPr="002722C8">
        <w:rPr>
          <w:rFonts w:ascii="Times New Roman" w:hAnsi="Times New Roman"/>
        </w:rPr>
        <w:t xml:space="preserve"> vláda Slovenskej republiky </w:t>
      </w:r>
    </w:p>
    <w:p w:rsidR="002722C8" w:rsidRPr="002722C8" w:rsidP="002722C8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2722C8">
        <w:rPr>
          <w:rFonts w:ascii="Times New Roman" w:hAnsi="Times New Roman"/>
        </w:rPr>
        <w:t xml:space="preserve"> </w:t>
      </w:r>
    </w:p>
    <w:p w:rsidR="002722C8" w:rsidRPr="002722C8" w:rsidP="002722C8">
      <w:pPr>
        <w:bidi w:val="0"/>
        <w:ind w:left="360" w:hanging="360"/>
        <w:rPr>
          <w:rFonts w:ascii="Times New Roman" w:hAnsi="Times New Roman"/>
          <w:b/>
        </w:rPr>
      </w:pPr>
      <w:r w:rsidRPr="002722C8">
        <w:rPr>
          <w:rFonts w:ascii="Times New Roman" w:hAnsi="Times New Roman"/>
          <w:b/>
        </w:rPr>
        <w:t>2.</w:t>
        <w:tab/>
        <w:t>Názov návrhu právneho predpisu:</w:t>
      </w:r>
      <w:r w:rsidRPr="002722C8">
        <w:rPr>
          <w:rFonts w:ascii="Times New Roman" w:hAnsi="Times New Roman"/>
        </w:rPr>
        <w:t xml:space="preserve"> Návrh zákona, ktorým sa mení zákon č. 434/2010 Z. z. o poskytovaní dotácií v pôsobnosti Ministerstva kultúry Slovenskej republiky </w:t>
      </w:r>
    </w:p>
    <w:p w:rsidR="002722C8" w:rsidRPr="002722C8" w:rsidP="002722C8">
      <w:pPr>
        <w:bidi w:val="0"/>
        <w:rPr>
          <w:rFonts w:ascii="Times New Roman" w:hAnsi="Times New Roman"/>
        </w:rPr>
      </w:pPr>
    </w:p>
    <w:p w:rsidR="002722C8" w:rsidRPr="002722C8" w:rsidP="002722C8">
      <w:pPr>
        <w:bidi w:val="0"/>
        <w:ind w:left="360" w:hanging="360"/>
        <w:rPr>
          <w:rFonts w:ascii="Times New Roman" w:hAnsi="Times New Roman"/>
          <w:b/>
        </w:rPr>
      </w:pPr>
      <w:r w:rsidRPr="002722C8">
        <w:rPr>
          <w:rFonts w:ascii="Times New Roman" w:hAnsi="Times New Roman"/>
          <w:b/>
        </w:rPr>
        <w:t>3.</w:t>
        <w:tab/>
        <w:t>Problematika návrhu právneho predpisu:</w:t>
      </w:r>
    </w:p>
    <w:p w:rsidR="002722C8" w:rsidRPr="002722C8" w:rsidP="002722C8">
      <w:pPr>
        <w:bidi w:val="0"/>
        <w:ind w:firstLine="360"/>
        <w:rPr>
          <w:rFonts w:ascii="Times New Roman" w:hAnsi="Times New Roman"/>
        </w:rPr>
      </w:pPr>
    </w:p>
    <w:p w:rsidR="002722C8" w:rsidRPr="002722C8" w:rsidP="002722C8">
      <w:pPr>
        <w:bidi w:val="0"/>
        <w:ind w:left="709" w:hanging="349"/>
        <w:rPr>
          <w:rFonts w:ascii="Times New Roman" w:hAnsi="Times New Roman"/>
        </w:rPr>
      </w:pPr>
      <w:r w:rsidRPr="002722C8">
        <w:rPr>
          <w:rFonts w:ascii="Times New Roman" w:hAnsi="Times New Roman"/>
        </w:rPr>
        <w:t>a)</w:t>
        <w:tab/>
        <w:t>je upravená v práve Európskej únie</w:t>
      </w:r>
    </w:p>
    <w:p w:rsidR="002722C8" w:rsidRPr="002722C8" w:rsidP="002722C8">
      <w:pPr>
        <w:bidi w:val="0"/>
        <w:ind w:left="360"/>
        <w:rPr>
          <w:rFonts w:ascii="Times New Roman" w:hAnsi="Times New Roman"/>
        </w:rPr>
      </w:pPr>
    </w:p>
    <w:p w:rsidR="002722C8" w:rsidRPr="002722C8" w:rsidP="002722C8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</w:rPr>
      </w:pPr>
      <w:r w:rsidRPr="002722C8">
        <w:rPr>
          <w:rFonts w:ascii="Times New Roman" w:hAnsi="Times New Roman"/>
        </w:rPr>
        <w:t>-</w:t>
        <w:tab/>
      </w:r>
      <w:r w:rsidRPr="002722C8">
        <w:rPr>
          <w:rFonts w:ascii="Times New Roman" w:hAnsi="Times New Roman"/>
          <w:i/>
        </w:rPr>
        <w:t>primárnom</w:t>
      </w:r>
    </w:p>
    <w:p w:rsidR="002722C8" w:rsidRPr="002722C8" w:rsidP="002722C8">
      <w:pPr>
        <w:bidi w:val="0"/>
        <w:ind w:left="851"/>
        <w:rPr>
          <w:rFonts w:ascii="Times New Roman" w:hAnsi="Times New Roman"/>
        </w:rPr>
      </w:pPr>
    </w:p>
    <w:p w:rsidR="002722C8" w:rsidRPr="002722C8" w:rsidP="002722C8">
      <w:pPr>
        <w:bidi w:val="0"/>
        <w:ind w:left="851"/>
        <w:rPr>
          <w:rFonts w:ascii="Times New Roman" w:hAnsi="Times New Roman"/>
        </w:rPr>
      </w:pPr>
      <w:r w:rsidRPr="002722C8">
        <w:rPr>
          <w:rFonts w:ascii="Times New Roman" w:hAnsi="Times New Roman"/>
        </w:rPr>
        <w:br/>
        <w:t>Čl. 107 ods. 3 písm. c) a d) Zmluvy o fungovaní Európskej únie </w:t>
      </w:r>
    </w:p>
    <w:p w:rsidR="002722C8" w:rsidRPr="002722C8" w:rsidP="002722C8">
      <w:pPr>
        <w:bidi w:val="0"/>
        <w:ind w:firstLine="360"/>
        <w:rPr>
          <w:rFonts w:ascii="Times New Roman" w:hAnsi="Times New Roman"/>
        </w:rPr>
      </w:pPr>
    </w:p>
    <w:p w:rsidR="002722C8" w:rsidRPr="002722C8" w:rsidP="002722C8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</w:rPr>
      </w:pPr>
      <w:r w:rsidRPr="002722C8">
        <w:rPr>
          <w:rFonts w:ascii="Times New Roman" w:hAnsi="Times New Roman"/>
        </w:rPr>
        <w:t>-</w:t>
        <w:tab/>
      </w:r>
      <w:r w:rsidRPr="002722C8">
        <w:rPr>
          <w:rFonts w:ascii="Times New Roman" w:hAnsi="Times New Roman"/>
          <w:i/>
        </w:rPr>
        <w:t>sekundárnom (prijatom po nadobudnutím platnosti Lisabonskej zmluvy, ktorou sa mení a dopĺňa Zmluva o Európskom spoločenstve a Zmluva o Európskej únii – po 30. novembri 2009)</w:t>
      </w:r>
    </w:p>
    <w:p w:rsidR="002722C8" w:rsidRPr="002722C8" w:rsidP="002722C8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</w:rPr>
      </w:pPr>
    </w:p>
    <w:p w:rsidR="002722C8" w:rsidRPr="002722C8" w:rsidP="002722C8">
      <w:pPr>
        <w:bidi w:val="0"/>
        <w:ind w:left="1239" w:hanging="360"/>
        <w:rPr>
          <w:rFonts w:ascii="Times New Roman" w:hAnsi="Times New Roman"/>
          <w:i/>
        </w:rPr>
      </w:pPr>
      <w:r w:rsidRPr="002722C8">
        <w:rPr>
          <w:rFonts w:ascii="Times New Roman" w:hAnsi="Times New Roman"/>
        </w:rPr>
        <w:t>1.</w:t>
        <w:tab/>
        <w:t xml:space="preserve">legislatívne akty </w:t>
      </w:r>
    </w:p>
    <w:p w:rsidR="002722C8" w:rsidRPr="002722C8" w:rsidP="002722C8">
      <w:pPr>
        <w:bidi w:val="0"/>
        <w:ind w:firstLine="360"/>
        <w:rPr>
          <w:rFonts w:ascii="Times New Roman" w:hAnsi="Times New Roman"/>
        </w:rPr>
      </w:pPr>
    </w:p>
    <w:p w:rsidR="002722C8" w:rsidRPr="002722C8" w:rsidP="002722C8">
      <w:pPr>
        <w:bidi w:val="0"/>
        <w:ind w:left="851"/>
        <w:rPr>
          <w:rFonts w:ascii="Times New Roman" w:hAnsi="Times New Roman"/>
        </w:rPr>
      </w:pPr>
      <w:r w:rsidRPr="002722C8">
        <w:rPr>
          <w:rFonts w:ascii="Times New Roman" w:hAnsi="Times New Roman"/>
        </w:rPr>
        <w:t> </w:t>
      </w:r>
    </w:p>
    <w:p w:rsidR="002722C8" w:rsidRPr="002722C8" w:rsidP="002722C8">
      <w:pPr>
        <w:bidi w:val="0"/>
        <w:ind w:left="851"/>
        <w:rPr>
          <w:rFonts w:ascii="Times New Roman" w:hAnsi="Times New Roman"/>
        </w:rPr>
      </w:pPr>
    </w:p>
    <w:p w:rsidR="002722C8" w:rsidRPr="002722C8" w:rsidP="002722C8">
      <w:pPr>
        <w:bidi w:val="0"/>
        <w:ind w:left="1239" w:hanging="360"/>
        <w:jc w:val="both"/>
        <w:rPr>
          <w:rFonts w:ascii="Times New Roman" w:hAnsi="Times New Roman"/>
          <w:i/>
        </w:rPr>
      </w:pPr>
      <w:r w:rsidRPr="002722C8">
        <w:rPr>
          <w:rFonts w:ascii="Times New Roman" w:hAnsi="Times New Roman"/>
        </w:rPr>
        <w:t>2.</w:t>
        <w:tab/>
        <w:t>nelegislatívne akty</w:t>
      </w:r>
    </w:p>
    <w:p w:rsidR="002722C8" w:rsidRPr="002722C8" w:rsidP="002722C8">
      <w:pPr>
        <w:bidi w:val="0"/>
        <w:ind w:firstLine="708"/>
        <w:jc w:val="both"/>
        <w:rPr>
          <w:rFonts w:ascii="Times New Roman" w:hAnsi="Times New Roman"/>
        </w:rPr>
      </w:pPr>
      <w:r w:rsidRPr="002722C8">
        <w:rPr>
          <w:rFonts w:ascii="Times New Roman" w:hAnsi="Times New Roman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722C8" w:rsidRPr="002722C8" w:rsidP="00E6059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2C8">
              <w:rPr>
                <w:rFonts w:ascii="Times New Roman" w:hAnsi="Times New Roman"/>
              </w:rPr>
              <w:t> </w:t>
            </w:r>
          </w:p>
        </w:tc>
      </w:tr>
    </w:tbl>
    <w:p w:rsidR="002722C8" w:rsidRPr="002722C8" w:rsidP="002722C8">
      <w:pPr>
        <w:bidi w:val="0"/>
        <w:ind w:firstLine="708"/>
        <w:jc w:val="both"/>
        <w:rPr>
          <w:rFonts w:ascii="Times New Roman" w:hAnsi="Times New Roman"/>
        </w:rPr>
      </w:pPr>
    </w:p>
    <w:p w:rsidR="002722C8" w:rsidRPr="002722C8" w:rsidP="002722C8">
      <w:pPr>
        <w:bidi w:val="0"/>
        <w:ind w:left="879" w:hanging="171"/>
        <w:jc w:val="both"/>
        <w:rPr>
          <w:rFonts w:ascii="Times New Roman" w:hAnsi="Times New Roman"/>
          <w:i/>
        </w:rPr>
      </w:pPr>
      <w:r w:rsidRPr="002722C8">
        <w:rPr>
          <w:rFonts w:ascii="Times New Roman" w:hAnsi="Times New Roman"/>
        </w:rPr>
        <w:t>-</w:t>
        <w:tab/>
      </w:r>
      <w:r w:rsidRPr="002722C8">
        <w:rPr>
          <w:rFonts w:ascii="Times New Roman" w:hAnsi="Times New Roman"/>
          <w:i/>
        </w:rPr>
        <w:t>sekundárnom (prijatom pred nadobudnutím platnosti Lisabonskej zmluvy, ktorou sa mení a dopĺňa Zmluva o Európskom spoločenstve a Zmluva o Európskej únii – do 30. novembra 2009)</w:t>
      </w:r>
    </w:p>
    <w:p w:rsidR="002722C8" w:rsidRPr="002722C8" w:rsidP="002722C8">
      <w:pPr>
        <w:bidi w:val="0"/>
        <w:ind w:firstLine="708"/>
        <w:jc w:val="both"/>
        <w:rPr>
          <w:rFonts w:ascii="Times New Roman" w:hAnsi="Times New Roman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722C8" w:rsidRPr="002722C8" w:rsidP="00E6059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22C8">
              <w:rPr>
                <w:rFonts w:ascii="Times New Roman" w:hAnsi="Times New Roman"/>
              </w:rPr>
              <w:t> </w:t>
            </w:r>
          </w:p>
        </w:tc>
      </w:tr>
    </w:tbl>
    <w:p w:rsidR="002722C8" w:rsidRPr="002722C8" w:rsidP="002722C8">
      <w:pPr>
        <w:bidi w:val="0"/>
        <w:ind w:left="851"/>
        <w:rPr>
          <w:rFonts w:ascii="Times New Roman" w:hAnsi="Times New Roman"/>
        </w:rPr>
      </w:pPr>
    </w:p>
    <w:p w:rsidR="002722C8" w:rsidRPr="002722C8" w:rsidP="002722C8">
      <w:pPr>
        <w:bidi w:val="0"/>
        <w:ind w:left="360"/>
        <w:rPr>
          <w:rFonts w:ascii="Times New Roman" w:hAnsi="Times New Roman"/>
        </w:rPr>
      </w:pPr>
    </w:p>
    <w:p w:rsidR="002722C8" w:rsidRPr="002722C8" w:rsidP="002722C8">
      <w:pPr>
        <w:bidi w:val="0"/>
        <w:ind w:firstLine="360"/>
        <w:rPr>
          <w:rFonts w:ascii="Times New Roman" w:hAnsi="Times New Roman"/>
        </w:rPr>
      </w:pPr>
    </w:p>
    <w:p w:rsidR="002722C8" w:rsidRPr="002722C8" w:rsidP="002722C8">
      <w:pPr>
        <w:bidi w:val="0"/>
        <w:ind w:left="709" w:hanging="349"/>
        <w:rPr>
          <w:rFonts w:ascii="Times New Roman" w:hAnsi="Times New Roman"/>
        </w:rPr>
      </w:pPr>
      <w:r w:rsidRPr="002722C8">
        <w:rPr>
          <w:rFonts w:ascii="Times New Roman" w:hAnsi="Times New Roman"/>
        </w:rPr>
        <w:t>b)</w:t>
        <w:tab/>
        <w:t>nie je obsiahnutá v judikatúre Súdneho dvora Európskej únie.</w:t>
      </w:r>
    </w:p>
    <w:p w:rsidR="002722C8" w:rsidRPr="002722C8" w:rsidP="002722C8">
      <w:pPr>
        <w:bidi w:val="0"/>
        <w:ind w:left="360"/>
        <w:rPr>
          <w:rFonts w:ascii="Times New Roman" w:hAnsi="Times New Roman"/>
        </w:rPr>
      </w:pPr>
    </w:p>
    <w:p w:rsidR="002722C8" w:rsidRPr="002722C8" w:rsidP="002722C8">
      <w:pPr>
        <w:bidi w:val="0"/>
        <w:rPr>
          <w:rFonts w:ascii="Times New Roman" w:hAnsi="Times New Roman"/>
        </w:rPr>
      </w:pPr>
    </w:p>
    <w:p w:rsidR="002722C8" w:rsidRPr="002722C8" w:rsidP="002722C8">
      <w:pPr>
        <w:bidi w:val="0"/>
        <w:ind w:left="360" w:hanging="360"/>
        <w:rPr>
          <w:rFonts w:ascii="Times New Roman" w:hAnsi="Times New Roman"/>
          <w:b/>
        </w:rPr>
      </w:pPr>
      <w:r w:rsidRPr="002722C8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2722C8" w:rsidRPr="002722C8" w:rsidP="002722C8">
      <w:pPr>
        <w:bidi w:val="0"/>
        <w:rPr>
          <w:rFonts w:ascii="Times New Roman" w:hAnsi="Times New Roman"/>
        </w:rPr>
      </w:pPr>
    </w:p>
    <w:p w:rsidR="002722C8" w:rsidRPr="002722C8" w:rsidP="002722C8">
      <w:pPr>
        <w:bidi w:val="0"/>
        <w:ind w:left="709" w:hanging="349"/>
        <w:rPr>
          <w:rFonts w:ascii="Times New Roman" w:hAnsi="Times New Roman"/>
        </w:rPr>
      </w:pPr>
      <w:r w:rsidRPr="002722C8">
        <w:rPr>
          <w:rFonts w:ascii="Times New Roman" w:hAnsi="Times New Roman"/>
        </w:rPr>
        <w:t>a)</w:t>
        <w:tab/>
        <w:t>lehota na prebratie smernice alebo lehota na implementáciu nariadenia alebo rozhodnutia</w:t>
      </w:r>
    </w:p>
    <w:p w:rsidR="002722C8" w:rsidRPr="002722C8" w:rsidP="002722C8">
      <w:pPr>
        <w:bidi w:val="0"/>
        <w:ind w:left="720"/>
        <w:rPr>
          <w:rFonts w:ascii="Times New Roman" w:hAnsi="Times New Roman"/>
        </w:rPr>
      </w:pPr>
    </w:p>
    <w:p w:rsidR="002722C8" w:rsidRPr="002722C8" w:rsidP="002722C8">
      <w:pPr>
        <w:bidi w:val="0"/>
        <w:ind w:left="720"/>
        <w:rPr>
          <w:rFonts w:ascii="Times New Roman" w:hAnsi="Times New Roman"/>
        </w:rPr>
      </w:pPr>
      <w:r w:rsidRPr="002722C8">
        <w:rPr>
          <w:rFonts w:ascii="Times New Roman" w:hAnsi="Times New Roman"/>
        </w:rPr>
        <w:t>bezpredmetné </w:t>
      </w:r>
    </w:p>
    <w:p w:rsidR="002722C8" w:rsidRPr="002722C8" w:rsidP="002722C8">
      <w:pPr>
        <w:bidi w:val="0"/>
        <w:rPr>
          <w:rFonts w:ascii="Times New Roman" w:hAnsi="Times New Roman"/>
        </w:rPr>
      </w:pPr>
    </w:p>
    <w:p w:rsidR="002722C8" w:rsidRPr="002722C8" w:rsidP="002722C8">
      <w:pPr>
        <w:bidi w:val="0"/>
        <w:ind w:left="709" w:hanging="349"/>
        <w:rPr>
          <w:rFonts w:ascii="Times New Roman" w:hAnsi="Times New Roman"/>
        </w:rPr>
      </w:pPr>
      <w:r w:rsidRPr="002722C8">
        <w:rPr>
          <w:rFonts w:ascii="Times New Roman" w:hAnsi="Times New Roman"/>
        </w:rPr>
        <w:t>b)</w:t>
        <w:tab/>
      </w:r>
      <w:r w:rsidRPr="002722C8">
        <w:rPr>
          <w:rFonts w:ascii="Times New Roman" w:hAnsi="Times New Roman"/>
          <w:color w:val="000000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2722C8" w:rsidRPr="002722C8" w:rsidP="002722C8">
      <w:pPr>
        <w:bidi w:val="0"/>
        <w:ind w:left="709" w:hanging="349"/>
        <w:rPr>
          <w:rFonts w:ascii="Times New Roman" w:hAnsi="Times New Roman"/>
        </w:rPr>
      </w:pPr>
      <w:r w:rsidRPr="002722C8">
        <w:rPr>
          <w:rFonts w:ascii="Times New Roman" w:hAnsi="Times New Roman"/>
        </w:rPr>
        <w:tab/>
      </w:r>
    </w:p>
    <w:p w:rsidR="002722C8" w:rsidRPr="002722C8" w:rsidP="002722C8">
      <w:pPr>
        <w:bidi w:val="0"/>
        <w:ind w:left="709" w:hanging="349"/>
        <w:rPr>
          <w:rFonts w:ascii="Times New Roman" w:hAnsi="Times New Roman"/>
        </w:rPr>
      </w:pPr>
      <w:r w:rsidRPr="002722C8">
        <w:rPr>
          <w:rFonts w:ascii="Times New Roman" w:hAnsi="Times New Roman"/>
        </w:rPr>
        <w:tab/>
        <w:t>bezpredmetné </w:t>
      </w:r>
    </w:p>
    <w:p w:rsidR="002722C8" w:rsidRPr="002722C8" w:rsidP="002722C8">
      <w:pPr>
        <w:bidi w:val="0"/>
        <w:ind w:left="709" w:hanging="349"/>
        <w:rPr>
          <w:rFonts w:ascii="Times New Roman" w:hAnsi="Times New Roman"/>
        </w:rPr>
      </w:pPr>
    </w:p>
    <w:p w:rsidR="002722C8" w:rsidRPr="002722C8" w:rsidP="002722C8">
      <w:pPr>
        <w:bidi w:val="0"/>
        <w:ind w:left="709" w:hanging="349"/>
        <w:rPr>
          <w:rFonts w:ascii="Times New Roman" w:hAnsi="Times New Roman"/>
        </w:rPr>
      </w:pPr>
      <w:r w:rsidRPr="002722C8">
        <w:rPr>
          <w:rFonts w:ascii="Times New Roman" w:hAnsi="Times New Roman"/>
        </w:rPr>
        <w:t>c)</w:t>
        <w:tab/>
        <w:t>informácia o konaní začatom proti Slovenskej republike o porušení podľa čl. 258 až 260 Zmluvy o fungovaní Európskej únie</w:t>
      </w:r>
    </w:p>
    <w:p w:rsidR="002722C8" w:rsidRPr="002722C8" w:rsidP="002722C8">
      <w:pPr>
        <w:bidi w:val="0"/>
        <w:ind w:left="720"/>
        <w:rPr>
          <w:rFonts w:ascii="Times New Roman" w:hAnsi="Times New Roman"/>
        </w:rPr>
      </w:pPr>
    </w:p>
    <w:p w:rsidR="002722C8" w:rsidRPr="002722C8" w:rsidP="002722C8">
      <w:pPr>
        <w:bidi w:val="0"/>
        <w:ind w:firstLine="708"/>
        <w:rPr>
          <w:rFonts w:ascii="Times New Roman" w:hAnsi="Times New Roman"/>
        </w:rPr>
      </w:pPr>
      <w:r w:rsidRPr="002722C8">
        <w:rPr>
          <w:rFonts w:ascii="Times New Roman" w:hAnsi="Times New Roman"/>
        </w:rPr>
        <w:t>bezpredmetné </w:t>
      </w:r>
    </w:p>
    <w:p w:rsidR="002722C8" w:rsidRPr="002722C8" w:rsidP="002722C8">
      <w:pPr>
        <w:bidi w:val="0"/>
        <w:ind w:firstLine="708"/>
        <w:rPr>
          <w:rFonts w:ascii="Times New Roman" w:hAnsi="Times New Roman"/>
        </w:rPr>
      </w:pPr>
    </w:p>
    <w:p w:rsidR="002722C8" w:rsidRPr="002722C8" w:rsidP="002722C8">
      <w:pPr>
        <w:bidi w:val="0"/>
        <w:ind w:left="709" w:hanging="349"/>
        <w:rPr>
          <w:rFonts w:ascii="Times New Roman" w:hAnsi="Times New Roman"/>
        </w:rPr>
      </w:pPr>
      <w:r w:rsidRPr="002722C8">
        <w:rPr>
          <w:rFonts w:ascii="Times New Roman" w:hAnsi="Times New Roman"/>
        </w:rPr>
        <w:t>d)</w:t>
        <w:tab/>
        <w:t>informácia o právnych predpisoch, v ktorých sú preberané smernice už prebraté spolu s uvedením rozsahu tohto prebratia</w:t>
      </w:r>
    </w:p>
    <w:p w:rsidR="002722C8" w:rsidRPr="002722C8" w:rsidP="002722C8">
      <w:pPr>
        <w:bidi w:val="0"/>
        <w:ind w:left="720"/>
        <w:rPr>
          <w:rFonts w:ascii="Times New Roman" w:hAnsi="Times New Roman"/>
        </w:rPr>
      </w:pPr>
    </w:p>
    <w:p w:rsidR="002722C8" w:rsidRPr="002722C8" w:rsidP="002722C8">
      <w:pPr>
        <w:bidi w:val="0"/>
        <w:ind w:firstLine="708"/>
        <w:rPr>
          <w:rFonts w:ascii="Times New Roman" w:hAnsi="Times New Roman"/>
        </w:rPr>
      </w:pPr>
      <w:r w:rsidRPr="002722C8">
        <w:rPr>
          <w:rFonts w:ascii="Times New Roman" w:hAnsi="Times New Roman"/>
        </w:rPr>
        <w:t>bezpredmetné </w:t>
      </w:r>
    </w:p>
    <w:p w:rsidR="002722C8" w:rsidRPr="002722C8" w:rsidP="002722C8">
      <w:pPr>
        <w:bidi w:val="0"/>
        <w:ind w:firstLine="708"/>
        <w:rPr>
          <w:rFonts w:ascii="Times New Roman" w:hAnsi="Times New Roman"/>
        </w:rPr>
      </w:pPr>
    </w:p>
    <w:p w:rsidR="002722C8" w:rsidRPr="002722C8" w:rsidP="002722C8">
      <w:pPr>
        <w:bidi w:val="0"/>
        <w:ind w:left="360" w:hanging="360"/>
        <w:rPr>
          <w:rFonts w:ascii="Times New Roman" w:hAnsi="Times New Roman"/>
          <w:b/>
        </w:rPr>
      </w:pPr>
      <w:r w:rsidRPr="002722C8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2722C8" w:rsidRPr="002722C8" w:rsidP="002722C8">
      <w:pPr>
        <w:bidi w:val="0"/>
        <w:rPr>
          <w:rFonts w:ascii="Times New Roman" w:hAnsi="Times New Roman"/>
        </w:rPr>
      </w:pPr>
    </w:p>
    <w:p w:rsidR="002722C8" w:rsidRPr="002722C8" w:rsidP="002722C8">
      <w:pPr>
        <w:bidi w:val="0"/>
        <w:ind w:firstLine="360"/>
        <w:rPr>
          <w:rFonts w:ascii="Times New Roman" w:hAnsi="Times New Roman"/>
        </w:rPr>
      </w:pPr>
      <w:r w:rsidRPr="002722C8">
        <w:rPr>
          <w:rFonts w:ascii="Times New Roman" w:hAnsi="Times New Roman"/>
        </w:rPr>
        <w:t>Stupeň zlučiteľnosti - úplný </w:t>
      </w:r>
    </w:p>
    <w:p w:rsidR="002722C8" w:rsidRPr="002722C8" w:rsidP="002722C8">
      <w:pPr>
        <w:bidi w:val="0"/>
        <w:rPr>
          <w:rFonts w:ascii="Times New Roman" w:hAnsi="Times New Roman"/>
        </w:rPr>
      </w:pPr>
    </w:p>
    <w:p w:rsidR="002722C8" w:rsidRPr="002722C8" w:rsidP="002722C8">
      <w:pPr>
        <w:bidi w:val="0"/>
        <w:ind w:left="360" w:hanging="360"/>
        <w:rPr>
          <w:rFonts w:ascii="Times New Roman" w:hAnsi="Times New Roman"/>
          <w:b/>
        </w:rPr>
      </w:pPr>
      <w:r w:rsidRPr="002722C8">
        <w:rPr>
          <w:rFonts w:ascii="Times New Roman" w:hAnsi="Times New Roman"/>
          <w:b/>
        </w:rPr>
        <w:t>6.</w:t>
        <w:tab/>
        <w:t xml:space="preserve">Gestor a spolupracujúce rezorty: </w:t>
      </w:r>
    </w:p>
    <w:p w:rsidR="002722C8" w:rsidRPr="002722C8" w:rsidP="002722C8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</w:p>
    <w:p w:rsidR="002722C8" w:rsidRPr="002722C8" w:rsidP="002722C8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2722C8">
        <w:rPr>
          <w:rFonts w:ascii="Times New Roman" w:hAnsi="Times New Roman"/>
        </w:rPr>
        <w:t> </w:t>
      </w:r>
    </w:p>
    <w:p w:rsidR="002722C8" w:rsidRPr="002722C8" w:rsidP="002722C8">
      <w:pPr>
        <w:tabs>
          <w:tab w:val="left" w:pos="360"/>
        </w:tabs>
        <w:bidi w:val="0"/>
        <w:rPr>
          <w:rFonts w:ascii="Times New Roman" w:hAnsi="Times New Roman"/>
        </w:rPr>
      </w:pPr>
    </w:p>
    <w:p w:rsidR="002722C8" w:rsidRPr="002722C8" w:rsidP="002722C8">
      <w:pPr>
        <w:bidi w:val="0"/>
        <w:rPr>
          <w:rFonts w:ascii="Times New Roman" w:hAnsi="Times New Roman"/>
        </w:rPr>
      </w:pPr>
    </w:p>
    <w:p w:rsidR="002722C8" w:rsidRPr="002722C8" w:rsidP="002722C8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</w:p>
    <w:p w:rsid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p w:rsidR="002722C8" w:rsidRPr="001232F3" w:rsidP="002722C8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1232F3">
        <w:rPr>
          <w:rFonts w:ascii="Times New Roman" w:hAnsi="Times New Roman"/>
          <w:b/>
          <w:color w:val="000000"/>
        </w:rPr>
        <w:t>B. Osobitná časť</w:t>
      </w:r>
    </w:p>
    <w:p w:rsidR="002722C8" w:rsidRPr="001232F3" w:rsidP="002722C8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2722C8" w:rsidRPr="001232F3" w:rsidP="002722C8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2722C8" w:rsidRPr="001232F3" w:rsidP="002722C8">
      <w:pPr>
        <w:widowControl/>
        <w:bidi w:val="0"/>
        <w:spacing w:after="180"/>
        <w:ind w:firstLine="280"/>
        <w:jc w:val="both"/>
        <w:rPr>
          <w:rFonts w:ascii="Times New Roman" w:hAnsi="Times New Roman"/>
          <w:color w:val="000000"/>
        </w:rPr>
      </w:pPr>
      <w:r w:rsidRPr="001232F3">
        <w:rPr>
          <w:rStyle w:val="PlaceholderText"/>
          <w:b/>
          <w:color w:val="000000"/>
          <w:u w:val="single"/>
        </w:rPr>
        <w:t>Čl. I</w:t>
      </w:r>
    </w:p>
    <w:p w:rsidR="002722C8" w:rsidRPr="001232F3" w:rsidP="002722C8">
      <w:pPr>
        <w:widowControl/>
        <w:bidi w:val="0"/>
        <w:spacing w:after="120"/>
        <w:ind w:firstLine="280"/>
        <w:jc w:val="both"/>
        <w:rPr>
          <w:rStyle w:val="PlaceholderText"/>
          <w:color w:val="000000"/>
        </w:rPr>
      </w:pPr>
      <w:r w:rsidRPr="001232F3">
        <w:rPr>
          <w:rStyle w:val="PlaceholderText"/>
          <w:b/>
          <w:color w:val="000000"/>
          <w:u w:val="single"/>
        </w:rPr>
        <w:t>K bodu 1</w:t>
      </w:r>
    </w:p>
    <w:p w:rsidR="002722C8" w:rsidRPr="001232F3" w:rsidP="002722C8">
      <w:pPr>
        <w:widowControl/>
        <w:bidi w:val="0"/>
        <w:ind w:left="294" w:firstLine="414"/>
        <w:jc w:val="both"/>
        <w:rPr>
          <w:rStyle w:val="PlaceholderText"/>
          <w:color w:val="000000"/>
        </w:rPr>
      </w:pPr>
      <w:r w:rsidRPr="001232F3">
        <w:rPr>
          <w:rStyle w:val="PlaceholderText"/>
          <w:color w:val="000000"/>
        </w:rPr>
        <w:t xml:space="preserve"> Súčasná formulácia ustanovenia ukladá žiadateľom o poskytnutie dotácie povinnosť poskytovať súčinnosť v štátnom štatistickom zisťovaní v budúcnosti. Mnohí žiadatelia dlhodobo pôsobia vo svojej oblasti a podávajú si žiadosti o dotáciu každoročne. Keďže štatistické údaje sa spracovávajú za príslušný dotačný rok až následne, aj po ukončení kontroly vyúčtovania projektu, je dôležité, aby tieto subjekty poskytovali súčinnosť v štátnom štatistickom zisťovaní kontinuálne. Napríklad pri kontrole žiadosti podanej v roku 2013 gestor v praxi kontroluje splnenie povinnosti poskytnúť súčinnosť v štatistickom zisťovaní žiadateľom v roku 2011, rok 2012 ešte v tomto čase nie je štatisticky spracovaný. </w:t>
      </w:r>
    </w:p>
    <w:p w:rsidR="002722C8" w:rsidRPr="001232F3" w:rsidP="002722C8">
      <w:pPr>
        <w:widowControl/>
        <w:bidi w:val="0"/>
        <w:ind w:firstLine="280"/>
        <w:jc w:val="both"/>
        <w:rPr>
          <w:rStyle w:val="PlaceholderText"/>
          <w:color w:val="000000"/>
        </w:rPr>
      </w:pPr>
      <w:r w:rsidRPr="001232F3">
        <w:rPr>
          <w:rStyle w:val="PlaceholderText"/>
          <w:b/>
          <w:color w:val="000000"/>
        </w:rPr>
        <w:t> </w:t>
      </w:r>
    </w:p>
    <w:p w:rsidR="002722C8" w:rsidRPr="001232F3" w:rsidP="002722C8">
      <w:pPr>
        <w:widowControl/>
        <w:bidi w:val="0"/>
        <w:spacing w:after="120"/>
        <w:ind w:firstLine="280"/>
        <w:jc w:val="both"/>
        <w:rPr>
          <w:rStyle w:val="PlaceholderText"/>
          <w:color w:val="000000"/>
        </w:rPr>
      </w:pPr>
      <w:r w:rsidRPr="001232F3">
        <w:rPr>
          <w:rStyle w:val="PlaceholderText"/>
          <w:b/>
          <w:color w:val="000000"/>
          <w:u w:val="single"/>
        </w:rPr>
        <w:t>K bodu 2</w:t>
      </w:r>
    </w:p>
    <w:p w:rsidR="002722C8" w:rsidRPr="001232F3" w:rsidP="002722C8">
      <w:pPr>
        <w:widowControl/>
        <w:bidi w:val="0"/>
        <w:ind w:left="266" w:firstLine="504"/>
        <w:jc w:val="both"/>
        <w:rPr>
          <w:rStyle w:val="PlaceholderText"/>
          <w:color w:val="000000"/>
        </w:rPr>
      </w:pPr>
      <w:r w:rsidRPr="001232F3">
        <w:rPr>
          <w:rStyle w:val="PlaceholderText"/>
          <w:color w:val="000000"/>
        </w:rPr>
        <w:t xml:space="preserve">Úprava ustanovenia vyplynula z potrieb aplikačnej praxe. Navrhovanými zmenami sa </w:t>
      </w:r>
      <w:r>
        <w:rPr>
          <w:rStyle w:val="PlaceholderText"/>
          <w:color w:val="000000"/>
        </w:rPr>
        <w:t>upresňuje</w:t>
      </w:r>
      <w:r w:rsidRPr="001232F3">
        <w:rPr>
          <w:rStyle w:val="PlaceholderText"/>
          <w:color w:val="000000"/>
        </w:rPr>
        <w:t xml:space="preserve"> okruh oprávnených žiadateľov o poskytnutie dotácie na obnovu národnej kultúrnej pamiatky. Navrhuje sa, aby oprávnenými žiadateľmi na obnovu národnej kultúrnej pamiatky boli vlastníci národných kultúrnych pamiatok a správcovia. Pojem správca sa konkretizuje doplnením odkazu a poznámky pod čiarou. Ak ide o obnovu bytového domu, ktorý je národnou kultúrnou pamiatkou, navrhuje sa medzi oprávnených žiadateľov </w:t>
      </w:r>
      <w:r>
        <w:rPr>
          <w:rStyle w:val="PlaceholderText"/>
          <w:color w:val="000000"/>
        </w:rPr>
        <w:t>uviesť</w:t>
      </w:r>
      <w:r w:rsidRPr="001232F3">
        <w:rPr>
          <w:rStyle w:val="PlaceholderText"/>
          <w:color w:val="000000"/>
        </w:rPr>
        <w:t xml:space="preserve"> aj spoločenstvo vlastníkov bytov a nebytových priestorov v dome a ak ide o obnovu a záchranu hradov a hradných zrúcanín navrhuje sa medzi oprávnených žiadateľov </w:t>
      </w:r>
      <w:r>
        <w:rPr>
          <w:rStyle w:val="PlaceholderText"/>
          <w:color w:val="000000"/>
        </w:rPr>
        <w:t>zaradiť</w:t>
      </w:r>
      <w:r w:rsidRPr="001232F3">
        <w:rPr>
          <w:rStyle w:val="PlaceholderText"/>
          <w:color w:val="000000"/>
        </w:rPr>
        <w:t xml:space="preserve"> aj občianske združenia, neziskové organizácie a nadácie so sídlom na území Slovenskej republiky</w:t>
      </w:r>
      <w:r>
        <w:rPr>
          <w:rStyle w:val="PlaceholderText"/>
          <w:color w:val="000000"/>
        </w:rPr>
        <w:t xml:space="preserve">. </w:t>
      </w:r>
      <w:r w:rsidRPr="008172AB">
        <w:rPr>
          <w:rStyle w:val="PlaceholderText"/>
          <w:color w:val="000000"/>
        </w:rPr>
        <w:t xml:space="preserve">Navrhované spresnenie vylúči z okruhu  žiadateľov také subjekty, ktoré nie sú správcami </w:t>
      </w:r>
      <w:r>
        <w:rPr>
          <w:rStyle w:val="PlaceholderText"/>
          <w:color w:val="000000"/>
        </w:rPr>
        <w:t xml:space="preserve">                   </w:t>
      </w:r>
      <w:r w:rsidRPr="008172AB">
        <w:rPr>
          <w:rStyle w:val="PlaceholderText"/>
          <w:color w:val="000000"/>
        </w:rPr>
        <w:t>na základe zákona a tiež subjekty, ktoré sa označovali za držiteľov národných kultúrnych pamiatok.</w:t>
      </w:r>
      <w:r w:rsidRPr="001232F3">
        <w:rPr>
          <w:rStyle w:val="PlaceholderText"/>
          <w:color w:val="000000"/>
        </w:rPr>
        <w:t xml:space="preserve">  </w:t>
      </w:r>
    </w:p>
    <w:p w:rsidR="002722C8" w:rsidRPr="001232F3" w:rsidP="002722C8">
      <w:pPr>
        <w:widowControl/>
        <w:bidi w:val="0"/>
        <w:ind w:firstLine="280"/>
        <w:jc w:val="both"/>
        <w:rPr>
          <w:rStyle w:val="PlaceholderText"/>
          <w:color w:val="000000"/>
        </w:rPr>
      </w:pPr>
      <w:r w:rsidRPr="001232F3">
        <w:rPr>
          <w:rStyle w:val="PlaceholderText"/>
          <w:color w:val="000000"/>
        </w:rPr>
        <w:t> </w:t>
      </w:r>
    </w:p>
    <w:p w:rsidR="002722C8" w:rsidRPr="001232F3" w:rsidP="002722C8">
      <w:pPr>
        <w:widowControl/>
        <w:bidi w:val="0"/>
        <w:spacing w:after="120"/>
        <w:ind w:firstLine="280"/>
        <w:jc w:val="both"/>
        <w:rPr>
          <w:rStyle w:val="PlaceholderText"/>
          <w:color w:val="000000"/>
        </w:rPr>
      </w:pPr>
      <w:r w:rsidRPr="001232F3">
        <w:rPr>
          <w:rStyle w:val="PlaceholderText"/>
          <w:b/>
          <w:color w:val="000000"/>
          <w:u w:val="single"/>
        </w:rPr>
        <w:t>K bodu 3</w:t>
      </w:r>
    </w:p>
    <w:p w:rsidR="002722C8" w:rsidP="002722C8">
      <w:pPr>
        <w:widowControl/>
        <w:bidi w:val="0"/>
        <w:ind w:left="266" w:firstLine="504"/>
        <w:jc w:val="both"/>
        <w:rPr>
          <w:rStyle w:val="PlaceholderText"/>
          <w:color w:val="000000"/>
        </w:rPr>
      </w:pPr>
      <w:r w:rsidRPr="00210339">
        <w:rPr>
          <w:rStyle w:val="PlaceholderText"/>
          <w:color w:val="000000"/>
        </w:rPr>
        <w:t>Navrhovaná zmena ustanovenia vyplýva z potrieb aplikačnej praxe. Žiadosti o dotácie sa predkladajú na základe výzvy v určených termínoch pre jednotlivé programy. Ustanovenie v platnom znení je pre žiadateľov nejednoznačné a žiadosti o dotácie zasielajú aj mimo vyhlásené výzvy na predkladanie žiadostí. Zmena ustanovenia sa tak navrhuje v záujme zabezpečenia jednoznačnosti postupu pri predkladaní žiadostí o poskytnutie dotácie.</w:t>
      </w:r>
    </w:p>
    <w:p w:rsidR="002722C8" w:rsidRPr="001232F3" w:rsidP="002722C8">
      <w:pPr>
        <w:widowControl/>
        <w:bidi w:val="0"/>
        <w:ind w:left="266" w:firstLine="50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Na základe zásadných pripomienok Úradu na ochranu osobných údajov Slovenskej republiky sa novelizačným bodom 3 zároveň dopĺňajú základné náležitosti žiadosti o poskytnutie dotácie, a to v rozsahu údaje o žiadateľovi, účel a výška požadovanej dotácie. </w:t>
      </w:r>
    </w:p>
    <w:p w:rsidR="002722C8" w:rsidRPr="001232F3" w:rsidP="002722C8">
      <w:pPr>
        <w:widowControl/>
        <w:bidi w:val="0"/>
        <w:ind w:left="266" w:firstLine="280"/>
        <w:jc w:val="both"/>
        <w:rPr>
          <w:rStyle w:val="PlaceholderText"/>
          <w:color w:val="000000"/>
        </w:rPr>
      </w:pPr>
      <w:r w:rsidRPr="001232F3">
        <w:rPr>
          <w:rStyle w:val="PlaceholderText"/>
          <w:b/>
          <w:color w:val="000000"/>
        </w:rPr>
        <w:t> </w:t>
      </w:r>
    </w:p>
    <w:p w:rsidR="002722C8" w:rsidRPr="001232F3" w:rsidP="002722C8">
      <w:pPr>
        <w:widowControl/>
        <w:bidi w:val="0"/>
        <w:spacing w:after="120"/>
        <w:ind w:firstLine="280"/>
        <w:jc w:val="both"/>
        <w:rPr>
          <w:rStyle w:val="PlaceholderText"/>
          <w:color w:val="000000"/>
        </w:rPr>
      </w:pPr>
      <w:r w:rsidRPr="001232F3">
        <w:rPr>
          <w:rStyle w:val="PlaceholderText"/>
          <w:b/>
          <w:color w:val="000000"/>
          <w:u w:val="single"/>
        </w:rPr>
        <w:t xml:space="preserve">K bodu 4 </w:t>
      </w:r>
    </w:p>
    <w:p w:rsidR="002722C8" w:rsidP="002722C8">
      <w:pPr>
        <w:widowControl/>
        <w:bidi w:val="0"/>
        <w:ind w:firstLine="756"/>
        <w:jc w:val="both"/>
        <w:rPr>
          <w:rStyle w:val="PlaceholderText"/>
          <w:color w:val="000000"/>
        </w:rPr>
      </w:pPr>
      <w:r w:rsidRPr="001232F3">
        <w:rPr>
          <w:rStyle w:val="PlaceholderText"/>
          <w:color w:val="000000"/>
        </w:rPr>
        <w:t xml:space="preserve">Precizuje sa znenie splnomocňovacieho ustanovenia. </w:t>
      </w:r>
    </w:p>
    <w:p w:rsidR="002722C8" w:rsidP="002722C8">
      <w:pPr>
        <w:widowControl/>
        <w:bidi w:val="0"/>
        <w:jc w:val="both"/>
        <w:rPr>
          <w:rStyle w:val="PlaceholderText"/>
          <w:color w:val="000000"/>
        </w:rPr>
      </w:pPr>
    </w:p>
    <w:p w:rsidR="002722C8" w:rsidP="002722C8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    </w:t>
      </w:r>
    </w:p>
    <w:p w:rsidR="002722C8" w:rsidP="002722C8">
      <w:pPr>
        <w:widowControl/>
        <w:bidi w:val="0"/>
        <w:jc w:val="both"/>
        <w:rPr>
          <w:rStyle w:val="PlaceholderText"/>
          <w:color w:val="000000"/>
        </w:rPr>
      </w:pPr>
    </w:p>
    <w:p w:rsidR="002722C8" w:rsidP="002722C8">
      <w:pPr>
        <w:widowControl/>
        <w:bidi w:val="0"/>
        <w:jc w:val="both"/>
        <w:rPr>
          <w:rStyle w:val="PlaceholderText"/>
          <w:color w:val="000000"/>
        </w:rPr>
      </w:pPr>
    </w:p>
    <w:p w:rsidR="002722C8" w:rsidP="002722C8">
      <w:pPr>
        <w:widowControl/>
        <w:bidi w:val="0"/>
        <w:spacing w:after="120"/>
        <w:jc w:val="both"/>
        <w:rPr>
          <w:rStyle w:val="PlaceholderText"/>
          <w:b/>
          <w:color w:val="000000"/>
          <w:u w:val="single"/>
        </w:rPr>
      </w:pPr>
      <w:r w:rsidRPr="00EF2DC7">
        <w:rPr>
          <w:rStyle w:val="PlaceholderText"/>
          <w:b/>
          <w:color w:val="000000"/>
          <w:u w:val="single"/>
        </w:rPr>
        <w:t>K bodu 5</w:t>
      </w:r>
    </w:p>
    <w:p w:rsidR="002722C8" w:rsidRPr="00EF2DC7" w:rsidP="002722C8">
      <w:pPr>
        <w:widowControl/>
        <w:bidi w:val="0"/>
        <w:spacing w:after="12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ab/>
        <w:t xml:space="preserve">Navrhuje sa precizovať ustanovenie podľa ktorého ministerstvo neposudzuje žiadosti, ktoré nie sú kompletné. Dôvodom navrhovanej úpravy je skutočnosť, že náležitosti a prílohy žiadosti o poskytnutie dotácie upravuje nie len § 4 ods. 2 zákona, ale aj vykonávací predpis a tiež zákon č. 523/2004 Z. z. o rozpočtových pravidlách verejnej správy a o zmene a doplnení niektorých zákonov v znení neskorších predpisov.  </w:t>
      </w:r>
    </w:p>
    <w:p w:rsidR="002722C8" w:rsidRPr="001232F3" w:rsidP="002722C8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Pr="001232F3">
        <w:rPr>
          <w:rStyle w:val="PlaceholderText"/>
          <w:b/>
          <w:color w:val="000000"/>
        </w:rPr>
        <w:t> </w:t>
      </w:r>
    </w:p>
    <w:p w:rsidR="002722C8" w:rsidP="002722C8">
      <w:pPr>
        <w:widowControl/>
        <w:bidi w:val="0"/>
        <w:spacing w:after="120"/>
        <w:jc w:val="both"/>
        <w:rPr>
          <w:rStyle w:val="PlaceholderText"/>
          <w:color w:val="000000"/>
        </w:rPr>
      </w:pPr>
      <w:r>
        <w:rPr>
          <w:rStyle w:val="PlaceholderText"/>
          <w:b/>
          <w:color w:val="000000"/>
          <w:u w:val="single"/>
        </w:rPr>
        <w:t>K bodu 6</w:t>
      </w:r>
      <w:r w:rsidRPr="001232F3">
        <w:rPr>
          <w:rStyle w:val="PlaceholderText"/>
          <w:b/>
          <w:color w:val="000000"/>
          <w:u w:val="single"/>
        </w:rPr>
        <w:t xml:space="preserve"> </w:t>
      </w:r>
    </w:p>
    <w:p w:rsidR="002722C8" w:rsidP="002722C8">
      <w:pPr>
        <w:widowControl/>
        <w:bidi w:val="0"/>
        <w:spacing w:after="120"/>
        <w:ind w:firstLine="720"/>
        <w:jc w:val="both"/>
        <w:rPr>
          <w:rStyle w:val="PlaceholderText"/>
          <w:color w:val="000000"/>
        </w:rPr>
      </w:pPr>
      <w:r w:rsidRPr="001232F3">
        <w:rPr>
          <w:rStyle w:val="PlaceholderText"/>
          <w:color w:val="000000"/>
        </w:rPr>
        <w:t xml:space="preserve">Navrhuje sa precizovať zákonné náležitosti výzvy na predkladanie žiadostí.  </w:t>
      </w:r>
    </w:p>
    <w:p w:rsidR="002722C8" w:rsidP="002722C8">
      <w:pPr>
        <w:widowControl/>
        <w:bidi w:val="0"/>
        <w:ind w:firstLine="720"/>
        <w:jc w:val="both"/>
        <w:rPr>
          <w:rStyle w:val="PlaceholderText"/>
          <w:color w:val="000000"/>
        </w:rPr>
      </w:pPr>
    </w:p>
    <w:p w:rsidR="002722C8" w:rsidRPr="001232F3" w:rsidP="002722C8">
      <w:pPr>
        <w:widowControl/>
        <w:bidi w:val="0"/>
        <w:spacing w:after="120"/>
        <w:jc w:val="both"/>
        <w:rPr>
          <w:rStyle w:val="PlaceholderText"/>
          <w:b/>
          <w:color w:val="000000"/>
          <w:u w:val="single"/>
        </w:rPr>
      </w:pPr>
      <w:r>
        <w:rPr>
          <w:rStyle w:val="PlaceholderText"/>
          <w:b/>
          <w:color w:val="000000"/>
          <w:u w:val="single"/>
        </w:rPr>
        <w:t>K bodu 7</w:t>
      </w:r>
    </w:p>
    <w:p w:rsidR="002722C8" w:rsidRPr="001232F3" w:rsidP="002722C8">
      <w:pPr>
        <w:widowControl/>
        <w:bidi w:val="0"/>
        <w:spacing w:after="120"/>
        <w:ind w:firstLine="720"/>
        <w:jc w:val="both"/>
        <w:rPr>
          <w:rStyle w:val="PlaceholderText"/>
          <w:color w:val="000000"/>
        </w:rPr>
      </w:pPr>
      <w:r w:rsidRPr="00F97FEB">
        <w:rPr>
          <w:rStyle w:val="PlaceholderText"/>
          <w:color w:val="000000"/>
        </w:rPr>
        <w:t>Na základe</w:t>
      </w:r>
      <w:r>
        <w:rPr>
          <w:rStyle w:val="PlaceholderText"/>
          <w:color w:val="000000"/>
        </w:rPr>
        <w:t xml:space="preserve"> zásadnej pripomienky Úradu na ochranu osobných údajov Slovenskej republiky sa upravuje rozsah povinne zverejňovaných informácií o schválených a neschválených žiadostiach o poskytnutie dotácie na webovom sídle ministerstva.  </w:t>
      </w:r>
    </w:p>
    <w:p w:rsidR="002722C8" w:rsidRPr="001232F3" w:rsidP="002722C8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Pr="001232F3">
        <w:rPr>
          <w:rStyle w:val="PlaceholderText"/>
          <w:b/>
          <w:color w:val="000000"/>
        </w:rPr>
        <w:t> </w:t>
      </w:r>
    </w:p>
    <w:p w:rsidR="002722C8" w:rsidRPr="001232F3" w:rsidP="002722C8">
      <w:pPr>
        <w:widowControl/>
        <w:bidi w:val="0"/>
        <w:spacing w:after="120"/>
        <w:jc w:val="both"/>
        <w:rPr>
          <w:rStyle w:val="PlaceholderText"/>
          <w:color w:val="000000"/>
        </w:rPr>
      </w:pPr>
      <w:r w:rsidRPr="001232F3">
        <w:rPr>
          <w:rStyle w:val="PlaceholderText"/>
          <w:b/>
          <w:color w:val="000000"/>
          <w:u w:val="single"/>
        </w:rPr>
        <w:t xml:space="preserve">Čl. II </w:t>
      </w:r>
    </w:p>
    <w:p w:rsidR="002722C8" w:rsidRPr="001232F3" w:rsidP="002722C8">
      <w:pPr>
        <w:widowControl/>
        <w:bidi w:val="0"/>
        <w:ind w:left="709"/>
        <w:jc w:val="both"/>
        <w:rPr>
          <w:rStyle w:val="PlaceholderText"/>
          <w:color w:val="000000"/>
        </w:rPr>
      </w:pPr>
      <w:r w:rsidRPr="001232F3">
        <w:rPr>
          <w:rStyle w:val="PlaceholderText"/>
          <w:color w:val="000000"/>
        </w:rPr>
        <w:t>Navrhuje sa účinnosť zákona.</w:t>
      </w:r>
    </w:p>
    <w:p w:rsidR="002722C8" w:rsidP="002722C8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2722C8" w:rsidP="002722C8">
      <w:pPr>
        <w:widowControl/>
        <w:bidi w:val="0"/>
        <w:spacing w:after="280" w:afterAutospacing="1"/>
        <w:rPr>
          <w:rStyle w:val="PlaceholderText"/>
          <w:color w:val="000000"/>
        </w:rPr>
      </w:pPr>
    </w:p>
    <w:p w:rsidR="002722C8" w:rsidRPr="009C26F5" w:rsidP="002722C8">
      <w:pPr>
        <w:widowControl/>
        <w:bidi w:val="0"/>
        <w:spacing w:after="280" w:afterAutospacing="1"/>
        <w:rPr>
          <w:rStyle w:val="PlaceholderText"/>
          <w:color w:val="000000"/>
        </w:rPr>
      </w:pPr>
      <w:r w:rsidRPr="001232F3">
        <w:rPr>
          <w:rStyle w:val="PlaceholderText"/>
          <w:color w:val="000000"/>
        </w:rPr>
        <w:t> </w:t>
      </w:r>
      <w:r w:rsidRPr="0069323E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69323E">
        <w:rPr>
          <w:rFonts w:ascii="Times New Roman" w:hAnsi="Times New Roman"/>
        </w:rPr>
        <w:t>Bratislave</w:t>
      </w:r>
      <w:r>
        <w:rPr>
          <w:rFonts w:ascii="Times New Roman" w:hAnsi="Times New Roman"/>
        </w:rPr>
        <w:t>,</w:t>
      </w:r>
      <w:r w:rsidRPr="006932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09</w:t>
      </w:r>
      <w:r w:rsidRPr="0069323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januára </w:t>
      </w:r>
      <w:r w:rsidRPr="0069323E">
        <w:rPr>
          <w:rFonts w:ascii="Times New Roman" w:hAnsi="Times New Roman"/>
        </w:rPr>
        <w:t>201</w:t>
      </w:r>
      <w:r>
        <w:rPr>
          <w:rFonts w:ascii="Times New Roman" w:hAnsi="Times New Roman"/>
        </w:rPr>
        <w:t>3</w:t>
      </w:r>
    </w:p>
    <w:p w:rsidR="002722C8" w:rsidP="002722C8">
      <w:pPr>
        <w:widowControl/>
        <w:bidi w:val="0"/>
        <w:rPr>
          <w:rStyle w:val="PlaceholderText"/>
          <w:color w:val="000000"/>
        </w:rPr>
      </w:pPr>
      <w:r w:rsidRPr="009C26F5">
        <w:rPr>
          <w:rStyle w:val="PlaceholderText"/>
          <w:color w:val="000000"/>
        </w:rPr>
        <w:t> </w:t>
        <w:tab/>
        <w:tab/>
        <w:tab/>
      </w:r>
    </w:p>
    <w:p w:rsidR="002722C8" w:rsidP="002722C8">
      <w:pPr>
        <w:bidi w:val="0"/>
        <w:jc w:val="both"/>
        <w:rPr>
          <w:rFonts w:ascii="Times New Roman" w:hAnsi="Times New Roman"/>
          <w:lang w:eastAsia="cs-CZ"/>
        </w:rPr>
      </w:pPr>
      <w:r>
        <w:rPr>
          <w:rStyle w:val="PlaceholderText"/>
          <w:color w:val="000000"/>
        </w:rPr>
        <w:tab/>
        <w:tab/>
        <w:tab/>
      </w:r>
      <w:r w:rsidRPr="009C26F5">
        <w:rPr>
          <w:rStyle w:val="PlaceholderText"/>
          <w:color w:val="000000"/>
        </w:rPr>
        <w:tab/>
        <w:tab/>
        <w:tab/>
        <w:tab/>
      </w:r>
    </w:p>
    <w:p w:rsidR="002722C8" w:rsidP="002722C8">
      <w:pPr>
        <w:tabs>
          <w:tab w:val="left" w:pos="5996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Robert Fico v.r.</w:t>
      </w:r>
    </w:p>
    <w:p w:rsidR="002722C8" w:rsidP="002722C8">
      <w:pPr>
        <w:tabs>
          <w:tab w:val="left" w:pos="5996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</w:t>
      </w:r>
    </w:p>
    <w:p w:rsidR="002722C8" w:rsidP="002722C8">
      <w:pPr>
        <w:tabs>
          <w:tab w:val="left" w:pos="5996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Slovenskej republiky </w:t>
      </w:r>
    </w:p>
    <w:p w:rsidR="002722C8" w:rsidP="002722C8">
      <w:pPr>
        <w:bidi w:val="0"/>
        <w:jc w:val="both"/>
        <w:rPr>
          <w:rFonts w:ascii="Times New Roman" w:hAnsi="Times New Roman"/>
          <w:lang w:eastAsia="cs-CZ"/>
        </w:rPr>
      </w:pPr>
    </w:p>
    <w:p w:rsidR="002722C8" w:rsidP="002722C8">
      <w:pPr>
        <w:bidi w:val="0"/>
        <w:jc w:val="both"/>
        <w:rPr>
          <w:rFonts w:ascii="Times New Roman" w:hAnsi="Times New Roman"/>
          <w:lang w:eastAsia="cs-CZ"/>
        </w:rPr>
      </w:pPr>
    </w:p>
    <w:p w:rsidR="002722C8" w:rsidP="002722C8">
      <w:p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ab/>
        <w:tab/>
        <w:tab/>
        <w:tab/>
        <w:tab/>
      </w:r>
    </w:p>
    <w:p w:rsidR="002722C8" w:rsidP="002722C8">
      <w:pPr>
        <w:bidi w:val="0"/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Marek Maďarič v.r.</w:t>
      </w:r>
    </w:p>
    <w:p w:rsidR="002722C8" w:rsidP="002722C8">
      <w:pPr>
        <w:bidi w:val="0"/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minister kultúry</w:t>
      </w:r>
    </w:p>
    <w:p w:rsidR="002722C8" w:rsidP="002722C8">
      <w:pPr>
        <w:bidi w:val="0"/>
        <w:jc w:val="cent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Slovenskej republiky</w:t>
      </w:r>
    </w:p>
    <w:p w:rsidR="002722C8" w:rsidRPr="001232F3" w:rsidP="002722C8">
      <w:pPr>
        <w:widowControl/>
        <w:bidi w:val="0"/>
        <w:rPr>
          <w:rStyle w:val="PlaceholderText"/>
          <w:color w:val="000000"/>
        </w:rPr>
      </w:pPr>
    </w:p>
    <w:p w:rsidR="002722C8" w:rsidRPr="002722C8" w:rsidP="00BC573D">
      <w:pPr>
        <w:widowControl/>
        <w:bidi w:val="0"/>
        <w:spacing w:after="120"/>
        <w:ind w:left="295" w:firstLine="414"/>
        <w:jc w:val="both"/>
        <w:rPr>
          <w:rStyle w:val="PlaceholderText"/>
          <w:color w:val="000000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BC573D"/>
    <w:rsid w:val="001232F3"/>
    <w:rsid w:val="00210339"/>
    <w:rsid w:val="0025518C"/>
    <w:rsid w:val="002722C8"/>
    <w:rsid w:val="00367FB2"/>
    <w:rsid w:val="0069323E"/>
    <w:rsid w:val="008172AB"/>
    <w:rsid w:val="00882C0E"/>
    <w:rsid w:val="008B25A6"/>
    <w:rsid w:val="009C26F5"/>
    <w:rsid w:val="00A64D2D"/>
    <w:rsid w:val="00AF1954"/>
    <w:rsid w:val="00BC573D"/>
    <w:rsid w:val="00BE756F"/>
    <w:rsid w:val="00C0489E"/>
    <w:rsid w:val="00CB482C"/>
    <w:rsid w:val="00D72132"/>
    <w:rsid w:val="00D86F6A"/>
    <w:rsid w:val="00E6059B"/>
    <w:rsid w:val="00EF2DC7"/>
    <w:rsid w:val="00F02D39"/>
    <w:rsid w:val="00F97FE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1150</Words>
  <Characters>6556</Characters>
  <Application>Microsoft Office Word</Application>
  <DocSecurity>0</DocSecurity>
  <Lines>0</Lines>
  <Paragraphs>0</Paragraphs>
  <ScaleCrop>false</ScaleCrop>
  <Company>Abyss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Kollárová Ivana</cp:lastModifiedBy>
  <cp:revision>2</cp:revision>
  <dcterms:created xsi:type="dcterms:W3CDTF">2013-01-11T07:31:00Z</dcterms:created>
  <dcterms:modified xsi:type="dcterms:W3CDTF">2013-01-11T07:31:00Z</dcterms:modified>
</cp:coreProperties>
</file>