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C54C3" w:rsidP="00DE06BA">
      <w:pPr>
        <w:bidi w:val="0"/>
        <w:rPr>
          <w:rFonts w:ascii="Times New Roman" w:hAnsi="Times New Roman"/>
        </w:rPr>
      </w:pPr>
    </w:p>
    <w:p w:rsidR="00A36AAF" w:rsidP="00A36AAF">
      <w:pPr>
        <w:autoSpaceDE/>
        <w:bidi w:val="0"/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TABUĽKA ZHODY</w:t>
      </w:r>
    </w:p>
    <w:p w:rsidR="00A36AAF" w:rsidP="00A36AAF">
      <w:pPr>
        <w:autoSpaceDE/>
        <w:bidi w:val="0"/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právneho predpisu s právom Európskej únie</w:t>
      </w:r>
    </w:p>
    <w:p w:rsidR="00DE06BA" w:rsidP="00DE06BA">
      <w:pPr>
        <w:bidi w:val="0"/>
        <w:rPr>
          <w:rFonts w:ascii="Times New Roman" w:hAnsi="Times New Roman"/>
        </w:rPr>
      </w:pPr>
    </w:p>
    <w:p w:rsidR="00A36AAF" w:rsidP="00DE06BA">
      <w:pPr>
        <w:bidi w:val="0"/>
        <w:rPr>
          <w:rFonts w:ascii="Times New Roman" w:hAnsi="Times New Roman"/>
        </w:rPr>
      </w:pPr>
    </w:p>
    <w:tbl>
      <w:tblPr>
        <w:tblStyle w:val="TableNormal"/>
        <w:tblW w:w="15452" w:type="dxa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568"/>
        <w:gridCol w:w="4536"/>
        <w:gridCol w:w="1276"/>
        <w:gridCol w:w="1275"/>
        <w:gridCol w:w="1269"/>
        <w:gridCol w:w="7"/>
        <w:gridCol w:w="4536"/>
        <w:gridCol w:w="709"/>
        <w:gridCol w:w="1276"/>
      </w:tblGrid>
      <w:tr>
        <w:tblPrEx>
          <w:tblW w:w="15452" w:type="dxa"/>
          <w:tblInd w:w="-24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rPr>
          <w:cantSplit/>
          <w:trHeight w:val="567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36AAF" w:rsidRPr="00A36AAF" w:rsidP="00235201">
            <w:pPr>
              <w:pStyle w:val="Heading4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B03C36">
              <w:rPr>
                <w:rFonts w:ascii="Times New Roman" w:hAnsi="Times New Roman"/>
                <w:sz w:val="20"/>
                <w:szCs w:val="20"/>
              </w:rPr>
              <w:t>SMERNICA EURÓPSKEHO PARLAMENTU A RADY</w:t>
            </w:r>
            <w:r w:rsidRPr="00A36AAF" w:rsidR="00DE06BA">
              <w:rPr>
                <w:rFonts w:ascii="Times New Roman" w:hAnsi="Times New Roman"/>
                <w:sz w:val="20"/>
                <w:szCs w:val="20"/>
              </w:rPr>
              <w:t xml:space="preserve"> 2004/38/ES</w:t>
            </w:r>
          </w:p>
          <w:p w:rsidR="00DE06BA" w:rsidRPr="00A36AAF" w:rsidP="00B03C36">
            <w:pPr>
              <w:pStyle w:val="Heading4"/>
              <w:bidi w:val="0"/>
              <w:spacing w:after="0" w:line="240" w:lineRule="auto"/>
              <w:jc w:val="both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A36AAF">
              <w:rPr>
                <w:rFonts w:ascii="Times New Roman" w:hAnsi="Times New Roman"/>
                <w:sz w:val="20"/>
                <w:szCs w:val="20"/>
              </w:rPr>
              <w:t>z 29.</w:t>
            </w:r>
            <w:r w:rsidR="00B03C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AF">
              <w:rPr>
                <w:rFonts w:ascii="Times New Roman" w:hAnsi="Times New Roman"/>
                <w:sz w:val="20"/>
                <w:szCs w:val="20"/>
              </w:rPr>
              <w:t xml:space="preserve">apríla 2004 </w:t>
            </w:r>
            <w:r w:rsidRPr="00A36AAF">
              <w:rPr>
                <w:rFonts w:ascii="Times New Roman" w:hAnsi="Times New Roman"/>
                <w:sz w:val="20"/>
                <w:szCs w:val="20"/>
              </w:rPr>
              <w:t>o práve občanov Únie a ich rodinných príslušníkov voľne sa pohybovať a zdržiavať sa v rámci územia členských štátov, ktorá mení a dopĺňa nariadenie (EHS) 1612/68 a ruší smernice 64/221/EHS, 68/360/EHS, 72/194/EHS, 73/148/EHS, 75/34/EHS, 75/35/EHS, 90/364/EHS, 90/365/EHS a 93/96/EHS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5D66D6" w:rsidP="00A36AAF">
            <w:pPr>
              <w:numPr>
                <w:numId w:val="26"/>
              </w:numPr>
              <w:bidi w:val="0"/>
              <w:spacing w:after="0" w:line="240" w:lineRule="auto"/>
              <w:ind w:left="240" w:hanging="2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AAF">
              <w:rPr>
                <w:rFonts w:ascii="Times New Roman" w:hAnsi="Times New Roman"/>
                <w:sz w:val="20"/>
                <w:szCs w:val="20"/>
              </w:rPr>
              <w:t>návrh zákona, kto</w:t>
            </w:r>
            <w:r w:rsidR="00A36AAF">
              <w:rPr>
                <w:rFonts w:ascii="Times New Roman" w:hAnsi="Times New Roman"/>
                <w:sz w:val="20"/>
                <w:szCs w:val="20"/>
              </w:rPr>
              <w:t>rým sa mení a dopĺňa zákon č.</w:t>
            </w:r>
            <w:r w:rsidRPr="00A36AAF">
              <w:rPr>
                <w:rFonts w:ascii="Times New Roman" w:hAnsi="Times New Roman"/>
                <w:sz w:val="20"/>
                <w:szCs w:val="20"/>
              </w:rPr>
              <w:t xml:space="preserve"> 404/2011 Z. z. o pobyte cudzincov a o zmene a doplnení niektorých zákonov a ktorým sa menia a dopĺňajú niektoré zákony (ďalej len „návrh zákona“);</w:t>
            </w:r>
          </w:p>
          <w:p w:rsidR="00DE06BA" w:rsidRPr="00A36AAF" w:rsidP="00A36AAF">
            <w:pPr>
              <w:numPr>
                <w:numId w:val="26"/>
              </w:numPr>
              <w:bidi w:val="0"/>
              <w:spacing w:after="0" w:line="240" w:lineRule="auto"/>
              <w:ind w:left="240" w:hanging="2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AAF">
              <w:rPr>
                <w:rFonts w:ascii="Times New Roman" w:hAnsi="Times New Roman"/>
                <w:sz w:val="20"/>
                <w:szCs w:val="20"/>
              </w:rPr>
              <w:t xml:space="preserve">zákon č. 404/2011 Z. z. </w:t>
            </w:r>
            <w:r w:rsidRPr="00A36AAF">
              <w:rPr>
                <w:rFonts w:ascii="Times New Roman" w:hAnsi="Times New Roman"/>
                <w:bCs/>
                <w:sz w:val="20"/>
                <w:szCs w:val="20"/>
              </w:rPr>
              <w:t>a pobyte cudzincov o zmene a doplnení niektorých zákonov (ďalej len „</w:t>
            </w:r>
            <w:r w:rsidR="00A36AAF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Pr="00A36AAF">
              <w:rPr>
                <w:rFonts w:ascii="Times New Roman" w:hAnsi="Times New Roman"/>
                <w:bCs/>
                <w:sz w:val="20"/>
                <w:szCs w:val="20"/>
              </w:rPr>
              <w:t>ákon č. 404/2011 Z. z.“)</w:t>
            </w:r>
            <w:r w:rsidRPr="00A36AAF" w:rsidR="005D66D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>
        <w:tblPrEx>
          <w:tblW w:w="15452" w:type="dxa"/>
          <w:tblInd w:w="-241" w:type="dxa"/>
          <w:tblLayout w:type="fixed"/>
          <w:tblCellMar>
            <w:left w:w="43" w:type="dxa"/>
            <w:right w:w="43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06BA" w:rsidRPr="00A36AAF" w:rsidP="002352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06BA" w:rsidRPr="00A36AAF" w:rsidP="002352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DE06BA" w:rsidRPr="00A36AAF" w:rsidP="002352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06BA" w:rsidRPr="00A36AAF" w:rsidP="002352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06BA" w:rsidRPr="00A36AAF" w:rsidP="00235201">
            <w:pPr>
              <w:pStyle w:val="BodyText2"/>
              <w:bidi w:val="0"/>
              <w:spacing w:after="0" w:line="240" w:lineRule="exact"/>
              <w:rPr>
                <w:rFonts w:ascii="Times New Roman" w:hAnsi="Times New Roman"/>
              </w:rPr>
            </w:pPr>
            <w:r w:rsidRPr="00A36AAF">
              <w:rPr>
                <w:rFonts w:ascii="Times New Roman" w:hAnsi="Times New Roman"/>
              </w:rPr>
              <w:t>5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06BA" w:rsidRPr="00A36AAF" w:rsidP="00235201">
            <w:pPr>
              <w:pStyle w:val="BodyText2"/>
              <w:bidi w:val="0"/>
              <w:spacing w:after="0" w:line="240" w:lineRule="exact"/>
              <w:rPr>
                <w:rFonts w:ascii="Times New Roman" w:hAnsi="Times New Roman"/>
              </w:rPr>
            </w:pPr>
            <w:r w:rsidRPr="00A36AAF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06BA" w:rsidRPr="00A36AAF" w:rsidP="002352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A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DE06BA" w:rsidRPr="00A36AAF" w:rsidP="002352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A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>
        <w:tblPrEx>
          <w:tblW w:w="15452" w:type="dxa"/>
          <w:tblInd w:w="-241" w:type="dxa"/>
          <w:tblLayout w:type="fixed"/>
          <w:tblCellMar>
            <w:left w:w="43" w:type="dxa"/>
            <w:right w:w="43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06BA" w:rsidRPr="00A36AAF" w:rsidP="00235201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6AAF">
              <w:rPr>
                <w:rFonts w:ascii="Times New Roman" w:hAnsi="Times New Roman"/>
              </w:rPr>
              <w:t>Článok</w:t>
            </w:r>
          </w:p>
          <w:p w:rsidR="00DE06BA" w:rsidRPr="00A36AAF" w:rsidP="00235201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6AAF">
              <w:rPr>
                <w:rFonts w:ascii="Times New Roman" w:hAnsi="Times New Roman"/>
              </w:rPr>
              <w:t>(Č, O,</w:t>
            </w:r>
          </w:p>
          <w:p w:rsidR="00DE06BA" w:rsidRPr="00A36AAF" w:rsidP="00235201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6AAF">
              <w:rPr>
                <w:rFonts w:ascii="Times New Roman" w:hAnsi="Times New Roman"/>
              </w:rPr>
              <w:t>V, P)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06BA" w:rsidRPr="00A36AAF" w:rsidP="00235201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6AAF">
              <w:rPr>
                <w:rFonts w:ascii="Times New Roman" w:hAnsi="Times New Roman"/>
              </w:rPr>
              <w:t>Text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DE06BA" w:rsidRPr="00A36AAF" w:rsidP="00235201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6AAF">
              <w:rPr>
                <w:rFonts w:ascii="Times New Roman" w:hAnsi="Times New Roman"/>
              </w:rPr>
              <w:t>Spôsob transp.</w:t>
            </w:r>
          </w:p>
          <w:p w:rsidR="00DE06BA" w:rsidRPr="00A36AAF" w:rsidP="00235201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6AAF">
              <w:rPr>
                <w:rFonts w:ascii="Times New Roman" w:hAnsi="Times New Roman"/>
              </w:rPr>
              <w:t>(N, O, D, n.a.)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06BA" w:rsidRPr="00A36AAF" w:rsidP="00235201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6AAF">
              <w:rPr>
                <w:rFonts w:ascii="Times New Roman" w:hAnsi="Times New Roman"/>
              </w:rPr>
              <w:t>Číslo</w:t>
            </w:r>
          </w:p>
          <w:p w:rsidR="00DE06BA" w:rsidRPr="00A36AAF" w:rsidP="00235201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6AAF">
              <w:rPr>
                <w:rFonts w:ascii="Times New Roman" w:hAnsi="Times New Roman"/>
              </w:rPr>
              <w:t>predpisu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06BA" w:rsidRPr="00A36AAF" w:rsidP="00235201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6AAF">
              <w:rPr>
                <w:rFonts w:ascii="Times New Roman" w:hAnsi="Times New Roman"/>
              </w:rPr>
              <w:t>Článok (Č, §, O, V, P)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06BA" w:rsidRPr="00A36AAF" w:rsidP="00235201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6AAF">
              <w:rPr>
                <w:rFonts w:ascii="Times New Roman" w:hAnsi="Times New Roman"/>
              </w:rPr>
              <w:t>Text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06BA" w:rsidRPr="00A36AAF" w:rsidP="00235201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6AAF">
              <w:rPr>
                <w:rFonts w:ascii="Times New Roman" w:hAnsi="Times New Roman"/>
              </w:rPr>
              <w:t>Zhoda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DE06BA" w:rsidRPr="00A36AAF" w:rsidP="00235201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6AAF">
              <w:rPr>
                <w:rFonts w:ascii="Times New Roman" w:hAnsi="Times New Roman"/>
              </w:rPr>
              <w:t>Poznámky</w:t>
            </w:r>
          </w:p>
        </w:tc>
      </w:tr>
      <w:tr>
        <w:tblPrEx>
          <w:tblW w:w="15452" w:type="dxa"/>
          <w:tblInd w:w="-241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DE06BA" w:rsidRPr="00A36AAF" w:rsidP="00235201">
            <w:pPr>
              <w:pStyle w:val="NoSpacing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AAF">
              <w:rPr>
                <w:rFonts w:ascii="Times New Roman" w:hAnsi="Times New Roman"/>
                <w:sz w:val="20"/>
                <w:szCs w:val="20"/>
              </w:rPr>
              <w:t>C:14</w:t>
            </w:r>
          </w:p>
          <w:p w:rsidR="00DE06BA" w:rsidRPr="00A36AAF" w:rsidP="00235201">
            <w:pPr>
              <w:pStyle w:val="NoSpacing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AAF">
              <w:rPr>
                <w:rFonts w:ascii="Times New Roman" w:hAnsi="Times New Roman"/>
                <w:sz w:val="20"/>
                <w:szCs w:val="20"/>
              </w:rPr>
              <w:t>O:4</w:t>
            </w:r>
          </w:p>
          <w:p w:rsidR="00DE06BA" w:rsidRPr="00A36AAF" w:rsidP="00235201">
            <w:pPr>
              <w:pStyle w:val="NoSpacing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06BA" w:rsidRPr="00A36AAF" w:rsidP="00235201">
            <w:pPr>
              <w:pStyle w:val="NoSpacing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AAF">
              <w:rPr>
                <w:rFonts w:ascii="Times New Roman" w:hAnsi="Times New Roman"/>
                <w:sz w:val="20"/>
                <w:szCs w:val="20"/>
              </w:rPr>
              <w:t>P:a</w:t>
            </w:r>
          </w:p>
          <w:p w:rsidR="00DE06BA" w:rsidRPr="00A36AAF" w:rsidP="00235201">
            <w:pPr>
              <w:pStyle w:val="NoSpacing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06BA" w:rsidRPr="00A36AAF" w:rsidP="00235201">
            <w:pPr>
              <w:pStyle w:val="NoSpacing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06BA" w:rsidRPr="00A36AAF" w:rsidP="00235201">
            <w:pPr>
              <w:pStyle w:val="NoSpacing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AAF">
              <w:rPr>
                <w:rFonts w:ascii="Times New Roman" w:hAnsi="Times New Roman"/>
                <w:sz w:val="20"/>
                <w:szCs w:val="20"/>
              </w:rPr>
              <w:t>P:b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DE06BA" w:rsidRPr="00A36AAF" w:rsidP="00235201">
            <w:pPr>
              <w:pStyle w:val="NoSpacing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AAF">
              <w:rPr>
                <w:rFonts w:ascii="Times New Roman" w:hAnsi="Times New Roman"/>
                <w:sz w:val="20"/>
                <w:szCs w:val="20"/>
              </w:rPr>
              <w:t>Ako výnimka z odsekov 1 a 2 a bez toho, aby boli dotknuté ustanovenia kapitoly VI, sa opatrenie vyhostenia nesmie v žiadnom prípade prijať proti občanom Únie alebo ich rodinným príslušníkom, ak:</w:t>
            </w:r>
          </w:p>
          <w:p w:rsidR="00DE06BA" w:rsidRPr="00A36AAF" w:rsidP="00235201">
            <w:pPr>
              <w:pStyle w:val="NoSpacing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AAF">
              <w:rPr>
                <w:rFonts w:ascii="Times New Roman" w:hAnsi="Times New Roman"/>
                <w:sz w:val="20"/>
                <w:szCs w:val="20"/>
              </w:rPr>
              <w:t xml:space="preserve">(a) občania Únie sú pracovníkmi alebo samostatne zárobkovo činnými osobami, alebo </w:t>
            </w:r>
          </w:p>
          <w:p w:rsidR="00DE06BA" w:rsidRPr="00A36AAF" w:rsidP="00235201">
            <w:pPr>
              <w:pStyle w:val="NoSpacing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06BA" w:rsidRPr="00A36AAF" w:rsidP="00235201">
            <w:pPr>
              <w:pStyle w:val="NoSpacing"/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36AAF">
              <w:rPr>
                <w:rFonts w:ascii="Times New Roman" w:hAnsi="Times New Roman"/>
                <w:sz w:val="20"/>
                <w:szCs w:val="20"/>
              </w:rPr>
              <w:t>(b) občania Únie vstúpili na územie hostiteľského členského štátu, aby hľadali zamestnanie. V tomto prípade občania Únie a ich rodinní príslušníci nesmú byť vyhostení, pokiaľ občania Únie sú schopní predložiť dôkaz, že si sústavne hľadajú zamestnanie a že majú skutočnú šancu zamestnať sa.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DE06BA" w:rsidRPr="00A36AAF" w:rsidP="002352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AF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  <w:hideMark/>
          </w:tcPr>
          <w:p w:rsidR="00DE06BA" w:rsidRPr="00A36AAF" w:rsidP="002352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AF">
              <w:rPr>
                <w:rFonts w:ascii="Times New Roman" w:hAnsi="Times New Roman"/>
                <w:sz w:val="20"/>
                <w:szCs w:val="20"/>
              </w:rPr>
              <w:t>Zákon č. 404/2011 Z. z.</w:t>
            </w:r>
          </w:p>
          <w:p w:rsidR="00DF79DA" w:rsidRPr="00A36AAF" w:rsidP="002352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AF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DF79DA" w:rsidRPr="00A36AAF" w:rsidP="002352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6AAF">
              <w:rPr>
                <w:rFonts w:ascii="Times New Roman" w:hAnsi="Times New Roman"/>
                <w:b/>
                <w:sz w:val="20"/>
                <w:szCs w:val="20"/>
              </w:rPr>
              <w:t>návrh zákona</w:t>
            </w:r>
          </w:p>
          <w:p w:rsidR="00DE06BA" w:rsidRPr="00A36AAF" w:rsidP="002352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DE06BA" w:rsidRPr="00A36AAF" w:rsidP="002352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AF">
              <w:rPr>
                <w:rFonts w:ascii="Times New Roman" w:hAnsi="Times New Roman"/>
                <w:sz w:val="20"/>
                <w:szCs w:val="20"/>
              </w:rPr>
              <w:t>§ 68</w:t>
            </w:r>
          </w:p>
          <w:p w:rsidR="00DE06BA" w:rsidRPr="00A36AAF" w:rsidP="002352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AF">
              <w:rPr>
                <w:rFonts w:ascii="Times New Roman" w:hAnsi="Times New Roman"/>
                <w:sz w:val="20"/>
                <w:szCs w:val="20"/>
              </w:rPr>
              <w:t>O:2</w:t>
            </w:r>
          </w:p>
          <w:p w:rsidR="00DE06BA" w:rsidRPr="00A36AAF" w:rsidP="002352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AF">
              <w:rPr>
                <w:rFonts w:ascii="Times New Roman" w:hAnsi="Times New Roman"/>
                <w:sz w:val="20"/>
                <w:szCs w:val="20"/>
              </w:rPr>
              <w:t>P:c</w:t>
            </w:r>
          </w:p>
          <w:p w:rsidR="00DE06BA" w:rsidRPr="00A36AAF" w:rsidP="002352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6BA" w:rsidRPr="00A36AAF" w:rsidP="002352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6BA" w:rsidRPr="00A36AAF" w:rsidP="002352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AF">
              <w:rPr>
                <w:rFonts w:ascii="Times New Roman" w:hAnsi="Times New Roman"/>
                <w:sz w:val="20"/>
                <w:szCs w:val="20"/>
              </w:rPr>
              <w:t>§ 65</w:t>
            </w:r>
          </w:p>
          <w:p w:rsidR="00DE06BA" w:rsidRPr="00A36AAF" w:rsidP="002352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AF">
              <w:rPr>
                <w:rFonts w:ascii="Times New Roman" w:hAnsi="Times New Roman"/>
                <w:sz w:val="20"/>
                <w:szCs w:val="20"/>
              </w:rPr>
              <w:t>O:1</w:t>
            </w:r>
          </w:p>
          <w:p w:rsidR="00DE06BA" w:rsidRPr="00A36AAF" w:rsidP="002352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AF">
              <w:rPr>
                <w:rFonts w:ascii="Times New Roman" w:hAnsi="Times New Roman"/>
                <w:sz w:val="20"/>
                <w:szCs w:val="20"/>
              </w:rPr>
              <w:t>P:a</w:t>
            </w:r>
          </w:p>
          <w:p w:rsidR="00DE06BA" w:rsidRPr="00A36AAF" w:rsidP="002352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AF">
              <w:rPr>
                <w:rFonts w:ascii="Times New Roman" w:hAnsi="Times New Roman"/>
                <w:sz w:val="20"/>
                <w:szCs w:val="20"/>
              </w:rPr>
              <w:t>P:b</w:t>
            </w:r>
          </w:p>
          <w:p w:rsidR="00DE06BA" w:rsidRPr="00A36AAF" w:rsidP="002352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6BA" w:rsidRPr="00A36AAF" w:rsidP="002352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AF">
              <w:rPr>
                <w:rFonts w:ascii="Times New Roman" w:hAnsi="Times New Roman"/>
                <w:sz w:val="20"/>
                <w:szCs w:val="20"/>
              </w:rPr>
              <w:t>P:e</w:t>
            </w:r>
          </w:p>
          <w:p w:rsidR="00DE06BA" w:rsidRPr="00A36AAF" w:rsidP="002352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6BA" w:rsidRPr="00A36AAF" w:rsidP="002352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AF">
              <w:rPr>
                <w:rFonts w:ascii="Times New Roman" w:hAnsi="Times New Roman"/>
                <w:sz w:val="20"/>
                <w:szCs w:val="20"/>
              </w:rPr>
              <w:t>§ 66</w:t>
            </w:r>
          </w:p>
          <w:p w:rsidR="00DE06BA" w:rsidRPr="00A36AAF" w:rsidP="002352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AF">
              <w:rPr>
                <w:rFonts w:ascii="Times New Roman" w:hAnsi="Times New Roman"/>
                <w:sz w:val="20"/>
                <w:szCs w:val="20"/>
              </w:rPr>
              <w:t>O:6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DE06BA" w:rsidRPr="00A36AAF" w:rsidP="0023520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AAF">
              <w:rPr>
                <w:rFonts w:ascii="Times New Roman" w:hAnsi="Times New Roman"/>
                <w:sz w:val="20"/>
                <w:szCs w:val="20"/>
              </w:rPr>
              <w:t xml:space="preserve">Policajný útvar, na základe rozhodnutia, môže odňať právo na pobyt občanovi Únie, ak </w:t>
            </w:r>
          </w:p>
          <w:p w:rsidR="00DE06BA" w:rsidRPr="00A36AAF" w:rsidP="00B03C36">
            <w:pPr>
              <w:bidi w:val="0"/>
              <w:spacing w:after="0" w:line="240" w:lineRule="auto"/>
              <w:ind w:left="214" w:hanging="2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AAF">
              <w:rPr>
                <w:rFonts w:ascii="Times New Roman" w:hAnsi="Times New Roman"/>
                <w:sz w:val="20"/>
                <w:szCs w:val="20"/>
              </w:rPr>
              <w:t>c) má právo na pobyt podľa § 65 ods. 1 písm. c) alebo  d) a stal sa osobou v hmotnej núdzi.</w:t>
            </w:r>
          </w:p>
          <w:p w:rsidR="00DE06BA" w:rsidRPr="00A36AAF" w:rsidP="0023520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06BA" w:rsidRPr="00A36AAF" w:rsidP="0023520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AAF">
              <w:rPr>
                <w:rFonts w:ascii="Times New Roman" w:hAnsi="Times New Roman"/>
                <w:bCs/>
                <w:sz w:val="20"/>
                <w:szCs w:val="20"/>
              </w:rPr>
              <w:t>Občan Únie má právo na pobyt na území Slovenskej republiky počas obdobia dlhšieho ako 3 mesiace</w:t>
            </w:r>
            <w:r w:rsidRPr="00A36AAF">
              <w:rPr>
                <w:rFonts w:ascii="Times New Roman" w:hAnsi="Times New Roman"/>
                <w:sz w:val="20"/>
                <w:szCs w:val="20"/>
              </w:rPr>
              <w:t xml:space="preserve">, ak  </w:t>
            </w:r>
          </w:p>
          <w:p w:rsidR="00DE06BA" w:rsidRPr="00A36AAF" w:rsidP="0023520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AAF">
              <w:rPr>
                <w:rFonts w:ascii="Times New Roman" w:hAnsi="Times New Roman"/>
                <w:sz w:val="20"/>
                <w:szCs w:val="20"/>
              </w:rPr>
              <w:t>a) je zamestnaný na území Slovenskej republiky,</w:t>
            </w:r>
          </w:p>
          <w:p w:rsidR="00DE06BA" w:rsidRPr="00A36AAF" w:rsidP="00B03C36">
            <w:pPr>
              <w:bidi w:val="0"/>
              <w:spacing w:after="0" w:line="240" w:lineRule="auto"/>
              <w:ind w:left="214" w:hanging="2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AAF">
              <w:rPr>
                <w:rFonts w:ascii="Times New Roman" w:hAnsi="Times New Roman"/>
                <w:sz w:val="20"/>
                <w:szCs w:val="20"/>
              </w:rPr>
              <w:t>b) je samostatne zárobkovo činnou osobou na území Slovenskej republiky,</w:t>
            </w:r>
          </w:p>
          <w:p w:rsidR="00DE06BA" w:rsidRPr="00A36AAF" w:rsidP="0023520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AAF">
              <w:rPr>
                <w:rFonts w:ascii="Times New Roman" w:hAnsi="Times New Roman"/>
                <w:sz w:val="20"/>
                <w:szCs w:val="20"/>
              </w:rPr>
              <w:t xml:space="preserve"> e) je u neho predpoklad, že sa zamestná, </w:t>
            </w:r>
          </w:p>
          <w:p w:rsidR="00DE06BA" w:rsidRPr="00A36AAF" w:rsidP="0023520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06BA" w:rsidRPr="00A36AAF" w:rsidP="00DF79DA">
            <w:pPr>
              <w:autoSpaceDE/>
              <w:bidi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A36AAF">
              <w:rPr>
                <w:rFonts w:ascii="Times New Roman" w:hAnsi="Times New Roman"/>
                <w:sz w:val="20"/>
                <w:szCs w:val="20"/>
              </w:rPr>
              <w:t>Občan Únie, ktorý žiada o registráciu pobytu v zmysle § 65 ods. 1 písm. e), je k žiadosti povinný predložiť platný preukaz totožnosti alebo platný cestovný doklad</w:t>
            </w:r>
            <w:r w:rsidRPr="00A36AAF" w:rsidR="00DF79D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36AAF">
              <w:rPr>
                <w:rFonts w:ascii="Times New Roman" w:hAnsi="Times New Roman"/>
                <w:sz w:val="20"/>
                <w:szCs w:val="20"/>
              </w:rPr>
              <w:t>čestné vyhlásenie o tom, že si sústavne hľadá prácu na území Slovenskej republiky</w:t>
            </w:r>
            <w:r w:rsidRPr="00A36AAF" w:rsidR="00DF79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AF" w:rsidR="00DF79DA">
              <w:rPr>
                <w:rFonts w:ascii="Times New Roman" w:hAnsi="Times New Roman"/>
                <w:b/>
                <w:sz w:val="20"/>
                <w:szCs w:val="20"/>
              </w:rPr>
              <w:t>a doklad o zdravotnom poistení.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  <w:hideMark/>
          </w:tcPr>
          <w:p w:rsidR="00DE06BA" w:rsidRPr="00A36AAF" w:rsidP="002352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AF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DE06BA" w:rsidRPr="00A36AAF" w:rsidP="002352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06BA" w:rsidRPr="00DE06BA" w:rsidP="00D90132">
      <w:pPr>
        <w:bidi w:val="0"/>
        <w:jc w:val="both"/>
        <w:rPr>
          <w:rFonts w:ascii="Times New Roman" w:hAnsi="Times New Roman"/>
        </w:rPr>
      </w:pPr>
    </w:p>
    <w:sectPr>
      <w:footerReference w:type="default" r:id="rId5"/>
      <w:pgSz w:w="16838" w:h="11906" w:orient="landscape" w:code="9"/>
      <w:pgMar w:top="851" w:right="851" w:bottom="851" w:left="851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DC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C27D4F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4370DC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5384B96"/>
    <w:name w:val="WW8Num1"/>
    <w:lvl w:ilvl="0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</w:abstractNum>
  <w:abstractNum w:abstractNumId="2">
    <w:nsid w:val="00000008"/>
    <w:multiLevelType w:val="multilevel"/>
    <w:tmpl w:val="00000008"/>
    <w:name w:val="WW8Num9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2384EEE"/>
    <w:multiLevelType w:val="hybridMultilevel"/>
    <w:tmpl w:val="D6F891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3175C"/>
    <w:multiLevelType w:val="hybridMultilevel"/>
    <w:tmpl w:val="BFE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0E3E00AF"/>
    <w:multiLevelType w:val="hybridMultilevel"/>
    <w:tmpl w:val="D61EDC9A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E43D89"/>
    <w:multiLevelType w:val="hybridMultilevel"/>
    <w:tmpl w:val="E4401AF2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rtl w:val="0"/>
        <w:cs w:val="0"/>
      </w:rPr>
    </w:lvl>
  </w:abstractNum>
  <w:abstractNum w:abstractNumId="8">
    <w:nsid w:val="191F5DD2"/>
    <w:multiLevelType w:val="hybridMultilevel"/>
    <w:tmpl w:val="0C30F63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  <w:rtl w:val="0"/>
        <w:cs w:val="0"/>
      </w:rPr>
    </w:lvl>
  </w:abstractNum>
  <w:abstractNum w:abstractNumId="9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0">
    <w:nsid w:val="2DA24D80"/>
    <w:multiLevelType w:val="single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</w:abstractNum>
  <w:abstractNum w:abstractNumId="11">
    <w:nsid w:val="36E77358"/>
    <w:multiLevelType w:val="hybridMultilevel"/>
    <w:tmpl w:val="19C03F34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554DED"/>
    <w:multiLevelType w:val="hybridMultilevel"/>
    <w:tmpl w:val="728AAC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FEA2922"/>
    <w:multiLevelType w:val="hybridMultilevel"/>
    <w:tmpl w:val="9796ECC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  <w:rtl w:val="0"/>
        <w:cs w:val="0"/>
      </w:rPr>
    </w:lvl>
  </w:abstractNum>
  <w:abstractNum w:abstractNumId="15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4D80696D"/>
    <w:multiLevelType w:val="hybridMultilevel"/>
    <w:tmpl w:val="7F204AD4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9A1FD0"/>
    <w:multiLevelType w:val="hybridMultilevel"/>
    <w:tmpl w:val="3226216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85ABE"/>
    <w:multiLevelType w:val="hybridMultilevel"/>
    <w:tmpl w:val="0406BCC8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3"/>
    </w:lvlOverride>
  </w:num>
  <w:num w:numId="3">
    <w:abstractNumId w:val="14"/>
  </w:num>
  <w:num w:numId="4">
    <w:abstractNumId w:val="14"/>
    <w:lvlOverride w:ilvl="0">
      <w:startOverride w:val="2"/>
    </w:lvlOverride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18"/>
  </w:num>
  <w:num w:numId="12">
    <w:abstractNumId w:val="6"/>
  </w:num>
  <w:num w:numId="13">
    <w:abstractNumId w:val="16"/>
  </w:num>
  <w:num w:numId="14">
    <w:abstractNumId w:val="5"/>
  </w:num>
  <w:num w:numId="15">
    <w:abstractNumId w:val="17"/>
  </w:num>
  <w:num w:numId="1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1"/>
    <w:lvlOverride w:ilvl="0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"/>
  </w:num>
  <w:num w:numId="25">
    <w:abstractNumId w:val="3"/>
  </w:num>
  <w:num w:numId="26">
    <w:abstractNumId w:val="12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9063F"/>
    <w:rsid w:val="00014DAA"/>
    <w:rsid w:val="000222D4"/>
    <w:rsid w:val="00022FAC"/>
    <w:rsid w:val="000621A4"/>
    <w:rsid w:val="000765E7"/>
    <w:rsid w:val="000857E7"/>
    <w:rsid w:val="000B2E39"/>
    <w:rsid w:val="000B3B43"/>
    <w:rsid w:val="000B4896"/>
    <w:rsid w:val="000C617C"/>
    <w:rsid w:val="00112B23"/>
    <w:rsid w:val="0016343A"/>
    <w:rsid w:val="001B0B11"/>
    <w:rsid w:val="001C595E"/>
    <w:rsid w:val="002238B3"/>
    <w:rsid w:val="00235201"/>
    <w:rsid w:val="00245594"/>
    <w:rsid w:val="003039BB"/>
    <w:rsid w:val="00351078"/>
    <w:rsid w:val="00387C92"/>
    <w:rsid w:val="00391DC5"/>
    <w:rsid w:val="003F6DA8"/>
    <w:rsid w:val="00422E2A"/>
    <w:rsid w:val="004370DC"/>
    <w:rsid w:val="00463F64"/>
    <w:rsid w:val="004B0729"/>
    <w:rsid w:val="004E09E3"/>
    <w:rsid w:val="005170A9"/>
    <w:rsid w:val="00524F49"/>
    <w:rsid w:val="005333D4"/>
    <w:rsid w:val="0056248B"/>
    <w:rsid w:val="00577837"/>
    <w:rsid w:val="005B0FC1"/>
    <w:rsid w:val="005D338E"/>
    <w:rsid w:val="005D66D6"/>
    <w:rsid w:val="006000BD"/>
    <w:rsid w:val="00602276"/>
    <w:rsid w:val="00615C0A"/>
    <w:rsid w:val="006E706B"/>
    <w:rsid w:val="006F20BE"/>
    <w:rsid w:val="00714F4C"/>
    <w:rsid w:val="00731B72"/>
    <w:rsid w:val="007E127B"/>
    <w:rsid w:val="00873DF3"/>
    <w:rsid w:val="008A2D4B"/>
    <w:rsid w:val="008A555D"/>
    <w:rsid w:val="008C54C3"/>
    <w:rsid w:val="008C6B51"/>
    <w:rsid w:val="008F4B73"/>
    <w:rsid w:val="00A045C3"/>
    <w:rsid w:val="00A17CB7"/>
    <w:rsid w:val="00A17E92"/>
    <w:rsid w:val="00A36AAF"/>
    <w:rsid w:val="00A53D28"/>
    <w:rsid w:val="00A9063F"/>
    <w:rsid w:val="00AB1ABD"/>
    <w:rsid w:val="00AD7187"/>
    <w:rsid w:val="00AE3D9A"/>
    <w:rsid w:val="00B03C36"/>
    <w:rsid w:val="00B224B1"/>
    <w:rsid w:val="00B940EE"/>
    <w:rsid w:val="00BE61BE"/>
    <w:rsid w:val="00C27D4F"/>
    <w:rsid w:val="00C86FB7"/>
    <w:rsid w:val="00CC1823"/>
    <w:rsid w:val="00D15757"/>
    <w:rsid w:val="00D33078"/>
    <w:rsid w:val="00D84E1F"/>
    <w:rsid w:val="00D90132"/>
    <w:rsid w:val="00DA0F6C"/>
    <w:rsid w:val="00DE06BA"/>
    <w:rsid w:val="00DE1D4F"/>
    <w:rsid w:val="00DE43CA"/>
    <w:rsid w:val="00DF6C96"/>
    <w:rsid w:val="00DF79DA"/>
    <w:rsid w:val="00E008F4"/>
    <w:rsid w:val="00E045E2"/>
    <w:rsid w:val="00E21F85"/>
    <w:rsid w:val="00E8629C"/>
    <w:rsid w:val="00F158EF"/>
    <w:rsid w:val="00F70773"/>
    <w:rsid w:val="00F8072A"/>
    <w:rsid w:val="00F8328E"/>
    <w:rsid w:val="00FA2212"/>
    <w:rsid w:val="00FA32DE"/>
    <w:rsid w:val="00FB237D"/>
    <w:rsid w:val="00FF517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Nadpis3Char"/>
    <w:uiPriority w:val="99"/>
    <w:semiHidden/>
    <w:unhideWhenUsed/>
    <w:qFormat/>
    <w:rsid w:val="004370D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Nadpis5Char"/>
    <w:uiPriority w:val="99"/>
    <w:semiHidden/>
    <w:unhideWhenUsed/>
    <w:qFormat/>
    <w:rsid w:val="004370DC"/>
    <w:pPr>
      <w:keepNext/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link w:val="Nadpis6Char"/>
    <w:uiPriority w:val="99"/>
    <w:semiHidden/>
    <w:unhideWhenUsed/>
    <w:qFormat/>
    <w:rsid w:val="004370DC"/>
    <w:pPr>
      <w:keepNext/>
      <w:spacing w:line="360" w:lineRule="auto"/>
      <w:ind w:left="-70" w:right="213"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9"/>
    <w:semiHidden/>
    <w:locked/>
    <w:rsid w:val="004370DC"/>
    <w:rPr>
      <w:rFonts w:cs="Times New Roman"/>
      <w:b/>
      <w:bCs/>
      <w:sz w:val="24"/>
      <w:szCs w:val="24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sid w:val="004370DC"/>
    <w:rPr>
      <w:rFonts w:cs="Times New Roman"/>
      <w:i/>
      <w:iCs/>
      <w:sz w:val="24"/>
      <w:szCs w:val="24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9"/>
    <w:semiHidden/>
    <w:locked/>
    <w:rsid w:val="004370DC"/>
    <w:rPr>
      <w:rFonts w:cs="Times New Roman"/>
      <w:b/>
      <w:bCs/>
      <w:sz w:val="24"/>
      <w:szCs w:val="24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lny">
    <w:name w:val="_Normálny"/>
    <w:basedOn w:val="Normal"/>
    <w:uiPriority w:val="99"/>
    <w:pPr>
      <w:jc w:val="left"/>
    </w:pPr>
    <w:rPr>
      <w:sz w:val="20"/>
      <w:szCs w:val="20"/>
      <w:lang w:eastAsia="en-US"/>
    </w:rPr>
  </w:style>
  <w:style w:type="paragraph" w:styleId="FootnoteText">
    <w:name w:val="footnote text"/>
    <w:basedOn w:val="Normal"/>
    <w:link w:val="TextpoznmkypodiarouChar"/>
    <w:uiPriority w:val="99"/>
    <w:semiHidden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customStyle="1" w:styleId="PARA">
    <w:name w:val="PARA"/>
    <w:basedOn w:val="Normal"/>
    <w:next w:val="Normal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al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autoSpaceDE/>
      <w:autoSpaceDN/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autoSpaceDE/>
      <w:autoSpaceDN/>
      <w:ind w:left="290" w:hanging="290"/>
      <w:jc w:val="left"/>
    </w:pPr>
    <w:rPr>
      <w:sz w:val="20"/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4370DC"/>
    <w:pPr>
      <w:jc w:val="center"/>
    </w:pPr>
    <w:rPr>
      <w:b/>
      <w:bCs/>
      <w:sz w:val="20"/>
      <w:szCs w:val="20"/>
    </w:rPr>
  </w:style>
  <w:style w:type="character" w:customStyle="1" w:styleId="NzovChar">
    <w:name w:val="Názov Char"/>
    <w:basedOn w:val="DefaultParagraphFont"/>
    <w:link w:val="Title"/>
    <w:uiPriority w:val="99"/>
    <w:locked/>
    <w:rsid w:val="004370DC"/>
    <w:rPr>
      <w:rFonts w:cs="Times New Roman"/>
      <w:b/>
      <w:bCs/>
      <w:sz w:val="20"/>
      <w:szCs w:val="20"/>
      <w:rtl w:val="0"/>
      <w:cs w:val="0"/>
    </w:rPr>
  </w:style>
  <w:style w:type="paragraph" w:styleId="BodyText">
    <w:name w:val="Body Text"/>
    <w:basedOn w:val="Normal"/>
    <w:link w:val="ZkladntextChar"/>
    <w:uiPriority w:val="99"/>
    <w:unhideWhenUsed/>
    <w:rsid w:val="004370DC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370DC"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4370DC"/>
    <w:pPr>
      <w:ind w:left="-70" w:firstLine="70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4370DC"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370D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370DC"/>
    <w:rPr>
      <w:rFonts w:ascii="Tahoma" w:hAnsi="Tahoma" w:cs="Tahoma"/>
      <w:sz w:val="16"/>
      <w:szCs w:val="16"/>
      <w:rtl w:val="0"/>
      <w:cs w:val="0"/>
    </w:rPr>
  </w:style>
  <w:style w:type="paragraph" w:styleId="NoSpacing">
    <w:name w:val="No Spacing"/>
    <w:uiPriority w:val="1"/>
    <w:qFormat/>
    <w:rsid w:val="004370DC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ListParagraph">
    <w:name w:val="List Paragraph"/>
    <w:basedOn w:val="Normal"/>
    <w:uiPriority w:val="99"/>
    <w:qFormat/>
    <w:rsid w:val="004370DC"/>
    <w:pPr>
      <w:autoSpaceDE/>
      <w:autoSpaceDN/>
      <w:ind w:left="708"/>
      <w:jc w:val="left"/>
    </w:pPr>
  </w:style>
  <w:style w:type="paragraph" w:customStyle="1" w:styleId="Textpoznmkypodciarou">
    <w:name w:val="Text poznámky pod ciarou"/>
    <w:basedOn w:val="Normal"/>
    <w:uiPriority w:val="99"/>
    <w:rsid w:val="004370DC"/>
    <w:pPr>
      <w:jc w:val="left"/>
    </w:pPr>
    <w:rPr>
      <w:sz w:val="20"/>
      <w:szCs w:val="20"/>
    </w:rPr>
  </w:style>
  <w:style w:type="paragraph" w:customStyle="1" w:styleId="Hlavicka">
    <w:name w:val="Hlavicka"/>
    <w:basedOn w:val="Normal"/>
    <w:uiPriority w:val="99"/>
    <w:rsid w:val="004370DC"/>
    <w:pPr>
      <w:tabs>
        <w:tab w:val="center" w:pos="4536"/>
        <w:tab w:val="right" w:pos="9072"/>
      </w:tabs>
      <w:jc w:val="left"/>
    </w:pPr>
  </w:style>
  <w:style w:type="paragraph" w:customStyle="1" w:styleId="Default">
    <w:name w:val="Default"/>
    <w:rsid w:val="004370DC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Bezriadkovania1">
    <w:name w:val="Bez riadkovania1"/>
    <w:basedOn w:val="Normal"/>
    <w:rsid w:val="004370DC"/>
    <w:pPr>
      <w:autoSpaceDE/>
      <w:autoSpaceDN/>
      <w:jc w:val="left"/>
    </w:pPr>
  </w:style>
  <w:style w:type="character" w:customStyle="1" w:styleId="Odkaznapoznmkupodciarou">
    <w:name w:val="Odkaz na poznámku pod ciarou"/>
    <w:uiPriority w:val="99"/>
    <w:rsid w:val="004370DC"/>
    <w:rPr>
      <w:vertAlign w:val="superscript"/>
    </w:rPr>
  </w:style>
  <w:style w:type="character" w:customStyle="1" w:styleId="Cslostrany">
    <w:name w:val="Císlo strany"/>
    <w:uiPriority w:val="99"/>
    <w:rsid w:val="004370DC"/>
  </w:style>
  <w:style w:type="character" w:customStyle="1" w:styleId="tw4winMark">
    <w:name w:val="tw4winMark"/>
    <w:uiPriority w:val="99"/>
    <w:rsid w:val="004370DC"/>
    <w:rPr>
      <w:rFonts w:ascii="Courier New" w:hAnsi="Courier New" w:cs="Courier New"/>
      <w:vanish/>
      <w:color w:val="800080"/>
      <w:vertAlign w:val="subscript"/>
    </w:rPr>
  </w:style>
  <w:style w:type="character" w:customStyle="1" w:styleId="Znakyprepoznmkupodiarou">
    <w:name w:val="Znaky pre poznámku pod čiarou"/>
    <w:uiPriority w:val="99"/>
    <w:rsid w:val="004370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C0785-39D8-4695-8D38-571DF7AA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337</Words>
  <Characters>1925</Characters>
  <Application>Microsoft Office Word</Application>
  <DocSecurity>0</DocSecurity>
  <Lines>0</Lines>
  <Paragraphs>0</Paragraphs>
  <ScaleCrop>false</ScaleCrop>
  <Company>ÚV SR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Nataša Wiedemannová</cp:lastModifiedBy>
  <cp:revision>2</cp:revision>
  <cp:lastPrinted>2011-12-05T14:53:00Z</cp:lastPrinted>
  <dcterms:created xsi:type="dcterms:W3CDTF">2013-01-10T08:03:00Z</dcterms:created>
  <dcterms:modified xsi:type="dcterms:W3CDTF">2013-01-10T08:03:00Z</dcterms:modified>
</cp:coreProperties>
</file>