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2261" w:rsidRPr="006B2261" w:rsidP="006B2261">
      <w:pPr>
        <w:pStyle w:val="Zkladntext"/>
        <w:bidi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6B2261">
        <w:rPr>
          <w:rFonts w:ascii="Times New Roman" w:hAnsi="Times New Roman" w:cs="Times New Roman"/>
          <w:b/>
          <w:bCs/>
          <w:color w:val="auto"/>
        </w:rPr>
        <w:t>DOLOŽKA  ZLUČITEĽNOSTI</w:t>
      </w:r>
    </w:p>
    <w:p w:rsidR="006B2261" w:rsidRPr="006B2261" w:rsidP="006B2261">
      <w:pPr>
        <w:pStyle w:val="Zkladntext"/>
        <w:bidi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6B2261">
        <w:rPr>
          <w:rFonts w:ascii="Times New Roman" w:hAnsi="Times New Roman" w:cs="Times New Roman"/>
          <w:b/>
          <w:bCs/>
          <w:color w:val="auto"/>
        </w:rPr>
        <w:t>návrhu zákona o cestnej premávke s právom Európskych spoločenstiev a právom Európskej únie</w:t>
      </w:r>
    </w:p>
    <w:p w:rsidR="006B2261" w:rsidRPr="006B2261" w:rsidP="006B2261">
      <w:pPr>
        <w:pStyle w:val="Zkladntext"/>
        <w:bidi w:val="0"/>
        <w:jc w:val="center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1. </w:t>
        <w:tab/>
      </w:r>
      <w:r>
        <w:rPr>
          <w:rFonts w:ascii="Times New Roman" w:hAnsi="Times New Roman" w:cs="Times New Roman"/>
          <w:b/>
          <w:color w:val="auto"/>
        </w:rPr>
        <w:t>Predkladateľ právneho predpisu</w:t>
      </w:r>
      <w:r w:rsidRPr="006B2261">
        <w:rPr>
          <w:rFonts w:ascii="Times New Roman" w:hAnsi="Times New Roman" w:cs="Times New Roman"/>
          <w:b/>
          <w:color w:val="auto"/>
        </w:rPr>
        <w:t>:</w:t>
      </w:r>
      <w:r w:rsidRPr="006B226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poslanci Národnej rady Slovenskej republiky</w:t>
      </w:r>
    </w:p>
    <w:p w:rsidR="006B2261" w:rsidRPr="006B2261" w:rsidP="006B2261">
      <w:pPr>
        <w:pStyle w:val="Zkladntext"/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 </w:t>
      </w:r>
    </w:p>
    <w:p w:rsidR="006B2261" w:rsidRPr="006B2261" w:rsidP="006B2261">
      <w:pPr>
        <w:pStyle w:val="Zkladntext"/>
        <w:bidi w:val="0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2.  </w:t>
      </w:r>
      <w:r w:rsidRPr="006B2261">
        <w:rPr>
          <w:rFonts w:ascii="Times New Roman" w:hAnsi="Times New Roman" w:cs="Times New Roman"/>
          <w:b/>
          <w:color w:val="auto"/>
        </w:rPr>
        <w:t>Názov návrhu zákona:</w:t>
      </w:r>
      <w:r w:rsidRPr="006B226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Návrh z</w:t>
      </w:r>
      <w:r w:rsidRPr="006B2261">
        <w:rPr>
          <w:rFonts w:ascii="Times New Roman" w:hAnsi="Times New Roman" w:cs="Times New Roman"/>
          <w:color w:val="auto"/>
        </w:rPr>
        <w:t>ákon</w:t>
      </w:r>
      <w:r>
        <w:rPr>
          <w:rFonts w:ascii="Times New Roman" w:hAnsi="Times New Roman" w:cs="Times New Roman"/>
          <w:color w:val="auto"/>
        </w:rPr>
        <w:t>a, ktorým sa mení a dopĺňa zákon č. 8/2009 Z. z.</w:t>
      </w:r>
      <w:r w:rsidRPr="006B2261">
        <w:rPr>
          <w:rFonts w:ascii="Times New Roman" w:hAnsi="Times New Roman" w:cs="Times New Roman"/>
          <w:color w:val="auto"/>
        </w:rPr>
        <w:t xml:space="preserve"> o cestnej premávke a o zmene a doplnení niektorých zákonov</w:t>
      </w:r>
      <w:r>
        <w:rPr>
          <w:rFonts w:ascii="Times New Roman" w:hAnsi="Times New Roman" w:cs="Times New Roman"/>
          <w:color w:val="auto"/>
        </w:rPr>
        <w:t xml:space="preserve"> v znení neskorších predpisov</w:t>
      </w: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ind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ab/>
        <w:t xml:space="preserve">3.  </w:t>
        <w:tab/>
      </w:r>
      <w:r w:rsidRPr="006B2261">
        <w:rPr>
          <w:rFonts w:ascii="Times New Roman" w:hAnsi="Times New Roman" w:cs="Times New Roman"/>
          <w:b/>
          <w:color w:val="auto"/>
        </w:rPr>
        <w:t>Problematika návrhu zákona:</w:t>
      </w: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ind w:left="36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a)</w:t>
        <w:tab/>
        <w:t>je upravená v práve Európskych spoločenstiev:</w:t>
      </w: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ab/>
        <w:t xml:space="preserve">V primárnom práve je problematika návrhu zákona upravená v článku 3 a hlave V. – Doprava, najmä v článkoch 71 a 75 Zmluvy o založení Európskeho spoločenstva v platnom znení. </w:t>
      </w: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ab/>
        <w:t xml:space="preserve">V sekundárnom práve je problematika návrhu zákona upravená: </w:t>
      </w:r>
    </w:p>
    <w:p w:rsidR="006B2261" w:rsidRPr="006B2261" w:rsidP="006B2261">
      <w:pPr>
        <w:pStyle w:val="Zkladntext"/>
        <w:numPr>
          <w:numId w:val="1"/>
        </w:numPr>
        <w:tabs>
          <w:tab w:val="left" w:pos="-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smernici Rady 91/439/EHS z 29. júla 1991 o vodičských preukazoch v platnom znení.</w:t>
      </w:r>
    </w:p>
    <w:p w:rsidR="006B2261" w:rsidRPr="006B2261" w:rsidP="006B2261">
      <w:pPr>
        <w:pStyle w:val="Zkladntext"/>
        <w:numPr>
          <w:numId w:val="1"/>
        </w:numPr>
        <w:tabs>
          <w:tab w:val="left" w:pos="-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rozhodnutí Rady z 30. novembra 1993 o vytvorení databázy spoločenstva o cestných nehodách.</w:t>
      </w:r>
    </w:p>
    <w:p w:rsidR="006B2261" w:rsidRPr="006B2261" w:rsidP="006B2261">
      <w:pPr>
        <w:pStyle w:val="Zkladntext"/>
        <w:numPr>
          <w:numId w:val="1"/>
        </w:numPr>
        <w:tabs>
          <w:tab w:val="left" w:pos="-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odporúčaní Európskej komisie 2004/345/ES o bezpečnosti cestnej dopravy</w:t>
      </w:r>
      <w:bookmarkStart w:id="0" w:name="content"/>
      <w:r w:rsidRPr="006B2261">
        <w:rPr>
          <w:rFonts w:ascii="Times New Roman" w:hAnsi="Times New Roman" w:cs="Times New Roman"/>
          <w:color w:val="auto"/>
        </w:rPr>
        <w:t>.</w:t>
      </w:r>
    </w:p>
    <w:p w:rsidR="006B2261" w:rsidRPr="006B2261" w:rsidP="006B2261">
      <w:pPr>
        <w:pStyle w:val="Zkladntext"/>
        <w:tabs>
          <w:tab w:val="left" w:pos="-360"/>
        </w:tabs>
        <w:bidi w:val="0"/>
        <w:jc w:val="both"/>
        <w:rPr>
          <w:rFonts w:ascii="Times New Roman" w:hAnsi="Times New Roman" w:cs="Times New Roman"/>
          <w:color w:val="auto"/>
        </w:rPr>
      </w:pPr>
      <w:bookmarkEnd w:id="0"/>
    </w:p>
    <w:p w:rsidR="006B2261" w:rsidRPr="006B2261" w:rsidP="006B2261">
      <w:pPr>
        <w:pStyle w:val="Zkladntext"/>
        <w:tabs>
          <w:tab w:val="left" w:pos="360"/>
        </w:tabs>
        <w:bidi w:val="0"/>
        <w:ind w:left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b) </w:t>
        <w:tab/>
        <w:t>nie je upravená v práve Európskej únie,</w:t>
      </w:r>
    </w:p>
    <w:p w:rsidR="006B2261" w:rsidRPr="006B2261" w:rsidP="006B2261">
      <w:pPr>
        <w:pStyle w:val="Zkladntext"/>
        <w:tabs>
          <w:tab w:val="left" w:pos="360"/>
        </w:tabs>
        <w:bidi w:val="0"/>
        <w:ind w:left="357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ind w:left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c) </w:t>
        <w:tab/>
        <w:t>je obsiahnutá v judikatúre Súdneho dvora Európskych spoločenstiev alebo Súdu prvého stupňa Európskych spoločenstiev:</w:t>
      </w:r>
    </w:p>
    <w:p w:rsidR="006B2261" w:rsidRPr="006B2261" w:rsidP="006B2261">
      <w:pPr>
        <w:pStyle w:val="Zkladn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rozsudku Súdneho dvora ES vo veci C-230/97, Awoyemi zo dňa 29.10.1998           (Zb. rozh. I-06781).</w:t>
      </w:r>
    </w:p>
    <w:p w:rsidR="006B2261" w:rsidRPr="006B2261" w:rsidP="006B2261">
      <w:pPr>
        <w:pStyle w:val="Zkladn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uznesení Súdneho dvora ES vo veci C-253/01, Kruger zo dňa 29.1.2004                 (Zb. rozh. I-01191).</w:t>
      </w:r>
    </w:p>
    <w:p w:rsidR="006B2261" w:rsidRPr="006B2261" w:rsidP="006B2261">
      <w:pPr>
        <w:pStyle w:val="Zkladn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rozsudku Súdneho dvora ES vo veci C-476/01, Kapper zo dňa 29.4.2004                (Zb. rozh. I-05205).</w:t>
      </w:r>
    </w:p>
    <w:p w:rsidR="006B2261" w:rsidRPr="006B2261" w:rsidP="006B2261">
      <w:pPr>
        <w:pStyle w:val="Zkladn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uznesení Súdneho dvora ES vo veci C-227/05, Halbritter zo dňa 6.4.2006               (Zb. rozh. I-00049).</w:t>
      </w:r>
    </w:p>
    <w:p w:rsidR="006B2261" w:rsidRPr="006B2261" w:rsidP="006B2261">
      <w:pPr>
        <w:pStyle w:val="Zkladn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v uznesení Súdneho dvora ES vo veci C-340/05, Kremer zo dňa 28.9.2006                (Zb. rozh. I-00000).</w:t>
      </w:r>
    </w:p>
    <w:p w:rsidR="006B2261" w:rsidRPr="006B2261" w:rsidP="006B2261">
      <w:pPr>
        <w:pStyle w:val="Zkladntext"/>
        <w:bidi w:val="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4.</w:t>
        <w:tab/>
      </w:r>
      <w:r w:rsidRPr="006B2261">
        <w:rPr>
          <w:rFonts w:ascii="Times New Roman" w:hAnsi="Times New Roman" w:cs="Times New Roman"/>
          <w:b/>
          <w:color w:val="auto"/>
        </w:rPr>
        <w:t>Záväzky Slovenskej republiky vo vzťahu k Európskym spoločenstvám a Európskej únii</w:t>
      </w:r>
      <w:r w:rsidRPr="006B2261">
        <w:rPr>
          <w:rFonts w:ascii="Times New Roman" w:hAnsi="Times New Roman" w:cs="Times New Roman"/>
          <w:color w:val="auto"/>
        </w:rPr>
        <w:t xml:space="preserve">: </w:t>
        <w:tab/>
      </w:r>
      <w:r>
        <w:rPr>
          <w:rFonts w:ascii="Times New Roman" w:hAnsi="Times New Roman" w:cs="Times New Roman"/>
          <w:color w:val="auto"/>
        </w:rPr>
        <w:t>bezpredmetné</w:t>
      </w:r>
    </w:p>
    <w:p w:rsidR="006B2261" w:rsidRPr="006B2261" w:rsidP="006B2261">
      <w:pPr>
        <w:pStyle w:val="Zkladntext"/>
        <w:tabs>
          <w:tab w:val="left" w:pos="360"/>
        </w:tabs>
        <w:bidi w:val="0"/>
        <w:ind w:hanging="36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5. </w:t>
        <w:tab/>
      </w:r>
      <w:r w:rsidRPr="006B2261">
        <w:rPr>
          <w:rFonts w:ascii="Times New Roman" w:hAnsi="Times New Roman" w:cs="Times New Roman"/>
          <w:b/>
          <w:color w:val="auto"/>
        </w:rPr>
        <w:t>Stupeň zlučiteľnosti návrhu zákona s právom Európskych spoločenstiev a právom Európskej únie:</w:t>
      </w:r>
      <w:r w:rsidRPr="006B2261">
        <w:rPr>
          <w:rFonts w:ascii="Times New Roman" w:hAnsi="Times New Roman" w:cs="Times New Roman"/>
          <w:color w:val="auto"/>
        </w:rPr>
        <w:t xml:space="preserve"> úplný </w:t>
      </w:r>
    </w:p>
    <w:p w:rsidR="006B2261" w:rsidRPr="006B2261" w:rsidP="006B2261">
      <w:pPr>
        <w:pStyle w:val="Zkladntext"/>
        <w:tabs>
          <w:tab w:val="left" w:pos="360"/>
        </w:tabs>
        <w:bidi w:val="0"/>
        <w:ind w:hanging="360"/>
        <w:jc w:val="both"/>
        <w:rPr>
          <w:rFonts w:ascii="Times New Roman" w:hAnsi="Times New Roman" w:cs="Times New Roman"/>
          <w:color w:val="auto"/>
        </w:rPr>
      </w:pPr>
    </w:p>
    <w:p w:rsidR="006B2261" w:rsidRPr="006B2261" w:rsidP="006B2261">
      <w:pPr>
        <w:pStyle w:val="Zkladntext"/>
        <w:tabs>
          <w:tab w:val="left" w:pos="360"/>
        </w:tabs>
        <w:bidi w:val="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6. </w:t>
        <w:tab/>
      </w:r>
      <w:r w:rsidRPr="006B2261">
        <w:rPr>
          <w:rFonts w:ascii="Times New Roman" w:hAnsi="Times New Roman" w:cs="Times New Roman"/>
          <w:b/>
          <w:color w:val="auto"/>
        </w:rPr>
        <w:t>Gestor a spolupracujúce rezorty:</w:t>
      </w:r>
      <w:r w:rsidRPr="006B226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bezpredmetné</w:t>
      </w:r>
    </w:p>
    <w:p w:rsidR="003C35A1">
      <w:pPr>
        <w:bidi w:val="0"/>
        <w:rPr>
          <w:rFonts w:ascii="Times New Roman" w:hAnsi="Times New Roman"/>
        </w:rPr>
      </w:pPr>
    </w:p>
    <w:p w:rsidR="006B2261">
      <w:pPr>
        <w:bidi w:val="0"/>
        <w:rPr>
          <w:rFonts w:ascii="Times New Roman" w:hAnsi="Times New Roman"/>
        </w:rPr>
      </w:pPr>
    </w:p>
    <w:p w:rsidR="006B2261" w:rsidP="006B2261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B2261" w:rsidP="006B2261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B2261" w:rsidP="006B2261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6B2261" w:rsidP="006B2261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2261" w:rsidP="006B2261">
      <w:pPr>
        <w:bidi w:val="0"/>
        <w:rPr>
          <w:rFonts w:ascii="Times New Roman" w:hAnsi="Times New Roman"/>
          <w:b/>
          <w:bCs/>
        </w:rPr>
      </w:pPr>
    </w:p>
    <w:p w:rsidR="006B2261" w:rsidP="006B2261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 xml:space="preserve">č. </w:t>
      </w:r>
      <w:r>
        <w:rPr>
          <w:rFonts w:ascii="Times New Roman" w:hAnsi="Times New Roman" w:cs="Arial"/>
        </w:rPr>
        <w:t>8/2009</w:t>
      </w:r>
      <w:r w:rsidRPr="005E55D9">
        <w:rPr>
          <w:rFonts w:ascii="Times New Roman" w:hAnsi="Times New Roman" w:cs="Arial"/>
        </w:rPr>
        <w:t xml:space="preserve"> Z. z. o</w:t>
      </w:r>
      <w:r>
        <w:rPr>
          <w:rFonts w:ascii="Times New Roman" w:hAnsi="Times New Roman" w:cs="Arial"/>
        </w:rPr>
        <w:t xml:space="preserve"> cestnej premávke </w:t>
      </w:r>
      <w:r w:rsidRPr="005E55D9">
        <w:rPr>
          <w:rFonts w:ascii="Times New Roman" w:hAnsi="Times New Roman" w:cs="Arial"/>
        </w:rPr>
        <w:t>a o zmen</w:t>
      </w:r>
      <w:r>
        <w:rPr>
          <w:rFonts w:ascii="Times New Roman" w:hAnsi="Times New Roman" w:cs="Arial"/>
        </w:rPr>
        <w:t xml:space="preserve">e a doplnení niektorých zákonov v znení neskorších predpisov </w:t>
      </w:r>
    </w:p>
    <w:p w:rsidR="006B2261" w:rsidP="006B2261">
      <w:pPr>
        <w:bidi w:val="0"/>
        <w:jc w:val="both"/>
        <w:rPr>
          <w:rFonts w:ascii="Times New Roman" w:hAnsi="Times New Roman" w:cs="Arial"/>
        </w:rPr>
      </w:pPr>
    </w:p>
    <w:p w:rsidR="006B2261" w:rsidP="006B2261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6B2261" w:rsidP="006B2261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6B2261" w:rsidP="009C04E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6B2261" w:rsidP="009C04E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581ED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RPr="00915AFF" w:rsidP="009C04EA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2261" w:rsidP="009C04E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B2261" w:rsidP="006B2261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6B2261" w:rsidRPr="003E1314" w:rsidP="006B2261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6B2261" w:rsidP="006B2261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sa zaoberá rozšírením možnosti držiteľov vodičského oprávnenia skupiny B aj o podskupinu A1, t.j. ľahké motocykle s objemom do 125 cm3. Takéto opatrenie bolo zavedené v Českej republike, pričom sa zvýšil záujem zákazníkov – predaj takýchto motocyklov, čo malo pozitívny vplyv na daný segment podnikania.</w:t>
      </w:r>
    </w:p>
    <w:p w:rsidR="00E76FE2" w:rsidP="006B2261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Toto opatrenie tiež so sebou prináša menšiu záťaž dopravy v mestách, kedy časť automobilistov uprednostňuje, najmä v určité ročné obdobia, tento druh dopravy pred autami. Ľahké motocykle do 125 cm3 zaberajú menej miesta a tiež produkujú menej emisií, čo opäť napomáha životnému prostrediu.</w:t>
      </w:r>
    </w:p>
    <w:p w:rsidR="006B2261" w:rsidP="006B2261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</w:p>
    <w:p w:rsidR="006B2261" w:rsidRPr="003E1314" w:rsidP="006B2261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6B2261" w:rsidP="006B2261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6B2261" w:rsidP="006B2261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6B2261" w:rsidP="006B2261">
      <w:pPr>
        <w:pStyle w:val="BodyText"/>
        <w:bidi w:val="0"/>
        <w:jc w:val="both"/>
        <w:rPr>
          <w:rFonts w:ascii="Times New Roman" w:hAnsi="Times New Roman"/>
        </w:rPr>
      </w:pPr>
    </w:p>
    <w:p w:rsidR="006B2261" w:rsidP="006B2261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6B2261" w:rsidRPr="00EE6C05" w:rsidP="006B2261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6B2261" w:rsidRPr="00824C2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383D"/>
    <w:multiLevelType w:val="hybridMultilevel"/>
    <w:tmpl w:val="33FCC70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4B717AD3"/>
    <w:multiLevelType w:val="hybridMultilevel"/>
    <w:tmpl w:val="92C6274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24C2B"/>
    <w:rsid w:val="00055062"/>
    <w:rsid w:val="002076B4"/>
    <w:rsid w:val="003C35A1"/>
    <w:rsid w:val="003E1314"/>
    <w:rsid w:val="00581EDC"/>
    <w:rsid w:val="005E55D9"/>
    <w:rsid w:val="006B2261"/>
    <w:rsid w:val="00824C2B"/>
    <w:rsid w:val="00915AFF"/>
    <w:rsid w:val="009C04EA"/>
    <w:rsid w:val="00B564AB"/>
    <w:rsid w:val="00E76FE2"/>
    <w:rsid w:val="00EE6C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uiPriority w:val="99"/>
    <w:rsid w:val="006B2261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B226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22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6B2261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B22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550</Words>
  <Characters>3136</Characters>
  <Application>Microsoft Office Word</Application>
  <DocSecurity>0</DocSecurity>
  <Lines>0</Lines>
  <Paragraphs>0</Paragraphs>
  <ScaleCrop>false</ScaleCrop>
  <Company>Kancelaria NR SR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2013-01-11T11:57:00Z</dcterms:created>
  <dcterms:modified xsi:type="dcterms:W3CDTF">2013-01-11T11:57:00Z</dcterms:modified>
</cp:coreProperties>
</file>