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2AF8">
      <w:pPr>
        <w:pStyle w:val="Heading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6E2AF8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6E2AF8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A) Všeobecná časť</w:t>
      </w:r>
    </w:p>
    <w:p w:rsidR="006E2AF8">
      <w:pPr>
        <w:bidi w:val="0"/>
        <w:rPr>
          <w:rFonts w:ascii="Times New Roman" w:eastAsia="Arial Unicode MS" w:hAnsi="Times New Roman"/>
        </w:rPr>
      </w:pP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návrhu novely zákona, ktorým sa mení a dopĺňa zákon č. 461/2003 Z. z. o sociálnom poistení v znení neskorších predpisov, a ktorým sa menia a dopĺňajú niektoré zákony (ďalej len </w:t>
      </w:r>
      <w:r w:rsidRPr="001F4FA7">
        <w:rPr>
          <w:rFonts w:ascii="Times New Roman" w:hAnsi="Times New Roman"/>
        </w:rPr>
        <w:t>zákon), sa v §</w:t>
      </w:r>
      <w:r>
        <w:rPr>
          <w:rFonts w:ascii="Times New Roman" w:hAnsi="Times New Roman"/>
        </w:rPr>
        <w:t xml:space="preserve"> 69 </w:t>
      </w:r>
      <w:r>
        <w:rPr>
          <w:rFonts w:ascii="Times New Roman" w:hAnsi="Times New Roman"/>
          <w:b/>
        </w:rPr>
        <w:t>Vylúčenie nároku na starobný dôchodok</w:t>
      </w:r>
      <w:r>
        <w:rPr>
          <w:rFonts w:ascii="Times New Roman" w:hAnsi="Times New Roman"/>
        </w:rPr>
        <w:t xml:space="preserve"> dopĺňa odsek 2, ktorým sa z nároku na starobný dôchodok vylučuje: </w:t>
      </w:r>
    </w:p>
    <w:p w:rsidR="006E2AF8">
      <w:pPr>
        <w:pStyle w:val="BodyText"/>
        <w:numPr>
          <w:numId w:val="3"/>
        </w:numPr>
        <w:tabs>
          <w:tab w:val="left" w:pos="284"/>
        </w:tabs>
        <w:bidi w:val="0"/>
        <w:spacing w:line="276" w:lineRule="auto"/>
        <w:ind w:left="284" w:hanging="284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povinne dôchodkovo poistený štátny zamestnanec (</w:t>
      </w:r>
      <w:r>
        <w:rPr>
          <w:rFonts w:ascii="Times New Roman" w:hAnsi="Times New Roman"/>
          <w:i/>
        </w:rPr>
        <w:t xml:space="preserve">§ </w:t>
      </w:r>
      <w:r>
        <w:rPr>
          <w:rFonts w:ascii="Times New Roman" w:hAnsi="Times New Roman"/>
          <w:i/>
          <w:iCs/>
        </w:rPr>
        <w:t>6 zákona č. 400/2009 Z.z. Zákona o štátnej službe) a</w:t>
      </w:r>
    </w:p>
    <w:p w:rsidR="006E2AF8" w:rsidRPr="001F4FA7">
      <w:pPr>
        <w:pStyle w:val="BodyText"/>
        <w:numPr>
          <w:numId w:val="3"/>
        </w:numPr>
        <w:tabs>
          <w:tab w:val="left" w:pos="284"/>
        </w:tabs>
        <w:bidi w:val="0"/>
        <w:spacing w:line="276" w:lineRule="auto"/>
        <w:ind w:left="284" w:hanging="284"/>
        <w:rPr>
          <w:rFonts w:ascii="Times New Roman" w:hAnsi="Times New Roman"/>
          <w:iCs/>
        </w:rPr>
      </w:pPr>
      <w:r w:rsidRPr="001F4FA7">
        <w:rPr>
          <w:rFonts w:ascii="Times New Roman" w:hAnsi="Times New Roman"/>
        </w:rPr>
        <w:t xml:space="preserve">povinne dôchodkovo poistený zamestnanec </w:t>
      </w:r>
      <w:r w:rsidRPr="001F4FA7">
        <w:rPr>
          <w:rFonts w:ascii="Times New Roman" w:hAnsi="Times New Roman"/>
          <w:iCs/>
        </w:rPr>
        <w:t>pri výkone práce vo verejnom záujme (</w:t>
      </w:r>
      <w:r w:rsidRPr="001F4FA7">
        <w:rPr>
          <w:rFonts w:ascii="Times New Roman" w:hAnsi="Times New Roman"/>
          <w:i/>
        </w:rPr>
        <w:t>§ 1 zákona č.552/2003 Z.z. o výkone práce vo verejnom záujme</w:t>
      </w:r>
      <w:r w:rsidRPr="001F4FA7">
        <w:rPr>
          <w:rFonts w:ascii="Times New Roman" w:hAnsi="Times New Roman"/>
          <w:iCs/>
        </w:rPr>
        <w:t>).</w:t>
      </w:r>
    </w:p>
    <w:p w:rsidR="006E2AF8" w:rsidRPr="001F4FA7">
      <w:pPr>
        <w:pStyle w:val="BodyText"/>
        <w:tabs>
          <w:tab w:val="left" w:pos="284"/>
        </w:tabs>
        <w:bidi w:val="0"/>
        <w:spacing w:line="276" w:lineRule="auto"/>
        <w:ind w:left="284"/>
        <w:jc w:val="left"/>
        <w:rPr>
          <w:rFonts w:ascii="Times New Roman" w:hAnsi="Times New Roman"/>
          <w:iCs/>
        </w:rPr>
      </w:pPr>
    </w:p>
    <w:p w:rsidR="006E2AF8" w:rsidRPr="001F4FA7">
      <w:pPr>
        <w:bidi w:val="0"/>
        <w:spacing w:after="240" w:line="276" w:lineRule="auto"/>
        <w:ind w:firstLine="357"/>
        <w:jc w:val="both"/>
        <w:rPr>
          <w:rFonts w:ascii="Times New Roman" w:hAnsi="Times New Roman"/>
          <w:iCs/>
        </w:rPr>
      </w:pPr>
      <w:r w:rsidRPr="001F4FA7">
        <w:rPr>
          <w:rFonts w:ascii="Times New Roman" w:hAnsi="Times New Roman"/>
          <w:iCs/>
        </w:rPr>
        <w:t xml:space="preserve">Z celkového počtu starobných dôchodcov v roku 2011 pracovalo </w:t>
      </w:r>
      <w:r w:rsidRPr="001F4FA7" w:rsidR="001F4FA7">
        <w:rPr>
          <w:rFonts w:ascii="Times New Roman" w:hAnsi="Times New Roman"/>
          <w:iCs/>
        </w:rPr>
        <w:t>86 641</w:t>
      </w:r>
      <w:r w:rsidRPr="001F4FA7">
        <w:rPr>
          <w:rFonts w:ascii="Times New Roman" w:hAnsi="Times New Roman"/>
          <w:iCs/>
        </w:rPr>
        <w:t xml:space="preserve"> starobných dôchodcov, ktorí boli zamestnaní a zároveň poberali starobný dôchodok. Dá sa predpokladať, že počet pracujúcich dôchodcov je vyšší o skupinu osôb, ktoré o dôchodok ešte nepožiadali. </w:t>
      </w:r>
    </w:p>
    <w:p w:rsidR="006E2AF8" w:rsidRPr="001F4FA7">
      <w:pPr>
        <w:bidi w:val="0"/>
        <w:spacing w:after="240" w:line="276" w:lineRule="auto"/>
        <w:ind w:firstLine="357"/>
        <w:jc w:val="both"/>
        <w:rPr>
          <w:rFonts w:ascii="Times New Roman" w:hAnsi="Times New Roman"/>
          <w:iCs/>
        </w:rPr>
      </w:pPr>
      <w:r w:rsidRPr="001F4FA7">
        <w:rPr>
          <w:rFonts w:ascii="Times New Roman" w:hAnsi="Times New Roman"/>
          <w:iCs/>
        </w:rPr>
        <w:t>Z tohto počtu zamestnaných dôchodcov je cca 20 000 dôchodcov, ktorí pracujú, a teda sú povinne dôchodkovo poistení, ako štátni zamestnanci a zamestnanci vo verejnom záujme.</w:t>
      </w:r>
    </w:p>
    <w:p w:rsidR="006E2AF8" w:rsidRPr="001F4FA7">
      <w:pPr>
        <w:bidi w:val="0"/>
        <w:spacing w:after="240" w:line="276" w:lineRule="auto"/>
        <w:ind w:firstLine="357"/>
        <w:jc w:val="both"/>
        <w:rPr>
          <w:rFonts w:ascii="Times New Roman" w:hAnsi="Times New Roman"/>
          <w:iCs/>
        </w:rPr>
      </w:pPr>
      <w:r w:rsidRPr="001F4FA7">
        <w:rPr>
          <w:rFonts w:ascii="Times New Roman" w:hAnsi="Times New Roman"/>
        </w:rPr>
        <w:t>Táto</w:t>
      </w:r>
      <w:r w:rsidRPr="001F4FA7">
        <w:rPr>
          <w:rFonts w:ascii="Times New Roman" w:hAnsi="Times New Roman"/>
          <w:iCs/>
        </w:rPr>
        <w:t xml:space="preserve"> skupina ľudí nie je existenčne odkázaná na príjem zo zamestnania. Zároveň ku koncu roka 2012 úrady práce evidovali viac ako 400 000 nezamestnaných občanov. </w:t>
      </w:r>
    </w:p>
    <w:p w:rsidR="006E2AF8" w:rsidRPr="001F4FA7">
      <w:pPr>
        <w:bidi w:val="0"/>
        <w:spacing w:after="240" w:line="276" w:lineRule="auto"/>
        <w:ind w:firstLine="357"/>
        <w:jc w:val="both"/>
        <w:rPr>
          <w:rFonts w:ascii="Times New Roman" w:hAnsi="Times New Roman"/>
          <w:iCs/>
        </w:rPr>
      </w:pPr>
      <w:r w:rsidRPr="001F4FA7">
        <w:rPr>
          <w:rFonts w:ascii="Times New Roman" w:hAnsi="Times New Roman"/>
        </w:rPr>
        <w:t>Navrhované</w:t>
      </w:r>
      <w:r w:rsidRPr="001F4FA7">
        <w:rPr>
          <w:rFonts w:ascii="Times New Roman" w:hAnsi="Times New Roman"/>
          <w:iCs/>
        </w:rPr>
        <w:t xml:space="preserve"> riešenie umožní dotknutým osobám slobodne si zvoliť individuálny status, ktorý spočíva buď v prijatí rozhodnutia pokračovať v zamestnaneckom pomere bez poberania starobného dôchodku, alebo v ukončení zamestnaneckého pomeru.</w:t>
      </w:r>
    </w:p>
    <w:p w:rsidR="006E2AF8" w:rsidRPr="001F4FA7">
      <w:pPr>
        <w:bidi w:val="0"/>
        <w:spacing w:after="240" w:line="276" w:lineRule="auto"/>
        <w:ind w:firstLine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Schválenie</w:t>
      </w:r>
      <w:r>
        <w:rPr>
          <w:rFonts w:ascii="Times New Roman" w:hAnsi="Times New Roman"/>
          <w:iCs/>
        </w:rPr>
        <w:t xml:space="preserve"> navrhovanej zmeny bude mať nepochybne významný vplyv na zníženie nezamestnanosti, bez nárokov na čerpanie prostriedkov z verejných zdrojov. Dôjde k úspore </w:t>
      </w:r>
      <w:r w:rsidRPr="00162716">
        <w:rPr>
          <w:rFonts w:ascii="Times New Roman" w:hAnsi="Times New Roman"/>
          <w:iCs/>
        </w:rPr>
        <w:t>prostriedkov, vyplácaných</w:t>
      </w:r>
      <w:r>
        <w:rPr>
          <w:rFonts w:ascii="Times New Roman" w:hAnsi="Times New Roman"/>
          <w:iCs/>
        </w:rPr>
        <w:t xml:space="preserve"> vo forme dávky v nezamestnanosti a sociálnych </w:t>
      </w:r>
      <w:r w:rsidRPr="001F4FA7">
        <w:rPr>
          <w:rFonts w:ascii="Times New Roman" w:hAnsi="Times New Roman"/>
          <w:iCs/>
        </w:rPr>
        <w:t>dávok a tiež k úspore prostriedkov, vyplácaných z</w:t>
      </w:r>
      <w:r w:rsidRPr="001F4FA7" w:rsidR="001F4FA7">
        <w:rPr>
          <w:rFonts w:ascii="Times New Roman" w:hAnsi="Times New Roman"/>
          <w:iCs/>
        </w:rPr>
        <w:t xml:space="preserve">o Základného fondu sociálneho </w:t>
      </w:r>
      <w:r w:rsidRPr="001F4FA7">
        <w:rPr>
          <w:rFonts w:ascii="Times New Roman" w:hAnsi="Times New Roman"/>
          <w:iCs/>
        </w:rPr>
        <w:t xml:space="preserve">poistenia </w:t>
      </w:r>
      <w:r w:rsidRPr="001F4FA7" w:rsidR="001F4FA7">
        <w:rPr>
          <w:rFonts w:ascii="Times New Roman" w:hAnsi="Times New Roman"/>
          <w:iCs/>
        </w:rPr>
        <w:t xml:space="preserve">Sociálnej poisťovne </w:t>
      </w:r>
      <w:r w:rsidRPr="001F4FA7">
        <w:rPr>
          <w:rFonts w:ascii="Times New Roman" w:hAnsi="Times New Roman"/>
          <w:iCs/>
        </w:rPr>
        <w:t>tým starobným dôchodcom, ktorí sa rozhodnú zostať v zamestnaneckom pomere.</w:t>
      </w: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Návrh</w:t>
      </w:r>
      <w:r>
        <w:rPr>
          <w:rFonts w:ascii="Times New Roman" w:hAnsi="Times New Roman"/>
          <w:iCs/>
        </w:rPr>
        <w:t xml:space="preserve"> zákona je v súlade s Ústavou Slovenskej republiky, so zákonmi ako aj s medzinárodnými zmluvami, ktorými je Slovenská republika viazaná.</w:t>
      </w: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Vplyv</w:t>
      </w:r>
      <w:r>
        <w:rPr>
          <w:rFonts w:ascii="Times New Roman" w:hAnsi="Times New Roman"/>
        </w:rPr>
        <w:t xml:space="preserve"> na rozpočet verejnej správy a podnikateľské prostredie je uvedený v doložke vybraných vplyvov.</w:t>
      </w: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Návrh</w:t>
      </w:r>
      <w:r>
        <w:rPr>
          <w:rFonts w:ascii="Times New Roman" w:hAnsi="Times New Roman"/>
          <w:iCs/>
        </w:rPr>
        <w:t xml:space="preserve"> zákona má pozitívne sociálne vplyvy, pozitívne vplyvy na informatizáciu spoločnosti a nemá vplyvy na životné prostredie.</w:t>
      </w:r>
    </w:p>
    <w:p w:rsidR="006E2AF8">
      <w:pPr>
        <w:bidi w:val="0"/>
        <w:jc w:val="both"/>
        <w:rPr>
          <w:rFonts w:ascii="Times New Roman" w:hAnsi="Times New Roman"/>
        </w:rPr>
      </w:pPr>
    </w:p>
    <w:p w:rsidR="006E2AF8">
      <w:pPr>
        <w:bidi w:val="0"/>
        <w:jc w:val="both"/>
        <w:rPr>
          <w:rFonts w:ascii="Times New Roman" w:hAnsi="Times New Roman"/>
        </w:rPr>
      </w:pPr>
    </w:p>
    <w:p w:rsidR="006E2AF8">
      <w:pPr>
        <w:bidi w:val="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6E2AF8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K Čl. I</w:t>
      </w:r>
    </w:p>
    <w:p w:rsidR="006E2AF8">
      <w:pPr>
        <w:bidi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1</w:t>
      </w:r>
    </w:p>
    <w:p w:rsidR="006E2AF8">
      <w:pPr>
        <w:bidi w:val="0"/>
        <w:rPr>
          <w:rFonts w:ascii="Times New Roman" w:eastAsia="Arial Unicode MS" w:hAnsi="Times New Roman"/>
          <w:b/>
        </w:rPr>
      </w:pP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/>
        </w:rPr>
        <w:t>V</w:t>
      </w:r>
      <w:r>
        <w:rPr>
          <w:rFonts w:ascii="Times New Roman" w:hAnsi="Times New Roman"/>
        </w:rPr>
        <w:t> novele zákona sa navrhuje vylúčenie nároku na starobný dôchodok u povinne dôchodkovo poistených štátnych zamestnancov a u povinne dôchodkovo poistených zamestnancov pri výkone práce vo verejnom záujme.</w:t>
      </w:r>
    </w:p>
    <w:p w:rsidR="006E2AF8">
      <w:pPr>
        <w:pStyle w:val="BodyTextIndent2"/>
        <w:bidi w:val="0"/>
      </w:pPr>
    </w:p>
    <w:p w:rsidR="006E2AF8" w:rsidRPr="007D3E84">
      <w:pPr>
        <w:bidi w:val="0"/>
        <w:spacing w:after="240" w:line="276" w:lineRule="auto"/>
        <w:ind w:firstLine="357"/>
        <w:jc w:val="both"/>
        <w:rPr>
          <w:rFonts w:ascii="Times New Roman" w:eastAsia="Arial Unicode MS" w:hAnsi="Times New Roman" w:hint="default"/>
        </w:rPr>
      </w:pPr>
      <w:r w:rsidRPr="007D3E84">
        <w:rPr>
          <w:rFonts w:ascii="Times New Roman" w:eastAsia="Arial Unicode MS" w:hAnsi="Times New Roman" w:hint="default"/>
        </w:rPr>
        <w:t>Podľ</w:t>
      </w:r>
      <w:r w:rsidRPr="007D3E84">
        <w:rPr>
          <w:rFonts w:ascii="Times New Roman" w:eastAsia="Arial Unicode MS" w:hAnsi="Times New Roman" w:hint="default"/>
        </w:rPr>
        <w:t>a ú</w:t>
      </w:r>
      <w:r w:rsidRPr="007D3E84">
        <w:rPr>
          <w:rFonts w:ascii="Times New Roman" w:eastAsia="Arial Unicode MS" w:hAnsi="Times New Roman" w:hint="default"/>
        </w:rPr>
        <w:t>dajov vyž</w:t>
      </w:r>
      <w:r w:rsidRPr="007D3E84">
        <w:rPr>
          <w:rFonts w:ascii="Times New Roman" w:eastAsia="Arial Unicode MS" w:hAnsi="Times New Roman" w:hint="default"/>
        </w:rPr>
        <w:t>iadaný</w:t>
      </w:r>
      <w:r w:rsidRPr="007D3E84">
        <w:rPr>
          <w:rFonts w:ascii="Times New Roman" w:eastAsia="Arial Unicode MS" w:hAnsi="Times New Roman" w:hint="default"/>
        </w:rPr>
        <w:t>ch zo Sociá</w:t>
      </w:r>
      <w:r w:rsidRPr="007D3E84">
        <w:rPr>
          <w:rFonts w:ascii="Times New Roman" w:eastAsia="Arial Unicode MS" w:hAnsi="Times New Roman" w:hint="default"/>
        </w:rPr>
        <w:t>lnej poisť</w:t>
      </w:r>
      <w:r w:rsidRPr="007D3E84">
        <w:rPr>
          <w:rFonts w:ascii="Times New Roman" w:eastAsia="Arial Unicode MS" w:hAnsi="Times New Roman" w:hint="default"/>
        </w:rPr>
        <w:t>ovne v roku 2011 (viď</w:t>
      </w:r>
      <w:r w:rsidRPr="007D3E84">
        <w:rPr>
          <w:rFonts w:ascii="Times New Roman" w:eastAsia="Arial Unicode MS" w:hAnsi="Times New Roman" w:hint="default"/>
        </w:rPr>
        <w:t>. tabuľ</w:t>
      </w:r>
      <w:r w:rsidRPr="007D3E84">
        <w:rPr>
          <w:rFonts w:ascii="Times New Roman" w:eastAsia="Arial Unicode MS" w:hAnsi="Times New Roman" w:hint="default"/>
        </w:rPr>
        <w:t>ka č</w:t>
      </w:r>
      <w:r w:rsidRPr="007D3E84">
        <w:rPr>
          <w:rFonts w:ascii="Times New Roman" w:eastAsia="Arial Unicode MS" w:hAnsi="Times New Roman" w:hint="default"/>
        </w:rPr>
        <w:t>.1) bolo v zamestnane</w:t>
      </w:r>
      <w:r w:rsidRPr="007D3E84">
        <w:rPr>
          <w:rFonts w:ascii="Times New Roman" w:eastAsia="Arial Unicode MS" w:hAnsi="Times New Roman" w:hint="default"/>
        </w:rPr>
        <w:t>ckom pomere 86 </w:t>
      </w:r>
      <w:r w:rsidRPr="007D3E84">
        <w:rPr>
          <w:rFonts w:ascii="Times New Roman" w:eastAsia="Arial Unicode MS" w:hAnsi="Times New Roman" w:hint="default"/>
        </w:rPr>
        <w:t>641 poberateľ</w:t>
      </w:r>
      <w:r w:rsidRPr="007D3E84">
        <w:rPr>
          <w:rFonts w:ascii="Times New Roman" w:eastAsia="Arial Unicode MS" w:hAnsi="Times New Roman" w:hint="default"/>
        </w:rPr>
        <w:t>ov starobné</w:t>
      </w:r>
      <w:r w:rsidRPr="007D3E84">
        <w:rPr>
          <w:rFonts w:ascii="Times New Roman" w:eastAsia="Arial Unicode MS" w:hAnsi="Times New Roman" w:hint="default"/>
        </w:rPr>
        <w:t>ho dô</w:t>
      </w:r>
      <w:r w:rsidRPr="007D3E84">
        <w:rPr>
          <w:rFonts w:ascii="Times New Roman" w:eastAsia="Arial Unicode MS" w:hAnsi="Times New Roman" w:hint="default"/>
        </w:rPr>
        <w:t>chodku vo vekovom rozmedzí</w:t>
      </w:r>
      <w:r w:rsidRPr="007D3E84">
        <w:rPr>
          <w:rFonts w:ascii="Times New Roman" w:eastAsia="Arial Unicode MS" w:hAnsi="Times New Roman" w:hint="default"/>
        </w:rPr>
        <w:t xml:space="preserve"> od 62 do viac ako 86 rokov. Z </w:t>
      </w:r>
      <w:r w:rsidRPr="007D3E84">
        <w:rPr>
          <w:rFonts w:ascii="Times New Roman" w:eastAsia="Arial Unicode MS" w:hAnsi="Times New Roman" w:hint="default"/>
        </w:rPr>
        <w:t>celkové</w:t>
      </w:r>
      <w:r w:rsidRPr="007D3E84">
        <w:rPr>
          <w:rFonts w:ascii="Times New Roman" w:eastAsia="Arial Unicode MS" w:hAnsi="Times New Roman" w:hint="default"/>
        </w:rPr>
        <w:t>ho poč</w:t>
      </w:r>
      <w:r w:rsidRPr="007D3E84">
        <w:rPr>
          <w:rFonts w:ascii="Times New Roman" w:eastAsia="Arial Unicode MS" w:hAnsi="Times New Roman" w:hint="default"/>
        </w:rPr>
        <w:t>tu 86 </w:t>
      </w:r>
      <w:r w:rsidRPr="007D3E84">
        <w:rPr>
          <w:rFonts w:ascii="Times New Roman" w:eastAsia="Arial Unicode MS" w:hAnsi="Times New Roman" w:hint="default"/>
        </w:rPr>
        <w:t>641  poberateľ</w:t>
      </w:r>
      <w:r w:rsidRPr="007D3E84">
        <w:rPr>
          <w:rFonts w:ascii="Times New Roman" w:eastAsia="Arial Unicode MS" w:hAnsi="Times New Roman" w:hint="default"/>
        </w:rPr>
        <w:t>ov starobné</w:t>
      </w:r>
      <w:r w:rsidRPr="007D3E84">
        <w:rPr>
          <w:rFonts w:ascii="Times New Roman" w:eastAsia="Arial Unicode MS" w:hAnsi="Times New Roman" w:hint="default"/>
        </w:rPr>
        <w:t>ho dô</w:t>
      </w:r>
      <w:r w:rsidRPr="007D3E84">
        <w:rPr>
          <w:rFonts w:ascii="Times New Roman" w:eastAsia="Arial Unicode MS" w:hAnsi="Times New Roman" w:hint="default"/>
        </w:rPr>
        <w:t>chodku malo 43 437 osô</w:t>
      </w:r>
      <w:r w:rsidRPr="007D3E84">
        <w:rPr>
          <w:rFonts w:ascii="Times New Roman" w:eastAsia="Arial Unicode MS" w:hAnsi="Times New Roman" w:hint="default"/>
        </w:rPr>
        <w:t>b aj ď</w:t>
      </w:r>
      <w:r w:rsidRPr="007D3E84">
        <w:rPr>
          <w:rFonts w:ascii="Times New Roman" w:eastAsia="Arial Unicode MS" w:hAnsi="Times New Roman" w:hint="default"/>
        </w:rPr>
        <w:t>alší</w:t>
      </w:r>
      <w:r w:rsidRPr="007D3E84">
        <w:rPr>
          <w:rFonts w:ascii="Times New Roman" w:eastAsia="Arial Unicode MS" w:hAnsi="Times New Roman" w:hint="default"/>
        </w:rPr>
        <w:t xml:space="preserve"> prí</w:t>
      </w:r>
      <w:r w:rsidRPr="007D3E84">
        <w:rPr>
          <w:rFonts w:ascii="Times New Roman" w:eastAsia="Arial Unicode MS" w:hAnsi="Times New Roman" w:hint="default"/>
        </w:rPr>
        <w:t>jem z </w:t>
      </w:r>
      <w:r w:rsidRPr="007D3E84">
        <w:rPr>
          <w:rFonts w:ascii="Times New Roman" w:eastAsia="Arial Unicode MS" w:hAnsi="Times New Roman" w:hint="default"/>
        </w:rPr>
        <w:t>dohô</w:t>
      </w:r>
      <w:r w:rsidRPr="007D3E84">
        <w:rPr>
          <w:rFonts w:ascii="Times New Roman" w:eastAsia="Arial Unicode MS" w:hAnsi="Times New Roman" w:hint="default"/>
        </w:rPr>
        <w:t>d o </w:t>
      </w:r>
      <w:r w:rsidRPr="007D3E84">
        <w:rPr>
          <w:rFonts w:ascii="Times New Roman" w:eastAsia="Arial Unicode MS" w:hAnsi="Times New Roman" w:hint="default"/>
        </w:rPr>
        <w:t>vykonaní</w:t>
      </w:r>
      <w:r w:rsidRPr="007D3E84">
        <w:rPr>
          <w:rFonts w:ascii="Times New Roman" w:eastAsia="Arial Unicode MS" w:hAnsi="Times New Roman" w:hint="default"/>
        </w:rPr>
        <w:t xml:space="preserve"> prá</w:t>
      </w:r>
      <w:r w:rsidRPr="007D3E84">
        <w:rPr>
          <w:rFonts w:ascii="Times New Roman" w:eastAsia="Arial Unicode MS" w:hAnsi="Times New Roman" w:hint="default"/>
        </w:rPr>
        <w:t>ce (DoVP),  37 512 osô</w:t>
      </w:r>
      <w:r w:rsidRPr="007D3E84">
        <w:rPr>
          <w:rFonts w:ascii="Times New Roman" w:eastAsia="Arial Unicode MS" w:hAnsi="Times New Roman" w:hint="default"/>
        </w:rPr>
        <w:t>b malo aj prí</w:t>
      </w:r>
      <w:r w:rsidRPr="007D3E84">
        <w:rPr>
          <w:rFonts w:ascii="Times New Roman" w:eastAsia="Arial Unicode MS" w:hAnsi="Times New Roman" w:hint="default"/>
        </w:rPr>
        <w:t>jem zo z</w:t>
      </w:r>
      <w:r w:rsidRPr="007D3E84">
        <w:rPr>
          <w:rFonts w:ascii="Times New Roman" w:eastAsia="Arial Unicode MS" w:hAnsi="Times New Roman" w:hint="default"/>
        </w:rPr>
        <w:t>a</w:t>
      </w:r>
      <w:r w:rsidRPr="007D3E84">
        <w:rPr>
          <w:rFonts w:ascii="Times New Roman" w:eastAsia="Arial Unicode MS" w:hAnsi="Times New Roman" w:hint="default"/>
        </w:rPr>
        <w:t>mestnanecké</w:t>
      </w:r>
      <w:r w:rsidRPr="007D3E84">
        <w:rPr>
          <w:rFonts w:ascii="Times New Roman" w:eastAsia="Arial Unicode MS" w:hAnsi="Times New Roman" w:hint="default"/>
        </w:rPr>
        <w:t>ho pomeru a 5 692 osô</w:t>
      </w:r>
      <w:r w:rsidRPr="007D3E84">
        <w:rPr>
          <w:rFonts w:ascii="Times New Roman" w:eastAsia="Arial Unicode MS" w:hAnsi="Times New Roman" w:hint="default"/>
        </w:rPr>
        <w:t>b malo prí</w:t>
      </w:r>
      <w:r w:rsidRPr="007D3E84">
        <w:rPr>
          <w:rFonts w:ascii="Times New Roman" w:eastAsia="Arial Unicode MS" w:hAnsi="Times New Roman" w:hint="default"/>
        </w:rPr>
        <w:t>jem zo zamestnania aj z DoVP. Z </w:t>
      </w:r>
      <w:r w:rsidRPr="007D3E84">
        <w:rPr>
          <w:rFonts w:ascii="Times New Roman" w:eastAsia="Arial Unicode MS" w:hAnsi="Times New Roman" w:hint="default"/>
        </w:rPr>
        <w:t>tohto celkové</w:t>
      </w:r>
      <w:r w:rsidRPr="007D3E84">
        <w:rPr>
          <w:rFonts w:ascii="Times New Roman" w:eastAsia="Arial Unicode MS" w:hAnsi="Times New Roman" w:hint="default"/>
        </w:rPr>
        <w:t>ho poč</w:t>
      </w:r>
      <w:r w:rsidRPr="007D3E84">
        <w:rPr>
          <w:rFonts w:ascii="Times New Roman" w:eastAsia="Arial Unicode MS" w:hAnsi="Times New Roman" w:hint="default"/>
        </w:rPr>
        <w:t>tu osô</w:t>
      </w:r>
      <w:r w:rsidRPr="007D3E84">
        <w:rPr>
          <w:rFonts w:ascii="Times New Roman" w:eastAsia="Arial Unicode MS" w:hAnsi="Times New Roman" w:hint="default"/>
        </w:rPr>
        <w:t>b bolo približ</w:t>
      </w:r>
      <w:r w:rsidRPr="007D3E84">
        <w:rPr>
          <w:rFonts w:ascii="Times New Roman" w:eastAsia="Arial Unicode MS" w:hAnsi="Times New Roman" w:hint="default"/>
        </w:rPr>
        <w:t xml:space="preserve">ne </w:t>
      </w:r>
      <w:r w:rsidRPr="007D3E84">
        <w:rPr>
          <w:rFonts w:ascii="Times New Roman" w:eastAsia="Arial Unicode MS" w:hAnsi="Times New Roman"/>
          <w:b/>
        </w:rPr>
        <w:t>20 000</w:t>
      </w:r>
      <w:r w:rsidRPr="007D3E84">
        <w:rPr>
          <w:rFonts w:ascii="Times New Roman" w:eastAsia="Arial Unicode MS" w:hAnsi="Times New Roman"/>
        </w:rPr>
        <w:t xml:space="preserve"> zamestnancov v </w:t>
      </w:r>
      <w:r w:rsidRPr="007D3E84">
        <w:rPr>
          <w:rFonts w:ascii="Times New Roman" w:eastAsia="Arial Unicode MS" w:hAnsi="Times New Roman" w:hint="default"/>
        </w:rPr>
        <w:t>š</w:t>
      </w:r>
      <w:r w:rsidRPr="007D3E84">
        <w:rPr>
          <w:rFonts w:ascii="Times New Roman" w:eastAsia="Arial Unicode MS" w:hAnsi="Times New Roman" w:hint="default"/>
        </w:rPr>
        <w:t>tá</w:t>
      </w:r>
      <w:r w:rsidRPr="007D3E84">
        <w:rPr>
          <w:rFonts w:ascii="Times New Roman" w:eastAsia="Arial Unicode MS" w:hAnsi="Times New Roman" w:hint="default"/>
        </w:rPr>
        <w:t>tnej a </w:t>
      </w:r>
      <w:r w:rsidRPr="007D3E84">
        <w:rPr>
          <w:rFonts w:ascii="Times New Roman" w:eastAsia="Arial Unicode MS" w:hAnsi="Times New Roman" w:hint="default"/>
        </w:rPr>
        <w:t>verejnej sprá</w:t>
      </w:r>
      <w:r w:rsidRPr="007D3E84">
        <w:rPr>
          <w:rFonts w:ascii="Times New Roman" w:eastAsia="Arial Unicode MS" w:hAnsi="Times New Roman" w:hint="default"/>
        </w:rPr>
        <w:t>ve, ktorí</w:t>
      </w:r>
      <w:r w:rsidRPr="007D3E84">
        <w:rPr>
          <w:rFonts w:ascii="Times New Roman" w:eastAsia="Arial Unicode MS" w:hAnsi="Times New Roman" w:hint="default"/>
        </w:rPr>
        <w:t xml:space="preserve"> zá</w:t>
      </w:r>
      <w:r w:rsidRPr="007D3E84">
        <w:rPr>
          <w:rFonts w:ascii="Times New Roman" w:eastAsia="Arial Unicode MS" w:hAnsi="Times New Roman" w:hint="default"/>
        </w:rPr>
        <w:t>roveň</w:t>
      </w:r>
      <w:r w:rsidRPr="007D3E84">
        <w:rPr>
          <w:rFonts w:ascii="Times New Roman" w:eastAsia="Arial Unicode MS" w:hAnsi="Times New Roman" w:hint="default"/>
        </w:rPr>
        <w:t xml:space="preserve"> poberali starobný</w:t>
      </w:r>
      <w:r w:rsidRPr="007D3E84">
        <w:rPr>
          <w:rFonts w:ascii="Times New Roman" w:eastAsia="Arial Unicode MS" w:hAnsi="Times New Roman" w:hint="default"/>
        </w:rPr>
        <w:t xml:space="preserve"> dô</w:t>
      </w:r>
      <w:r w:rsidRPr="007D3E84">
        <w:rPr>
          <w:rFonts w:ascii="Times New Roman" w:eastAsia="Arial Unicode MS" w:hAnsi="Times New Roman" w:hint="default"/>
        </w:rPr>
        <w:t>chodok, č</w:t>
      </w:r>
      <w:r w:rsidRPr="007D3E84">
        <w:rPr>
          <w:rFonts w:ascii="Times New Roman" w:eastAsia="Arial Unicode MS" w:hAnsi="Times New Roman" w:hint="default"/>
        </w:rPr>
        <w:t>o predstavuje cca š</w:t>
      </w:r>
      <w:r w:rsidRPr="007D3E84">
        <w:rPr>
          <w:rFonts w:ascii="Times New Roman" w:eastAsia="Arial Unicode MS" w:hAnsi="Times New Roman" w:hint="default"/>
        </w:rPr>
        <w:t>tvrtinu z </w:t>
      </w:r>
      <w:r w:rsidRPr="007D3E84">
        <w:rPr>
          <w:rFonts w:ascii="Times New Roman" w:eastAsia="Arial Unicode MS" w:hAnsi="Times New Roman" w:hint="default"/>
        </w:rPr>
        <w:t>celkové</w:t>
      </w:r>
      <w:r w:rsidRPr="007D3E84">
        <w:rPr>
          <w:rFonts w:ascii="Times New Roman" w:eastAsia="Arial Unicode MS" w:hAnsi="Times New Roman" w:hint="default"/>
        </w:rPr>
        <w:t>ho poč</w:t>
      </w:r>
      <w:r w:rsidRPr="007D3E84">
        <w:rPr>
          <w:rFonts w:ascii="Times New Roman" w:eastAsia="Arial Unicode MS" w:hAnsi="Times New Roman" w:hint="default"/>
        </w:rPr>
        <w:t>tu pob</w:t>
      </w:r>
      <w:r w:rsidRPr="007D3E84">
        <w:rPr>
          <w:rFonts w:ascii="Times New Roman" w:eastAsia="Arial Unicode MS" w:hAnsi="Times New Roman" w:hint="default"/>
        </w:rPr>
        <w:t>erateľ</w:t>
      </w:r>
      <w:r w:rsidRPr="007D3E84">
        <w:rPr>
          <w:rFonts w:ascii="Times New Roman" w:eastAsia="Arial Unicode MS" w:hAnsi="Times New Roman" w:hint="default"/>
        </w:rPr>
        <w:t>ov starobné</w:t>
      </w:r>
      <w:r w:rsidRPr="007D3E84">
        <w:rPr>
          <w:rFonts w:ascii="Times New Roman" w:eastAsia="Arial Unicode MS" w:hAnsi="Times New Roman" w:hint="default"/>
        </w:rPr>
        <w:t>ho dô</w:t>
      </w:r>
      <w:r w:rsidRPr="007D3E84">
        <w:rPr>
          <w:rFonts w:ascii="Times New Roman" w:eastAsia="Arial Unicode MS" w:hAnsi="Times New Roman" w:hint="default"/>
        </w:rPr>
        <w:t>chodku, ktorí</w:t>
      </w:r>
      <w:r w:rsidRPr="007D3E84">
        <w:rPr>
          <w:rFonts w:ascii="Times New Roman" w:eastAsia="Arial Unicode MS" w:hAnsi="Times New Roman" w:hint="default"/>
        </w:rPr>
        <w:t xml:space="preserve"> boli zá</w:t>
      </w:r>
      <w:r w:rsidRPr="007D3E84">
        <w:rPr>
          <w:rFonts w:ascii="Times New Roman" w:eastAsia="Arial Unicode MS" w:hAnsi="Times New Roman" w:hint="default"/>
        </w:rPr>
        <w:t>roveň</w:t>
      </w:r>
      <w:r w:rsidRPr="007D3E84">
        <w:rPr>
          <w:rFonts w:ascii="Times New Roman" w:eastAsia="Arial Unicode MS" w:hAnsi="Times New Roman" w:hint="default"/>
        </w:rPr>
        <w:t xml:space="preserve"> v </w:t>
      </w:r>
      <w:r w:rsidRPr="007D3E84">
        <w:rPr>
          <w:rFonts w:ascii="Times New Roman" w:eastAsia="Arial Unicode MS" w:hAnsi="Times New Roman" w:hint="default"/>
        </w:rPr>
        <w:t>urč</w:t>
      </w:r>
      <w:r w:rsidRPr="007D3E84">
        <w:rPr>
          <w:rFonts w:ascii="Times New Roman" w:eastAsia="Arial Unicode MS" w:hAnsi="Times New Roman" w:hint="default"/>
        </w:rPr>
        <w:t>itom druhu zamestnanecké</w:t>
      </w:r>
      <w:r w:rsidRPr="007D3E84">
        <w:rPr>
          <w:rFonts w:ascii="Times New Roman" w:eastAsia="Arial Unicode MS" w:hAnsi="Times New Roman" w:hint="default"/>
        </w:rPr>
        <w:t>ho pomeru a cca polovicu z </w:t>
      </w:r>
      <w:r w:rsidRPr="007D3E84">
        <w:rPr>
          <w:rFonts w:ascii="Times New Roman" w:eastAsia="Arial Unicode MS" w:hAnsi="Times New Roman" w:hint="default"/>
        </w:rPr>
        <w:t>tý</w:t>
      </w:r>
      <w:r w:rsidRPr="007D3E84">
        <w:rPr>
          <w:rFonts w:ascii="Times New Roman" w:eastAsia="Arial Unicode MS" w:hAnsi="Times New Roman" w:hint="default"/>
        </w:rPr>
        <w:t>ch, ktorí</w:t>
      </w:r>
      <w:r w:rsidRPr="007D3E84">
        <w:rPr>
          <w:rFonts w:ascii="Times New Roman" w:eastAsia="Arial Unicode MS" w:hAnsi="Times New Roman" w:hint="default"/>
        </w:rPr>
        <w:t xml:space="preserve"> mali prí</w:t>
      </w:r>
      <w:r w:rsidRPr="007D3E84">
        <w:rPr>
          <w:rFonts w:ascii="Times New Roman" w:eastAsia="Arial Unicode MS" w:hAnsi="Times New Roman" w:hint="default"/>
        </w:rPr>
        <w:t>jem zo zamestnania na trvalý</w:t>
      </w:r>
      <w:r w:rsidRPr="007D3E84">
        <w:rPr>
          <w:rFonts w:ascii="Times New Roman" w:eastAsia="Arial Unicode MS" w:hAnsi="Times New Roman" w:hint="default"/>
        </w:rPr>
        <w:t xml:space="preserve"> alebo urč</w:t>
      </w:r>
      <w:r w:rsidRPr="007D3E84">
        <w:rPr>
          <w:rFonts w:ascii="Times New Roman" w:eastAsia="Arial Unicode MS" w:hAnsi="Times New Roman" w:hint="default"/>
        </w:rPr>
        <w:t>itý</w:t>
      </w:r>
      <w:r w:rsidRPr="007D3E84">
        <w:rPr>
          <w:rFonts w:ascii="Times New Roman" w:eastAsia="Arial Unicode MS" w:hAnsi="Times New Roman" w:hint="default"/>
        </w:rPr>
        <w:t xml:space="preserve"> pracovný</w:t>
      </w:r>
      <w:r w:rsidRPr="007D3E84">
        <w:rPr>
          <w:rFonts w:ascii="Times New Roman" w:eastAsia="Arial Unicode MS" w:hAnsi="Times New Roman" w:hint="default"/>
        </w:rPr>
        <w:t xml:space="preserve"> pomer.</w:t>
      </w:r>
    </w:p>
    <w:p w:rsidR="006E2AF8">
      <w:pPr>
        <w:bidi w:val="0"/>
        <w:jc w:val="both"/>
        <w:rPr>
          <w:rFonts w:ascii="Times New Roman" w:eastAsia="Arial Unicode MS" w:hAnsi="Times New Roman"/>
        </w:rPr>
      </w:pPr>
    </w:p>
    <w:p w:rsidR="006E2AF8">
      <w:pPr>
        <w:bidi w:val="0"/>
        <w:rPr>
          <w:rFonts w:ascii="Times New Roman" w:eastAsia="Arial Unicode MS" w:hAnsi="Times New Roman"/>
        </w:rPr>
      </w:pPr>
    </w:p>
    <w:p w:rsidR="006E2AF8">
      <w:pPr>
        <w:bidi w:val="0"/>
        <w:rPr>
          <w:rFonts w:ascii="Times New Roman" w:eastAsia="Arial Unicode MS" w:hAnsi="Times New Roman" w:hint="default"/>
          <w:b/>
        </w:rPr>
      </w:pPr>
      <w:r>
        <w:rPr>
          <w:rFonts w:ascii="Times New Roman" w:eastAsia="Arial Unicode MS" w:hAnsi="Times New Roman" w:hint="default"/>
          <w:b/>
        </w:rPr>
        <w:t>Tabuľ</w:t>
      </w:r>
      <w:r>
        <w:rPr>
          <w:rFonts w:ascii="Times New Roman" w:eastAsia="Arial Unicode MS" w:hAnsi="Times New Roman" w:hint="default"/>
          <w:b/>
        </w:rPr>
        <w:t>ka č</w:t>
      </w:r>
      <w:r>
        <w:rPr>
          <w:rFonts w:ascii="Times New Roman" w:eastAsia="Arial Unicode MS" w:hAnsi="Times New Roman" w:hint="default"/>
          <w:b/>
        </w:rPr>
        <w:t>. 1</w:t>
      </w:r>
    </w:p>
    <w:tbl>
      <w:tblPr>
        <w:tblStyle w:val="TableNormal"/>
        <w:tblW w:w="0" w:type="auto"/>
        <w:tblInd w:w="45" w:type="dxa"/>
        <w:tblLayout w:type="fixed"/>
        <w:tblCellMar>
          <w:left w:w="70" w:type="dxa"/>
          <w:right w:w="70" w:type="dxa"/>
        </w:tblCellMar>
      </w:tblPr>
      <w:tblGrid>
        <w:gridCol w:w="1840"/>
        <w:gridCol w:w="1220"/>
        <w:gridCol w:w="1820"/>
        <w:gridCol w:w="1360"/>
        <w:gridCol w:w="1340"/>
      </w:tblGrid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7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poberateľov starobného dôchodku k 31.12.2011 v zamestnaneckom pomere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93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Vekové hranice</w:t>
            </w:r>
          </w:p>
        </w:tc>
        <w:tc>
          <w:tcPr>
            <w:tcW w:w="122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Dôchodcovia s príjmom zo zamestnania</w:t>
            </w:r>
          </w:p>
        </w:tc>
        <w:tc>
          <w:tcPr>
            <w:tcW w:w="182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Dôchodcovia s príjmom z dohôd o vykonaní práce(DoVP)</w:t>
            </w:r>
          </w:p>
        </w:tc>
        <w:tc>
          <w:tcPr>
            <w:tcW w:w="136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Dôchodcovia s príjmom zo zamestnania a DoVP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single" w:sz="8" w:space="0" w:color="000000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Počet spolu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62 rokov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19 873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14 752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2 862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37 487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63 do 65 rokov</w:t>
            </w:r>
          </w:p>
        </w:tc>
        <w:tc>
          <w:tcPr>
            <w:tcW w:w="12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9 820</w:t>
            </w:r>
          </w:p>
        </w:tc>
        <w:tc>
          <w:tcPr>
            <w:tcW w:w="18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10 876</w:t>
            </w:r>
          </w:p>
        </w:tc>
        <w:tc>
          <w:tcPr>
            <w:tcW w:w="13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1 550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22 246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66 do 70 rokov</w:t>
            </w:r>
          </w:p>
        </w:tc>
        <w:tc>
          <w:tcPr>
            <w:tcW w:w="12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5 542</w:t>
            </w:r>
          </w:p>
        </w:tc>
        <w:tc>
          <w:tcPr>
            <w:tcW w:w="18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10 407</w:t>
            </w:r>
          </w:p>
        </w:tc>
        <w:tc>
          <w:tcPr>
            <w:tcW w:w="13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16 867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71 do 75 rokov</w:t>
            </w:r>
          </w:p>
        </w:tc>
        <w:tc>
          <w:tcPr>
            <w:tcW w:w="12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1 654</w:t>
            </w:r>
          </w:p>
        </w:tc>
        <w:tc>
          <w:tcPr>
            <w:tcW w:w="18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4 949</w:t>
            </w:r>
          </w:p>
        </w:tc>
        <w:tc>
          <w:tcPr>
            <w:tcW w:w="13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6 875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76 do 80 rokov</w:t>
            </w:r>
          </w:p>
        </w:tc>
        <w:tc>
          <w:tcPr>
            <w:tcW w:w="12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8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1 879</w:t>
            </w:r>
          </w:p>
        </w:tc>
        <w:tc>
          <w:tcPr>
            <w:tcW w:w="13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2 421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81 do 85 rokov</w:t>
            </w:r>
          </w:p>
        </w:tc>
        <w:tc>
          <w:tcPr>
            <w:tcW w:w="12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82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3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628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86 rokov a viac</w:t>
            </w:r>
          </w:p>
        </w:tc>
        <w:tc>
          <w:tcPr>
            <w:tcW w:w="122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6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37 512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43 437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5 692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86 641</w:t>
            </w:r>
          </w:p>
        </w:tc>
      </w:tr>
    </w:tbl>
    <w:p w:rsidR="006E2AF8">
      <w:pPr>
        <w:bidi w:val="0"/>
        <w:rPr>
          <w:rFonts w:ascii="Times New Roman" w:eastAsia="Arial Unicode MS" w:hAnsi="Times New Roman"/>
          <w:b/>
        </w:rPr>
      </w:pPr>
    </w:p>
    <w:p w:rsidR="006E2AF8">
      <w:pPr>
        <w:bidi w:val="0"/>
        <w:rPr>
          <w:rFonts w:ascii="Times New Roman" w:eastAsia="Arial Unicode MS" w:hAnsi="Times New Roman"/>
        </w:rPr>
      </w:pPr>
    </w:p>
    <w:p w:rsidR="006E2AF8">
      <w:pPr>
        <w:bidi w:val="0"/>
        <w:spacing w:after="240" w:line="276" w:lineRule="auto"/>
        <w:ind w:firstLine="357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Podľ</w:t>
      </w:r>
      <w:r>
        <w:rPr>
          <w:rFonts w:ascii="Times New Roman" w:eastAsia="Arial Unicode MS" w:hAnsi="Times New Roman" w:hint="default"/>
        </w:rPr>
        <w:t>a ú</w:t>
      </w:r>
      <w:r>
        <w:rPr>
          <w:rFonts w:ascii="Times New Roman" w:eastAsia="Arial Unicode MS" w:hAnsi="Times New Roman" w:hint="default"/>
        </w:rPr>
        <w:t>dajov vyž</w:t>
      </w:r>
      <w:r>
        <w:rPr>
          <w:rFonts w:ascii="Times New Roman" w:eastAsia="Arial Unicode MS" w:hAnsi="Times New Roman" w:hint="default"/>
        </w:rPr>
        <w:t>iadaný</w:t>
      </w:r>
      <w:r>
        <w:rPr>
          <w:rFonts w:ascii="Times New Roman" w:eastAsia="Arial Unicode MS" w:hAnsi="Times New Roman" w:hint="default"/>
        </w:rPr>
        <w:t>ch zo Sociá</w:t>
      </w:r>
      <w:r>
        <w:rPr>
          <w:rFonts w:ascii="Times New Roman" w:eastAsia="Arial Unicode MS" w:hAnsi="Times New Roman" w:hint="default"/>
        </w:rPr>
        <w:t>lnej poisť</w:t>
      </w:r>
      <w:r>
        <w:rPr>
          <w:rFonts w:ascii="Times New Roman" w:eastAsia="Arial Unicode MS" w:hAnsi="Times New Roman" w:hint="default"/>
        </w:rPr>
        <w:t>ovne za rok 2011 (viď</w:t>
      </w:r>
      <w:r>
        <w:rPr>
          <w:rFonts w:ascii="Times New Roman" w:eastAsia="Arial Unicode MS" w:hAnsi="Times New Roman" w:hint="default"/>
        </w:rPr>
        <w:t>. tabuľ</w:t>
      </w:r>
      <w:r>
        <w:rPr>
          <w:rFonts w:ascii="Times New Roman" w:eastAsia="Arial Unicode MS" w:hAnsi="Times New Roman" w:hint="default"/>
        </w:rPr>
        <w:t>ka č</w:t>
      </w:r>
      <w:r>
        <w:rPr>
          <w:rFonts w:ascii="Times New Roman" w:eastAsia="Arial Unicode MS" w:hAnsi="Times New Roman" w:hint="default"/>
        </w:rPr>
        <w:t>.2) výš</w:t>
      </w:r>
      <w:r>
        <w:rPr>
          <w:rFonts w:ascii="Times New Roman" w:eastAsia="Arial Unicode MS" w:hAnsi="Times New Roman" w:hint="default"/>
        </w:rPr>
        <w:t>ka priemerné</w:t>
      </w:r>
      <w:r>
        <w:rPr>
          <w:rFonts w:ascii="Times New Roman" w:eastAsia="Arial Unicode MS" w:hAnsi="Times New Roman" w:hint="default"/>
        </w:rPr>
        <w:t>ho starobné</w:t>
      </w:r>
      <w:r>
        <w:rPr>
          <w:rFonts w:ascii="Times New Roman" w:eastAsia="Arial Unicode MS" w:hAnsi="Times New Roman" w:hint="default"/>
        </w:rPr>
        <w:t>ho dô</w:t>
      </w:r>
      <w:r>
        <w:rPr>
          <w:rFonts w:ascii="Times New Roman" w:eastAsia="Arial Unicode MS" w:hAnsi="Times New Roman" w:hint="default"/>
        </w:rPr>
        <w:t>chodku k </w:t>
      </w:r>
      <w:r>
        <w:rPr>
          <w:rFonts w:ascii="Times New Roman" w:eastAsia="Arial Unicode MS" w:hAnsi="Times New Roman" w:hint="default"/>
        </w:rPr>
        <w:t>31.12.2011 poberateľ</w:t>
      </w:r>
      <w:r>
        <w:rPr>
          <w:rFonts w:ascii="Times New Roman" w:eastAsia="Arial Unicode MS" w:hAnsi="Times New Roman" w:hint="default"/>
        </w:rPr>
        <w:t>ov starobné</w:t>
      </w:r>
      <w:r>
        <w:rPr>
          <w:rFonts w:ascii="Times New Roman" w:eastAsia="Arial Unicode MS" w:hAnsi="Times New Roman" w:hint="default"/>
        </w:rPr>
        <w:t>ho dô</w:t>
      </w:r>
      <w:r>
        <w:rPr>
          <w:rFonts w:ascii="Times New Roman" w:eastAsia="Arial Unicode MS" w:hAnsi="Times New Roman" w:hint="default"/>
        </w:rPr>
        <w:t xml:space="preserve">chodku v zamestnaneckom pomere bola </w:t>
      </w:r>
      <w:r>
        <w:rPr>
          <w:rFonts w:ascii="Times New Roman" w:eastAsia="Arial Unicode MS" w:hAnsi="Times New Roman"/>
          <w:b/>
        </w:rPr>
        <w:t>424,24 EUR</w:t>
      </w:r>
      <w:r>
        <w:rPr>
          <w:rFonts w:ascii="Times New Roman" w:eastAsia="Arial Unicode MS" w:hAnsi="Times New Roman" w:hint="default"/>
        </w:rPr>
        <w:t>, prič</w:t>
      </w:r>
      <w:r>
        <w:rPr>
          <w:rFonts w:ascii="Times New Roman" w:eastAsia="Arial Unicode MS" w:hAnsi="Times New Roman" w:hint="default"/>
        </w:rPr>
        <w:t xml:space="preserve">om </w:t>
      </w:r>
      <w:r>
        <w:rPr>
          <w:rFonts w:ascii="Times New Roman" w:eastAsia="Arial Unicode MS" w:hAnsi="Times New Roman" w:hint="default"/>
          <w:b/>
        </w:rPr>
        <w:t>priemerná</w:t>
      </w:r>
      <w:r>
        <w:rPr>
          <w:rFonts w:ascii="Times New Roman" w:eastAsia="Arial Unicode MS" w:hAnsi="Times New Roman" w:hint="default"/>
          <w:b/>
        </w:rPr>
        <w:t xml:space="preserve"> výš</w:t>
      </w:r>
      <w:r>
        <w:rPr>
          <w:rFonts w:ascii="Times New Roman" w:eastAsia="Arial Unicode MS" w:hAnsi="Times New Roman" w:hint="default"/>
          <w:b/>
        </w:rPr>
        <w:t xml:space="preserve">ka </w:t>
      </w:r>
      <w:r>
        <w:rPr>
          <w:rFonts w:ascii="Times New Roman" w:eastAsia="Arial Unicode MS" w:hAnsi="Times New Roman" w:hint="default"/>
        </w:rPr>
        <w:t>starobné</w:t>
      </w:r>
      <w:r>
        <w:rPr>
          <w:rFonts w:ascii="Times New Roman" w:eastAsia="Arial Unicode MS" w:hAnsi="Times New Roman" w:hint="default"/>
        </w:rPr>
        <w:t>ho dô</w:t>
      </w:r>
      <w:r>
        <w:rPr>
          <w:rFonts w:ascii="Times New Roman" w:eastAsia="Arial Unicode MS" w:hAnsi="Times New Roman" w:hint="default"/>
        </w:rPr>
        <w:t>chodku podľ</w:t>
      </w:r>
      <w:r>
        <w:rPr>
          <w:rFonts w:ascii="Times New Roman" w:eastAsia="Arial Unicode MS" w:hAnsi="Times New Roman" w:hint="default"/>
        </w:rPr>
        <w:t>a ú</w:t>
      </w:r>
      <w:r>
        <w:rPr>
          <w:rFonts w:ascii="Times New Roman" w:eastAsia="Arial Unicode MS" w:hAnsi="Times New Roman" w:hint="default"/>
        </w:rPr>
        <w:t>daj</w:t>
      </w:r>
      <w:r>
        <w:rPr>
          <w:rFonts w:ascii="Times New Roman" w:eastAsia="Arial Unicode MS" w:hAnsi="Times New Roman" w:hint="default"/>
        </w:rPr>
        <w:t>ov zo Sociá</w:t>
      </w:r>
      <w:r>
        <w:rPr>
          <w:rFonts w:ascii="Times New Roman" w:eastAsia="Arial Unicode MS" w:hAnsi="Times New Roman" w:hint="default"/>
        </w:rPr>
        <w:t>lnej poisť</w:t>
      </w:r>
      <w:r>
        <w:rPr>
          <w:rFonts w:ascii="Times New Roman" w:eastAsia="Arial Unicode MS" w:hAnsi="Times New Roman" w:hint="default"/>
        </w:rPr>
        <w:t xml:space="preserve">ovne v roku 2011 bola </w:t>
      </w:r>
      <w:r>
        <w:rPr>
          <w:rFonts w:ascii="Times New Roman" w:eastAsia="Arial Unicode MS" w:hAnsi="Times New Roman"/>
          <w:b/>
        </w:rPr>
        <w:t>360,71 EUR</w:t>
      </w:r>
      <w:r>
        <w:rPr>
          <w:rFonts w:ascii="Times New Roman" w:eastAsia="Arial Unicode MS" w:hAnsi="Times New Roman"/>
        </w:rPr>
        <w:t>.  Z </w:t>
      </w:r>
      <w:r>
        <w:rPr>
          <w:rFonts w:ascii="Times New Roman" w:eastAsia="Arial Unicode MS" w:hAnsi="Times New Roman" w:hint="default"/>
        </w:rPr>
        <w:t>tohto ú</w:t>
      </w:r>
      <w:r>
        <w:rPr>
          <w:rFonts w:ascii="Times New Roman" w:eastAsia="Arial Unicode MS" w:hAnsi="Times New Roman" w:hint="default"/>
        </w:rPr>
        <w:t>daja a  </w:t>
      </w:r>
      <w:r>
        <w:rPr>
          <w:rFonts w:ascii="Times New Roman" w:eastAsia="Arial Unicode MS" w:hAnsi="Times New Roman" w:hint="default"/>
        </w:rPr>
        <w:t>dostupný</w:t>
      </w:r>
      <w:r>
        <w:rPr>
          <w:rFonts w:ascii="Times New Roman" w:eastAsia="Arial Unicode MS" w:hAnsi="Times New Roman" w:hint="default"/>
        </w:rPr>
        <w:t>ch š</w:t>
      </w:r>
      <w:r>
        <w:rPr>
          <w:rFonts w:ascii="Times New Roman" w:eastAsia="Arial Unicode MS" w:hAnsi="Times New Roman" w:hint="default"/>
        </w:rPr>
        <w:t>tatistický</w:t>
      </w:r>
      <w:r>
        <w:rPr>
          <w:rFonts w:ascii="Times New Roman" w:eastAsia="Arial Unicode MS" w:hAnsi="Times New Roman" w:hint="default"/>
        </w:rPr>
        <w:t>ch ú</w:t>
      </w:r>
      <w:r>
        <w:rPr>
          <w:rFonts w:ascii="Times New Roman" w:eastAsia="Arial Unicode MS" w:hAnsi="Times New Roman" w:hint="default"/>
        </w:rPr>
        <w:t>dajov (Priemerná</w:t>
      </w:r>
      <w:r>
        <w:rPr>
          <w:rFonts w:ascii="Times New Roman" w:eastAsia="Arial Unicode MS" w:hAnsi="Times New Roman" w:hint="default"/>
        </w:rPr>
        <w:t xml:space="preserve"> mesač</w:t>
      </w: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 xml:space="preserve"> mzda podľ</w:t>
      </w:r>
      <w:r>
        <w:rPr>
          <w:rFonts w:ascii="Times New Roman" w:eastAsia="Arial Unicode MS" w:hAnsi="Times New Roman" w:hint="default"/>
        </w:rPr>
        <w:t>a odvetví</w:t>
      </w:r>
      <w:r>
        <w:rPr>
          <w:rFonts w:ascii="Times New Roman" w:eastAsia="Arial Unicode MS" w:hAnsi="Times New Roman" w:hint="default"/>
        </w:rPr>
        <w:t xml:space="preserve"> v </w:t>
      </w:r>
      <w:r>
        <w:rPr>
          <w:rFonts w:ascii="Times New Roman" w:eastAsia="Arial Unicode MS" w:hAnsi="Times New Roman" w:hint="default"/>
        </w:rPr>
        <w:t>roku 2011, zdroj Š</w:t>
      </w:r>
      <w:r>
        <w:rPr>
          <w:rFonts w:ascii="Times New Roman" w:eastAsia="Arial Unicode MS" w:hAnsi="Times New Roman" w:hint="default"/>
        </w:rPr>
        <w:t>tatistický</w:t>
      </w:r>
      <w:r>
        <w:rPr>
          <w:rFonts w:ascii="Times New Roman" w:eastAsia="Arial Unicode MS" w:hAnsi="Times New Roman" w:hint="default"/>
        </w:rPr>
        <w:t xml:space="preserve"> ú</w:t>
      </w:r>
      <w:r>
        <w:rPr>
          <w:rFonts w:ascii="Times New Roman" w:eastAsia="Arial Unicode MS" w:hAnsi="Times New Roman" w:hint="default"/>
        </w:rPr>
        <w:t>rad SR) v </w:t>
      </w:r>
      <w:r>
        <w:rPr>
          <w:rFonts w:ascii="Times New Roman" w:eastAsia="Arial Unicode MS" w:hAnsi="Times New Roman" w:hint="default"/>
        </w:rPr>
        <w:t>odvetví</w:t>
      </w:r>
      <w:r>
        <w:rPr>
          <w:rFonts w:ascii="Times New Roman" w:eastAsia="Arial Unicode MS" w:hAnsi="Times New Roman" w:hint="default"/>
        </w:rPr>
        <w:t xml:space="preserve"> Verejná</w:t>
      </w:r>
      <w:r>
        <w:rPr>
          <w:rFonts w:ascii="Times New Roman" w:eastAsia="Arial Unicode MS" w:hAnsi="Times New Roman" w:hint="default"/>
        </w:rPr>
        <w:t xml:space="preserve"> sprá</w:t>
      </w:r>
      <w:r>
        <w:rPr>
          <w:rFonts w:ascii="Times New Roman" w:eastAsia="Arial Unicode MS" w:hAnsi="Times New Roman" w:hint="default"/>
        </w:rPr>
        <w:t>va a obrana, povin. sociá</w:t>
      </w:r>
      <w:r>
        <w:rPr>
          <w:rFonts w:ascii="Times New Roman" w:eastAsia="Arial Unicode MS" w:hAnsi="Times New Roman" w:hint="default"/>
        </w:rPr>
        <w:t>lne zabezpeč</w:t>
      </w:r>
      <w:r>
        <w:rPr>
          <w:rFonts w:ascii="Times New Roman" w:eastAsia="Arial Unicode MS" w:hAnsi="Times New Roman" w:hint="default"/>
        </w:rPr>
        <w:t>enie bola prie</w:t>
      </w:r>
      <w:r>
        <w:rPr>
          <w:rFonts w:ascii="Times New Roman" w:eastAsia="Arial Unicode MS" w:hAnsi="Times New Roman" w:hint="default"/>
        </w:rPr>
        <w:t>merná</w:t>
      </w:r>
      <w:r>
        <w:rPr>
          <w:rFonts w:ascii="Times New Roman" w:eastAsia="Arial Unicode MS" w:hAnsi="Times New Roman" w:hint="default"/>
        </w:rPr>
        <w:t xml:space="preserve"> mzda v roku 2011 </w:t>
      </w:r>
      <w:r>
        <w:rPr>
          <w:rFonts w:ascii="Times New Roman" w:eastAsia="Arial Unicode MS" w:hAnsi="Times New Roman"/>
          <w:b/>
        </w:rPr>
        <w:t>980 EUR</w:t>
      </w:r>
      <w:r>
        <w:rPr>
          <w:rFonts w:ascii="Times New Roman" w:eastAsia="Arial Unicode MS" w:hAnsi="Times New Roman" w:hint="default"/>
        </w:rPr>
        <w:t xml:space="preserve"> č</w:t>
      </w:r>
      <w:r>
        <w:rPr>
          <w:rFonts w:ascii="Times New Roman" w:eastAsia="Arial Unicode MS" w:hAnsi="Times New Roman" w:hint="default"/>
        </w:rPr>
        <w:t>o je vý</w:t>
      </w:r>
      <w:r>
        <w:rPr>
          <w:rFonts w:ascii="Times New Roman" w:eastAsia="Arial Unicode MS" w:hAnsi="Times New Roman" w:hint="default"/>
        </w:rPr>
        <w:t>razne vyšš</w:t>
      </w:r>
      <w:r>
        <w:rPr>
          <w:rFonts w:ascii="Times New Roman" w:eastAsia="Arial Unicode MS" w:hAnsi="Times New Roman" w:hint="default"/>
        </w:rPr>
        <w:t>ia ako priemerná</w:t>
      </w:r>
      <w:r>
        <w:rPr>
          <w:rFonts w:ascii="Times New Roman" w:eastAsia="Arial Unicode MS" w:hAnsi="Times New Roman" w:hint="default"/>
        </w:rPr>
        <w:t xml:space="preserve"> mesač</w:t>
      </w: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 xml:space="preserve"> mzda v </w:t>
      </w:r>
      <w:r>
        <w:rPr>
          <w:rFonts w:ascii="Times New Roman" w:eastAsia="Arial Unicode MS" w:hAnsi="Times New Roman" w:hint="default"/>
        </w:rPr>
        <w:t>hospodá</w:t>
      </w:r>
      <w:r>
        <w:rPr>
          <w:rFonts w:ascii="Times New Roman" w:eastAsia="Arial Unicode MS" w:hAnsi="Times New Roman" w:hint="default"/>
        </w:rPr>
        <w:t xml:space="preserve">rstve za rok 2011.  </w:t>
      </w:r>
    </w:p>
    <w:p w:rsidR="006E2AF8">
      <w:pPr>
        <w:bidi w:val="0"/>
        <w:rPr>
          <w:rFonts w:ascii="Times New Roman" w:eastAsia="Arial Unicode MS" w:hAnsi="Times New Roman"/>
          <w:b/>
        </w:rPr>
      </w:pPr>
    </w:p>
    <w:p w:rsidR="006E2AF8">
      <w:pPr>
        <w:bidi w:val="0"/>
        <w:rPr>
          <w:rFonts w:ascii="Times New Roman" w:eastAsia="Arial Unicode MS" w:hAnsi="Times New Roman" w:hint="default"/>
          <w:b/>
        </w:rPr>
      </w:pPr>
      <w:r>
        <w:rPr>
          <w:rFonts w:ascii="Times New Roman" w:eastAsia="Arial Unicode MS" w:hAnsi="Times New Roman" w:hint="default"/>
          <w:b/>
        </w:rPr>
        <w:t>Tabuľ</w:t>
      </w:r>
      <w:r>
        <w:rPr>
          <w:rFonts w:ascii="Times New Roman" w:eastAsia="Arial Unicode MS" w:hAnsi="Times New Roman" w:hint="default"/>
          <w:b/>
        </w:rPr>
        <w:t>ka č</w:t>
      </w:r>
      <w:r>
        <w:rPr>
          <w:rFonts w:ascii="Times New Roman" w:eastAsia="Arial Unicode MS" w:hAnsi="Times New Roman" w:hint="default"/>
          <w:b/>
        </w:rPr>
        <w:t>. 2</w:t>
      </w:r>
    </w:p>
    <w:tbl>
      <w:tblPr>
        <w:tblStyle w:val="TableNormal"/>
        <w:tblW w:w="0" w:type="auto"/>
        <w:tblInd w:w="45" w:type="dxa"/>
        <w:tblLayout w:type="fixed"/>
        <w:tblCellMar>
          <w:left w:w="70" w:type="dxa"/>
          <w:right w:w="70" w:type="dxa"/>
        </w:tblCellMar>
      </w:tblPr>
      <w:tblGrid>
        <w:gridCol w:w="1840"/>
        <w:gridCol w:w="1340"/>
        <w:gridCol w:w="1560"/>
        <w:gridCol w:w="1500"/>
        <w:gridCol w:w="1308"/>
      </w:tblGrid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750"/>
        </w:trPr>
        <w:tc>
          <w:tcPr>
            <w:tcW w:w="7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Výška priemerného starobného dôchodku k 31.12.2011 poberateľov starobného dôchodku v zamestnaneckom pomere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96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Vekové hranice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Dôchodcovia s príjmom zo zamestnania</w:t>
            </w:r>
          </w:p>
        </w:tc>
        <w:tc>
          <w:tcPr>
            <w:tcW w:w="1560" w:type="dxa"/>
            <w:tcBorders>
              <w:top w:val="none" w:sz="0" w:space="0" w:color="auto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Dôchodcovia s príjmom zdohôd o vykonaní práce(DoVP)</w:t>
            </w:r>
          </w:p>
        </w:tc>
        <w:tc>
          <w:tcPr>
            <w:tcW w:w="1500" w:type="dxa"/>
            <w:tcBorders>
              <w:top w:val="none" w:sz="0" w:space="0" w:color="auto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Dôchodcovia s príjmom zo zamestnania a DoVP</w:t>
            </w:r>
          </w:p>
        </w:tc>
        <w:tc>
          <w:tcPr>
            <w:tcW w:w="1308" w:type="dxa"/>
            <w:tcBorders>
              <w:top w:val="none" w:sz="0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6E2AF8">
            <w:pPr>
              <w:bidi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Priemerný dôchodok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62 rokov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398,37</w:t>
            </w:r>
          </w:p>
        </w:tc>
        <w:tc>
          <w:tcPr>
            <w:tcW w:w="15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360,35</w:t>
            </w:r>
          </w:p>
        </w:tc>
        <w:tc>
          <w:tcPr>
            <w:tcW w:w="150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430,06</w:t>
            </w:r>
          </w:p>
        </w:tc>
        <w:tc>
          <w:tcPr>
            <w:tcW w:w="1308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385,83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63 do 65 rokov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496,05</w:t>
            </w:r>
          </w:p>
        </w:tc>
        <w:tc>
          <w:tcPr>
            <w:tcW w:w="15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424,72</w:t>
            </w:r>
          </w:p>
        </w:tc>
        <w:tc>
          <w:tcPr>
            <w:tcW w:w="150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527,11</w:t>
            </w:r>
          </w:p>
        </w:tc>
        <w:tc>
          <w:tcPr>
            <w:tcW w:w="1308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463,34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66 do 70 rokov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512,89</w:t>
            </w:r>
          </w:p>
        </w:tc>
        <w:tc>
          <w:tcPr>
            <w:tcW w:w="15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422,23</w:t>
            </w:r>
          </w:p>
        </w:tc>
        <w:tc>
          <w:tcPr>
            <w:tcW w:w="150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569,78</w:t>
            </w:r>
          </w:p>
        </w:tc>
        <w:tc>
          <w:tcPr>
            <w:tcW w:w="1308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460,05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71 do 75 rokov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499,63</w:t>
            </w:r>
          </w:p>
        </w:tc>
        <w:tc>
          <w:tcPr>
            <w:tcW w:w="15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387,01</w:t>
            </w:r>
          </w:p>
        </w:tc>
        <w:tc>
          <w:tcPr>
            <w:tcW w:w="150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574,59</w:t>
            </w:r>
          </w:p>
        </w:tc>
        <w:tc>
          <w:tcPr>
            <w:tcW w:w="1308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421,53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76 do 80 rokov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489,93</w:t>
            </w:r>
          </w:p>
        </w:tc>
        <w:tc>
          <w:tcPr>
            <w:tcW w:w="15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377,10</w:t>
            </w:r>
          </w:p>
        </w:tc>
        <w:tc>
          <w:tcPr>
            <w:tcW w:w="150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620,18</w:t>
            </w:r>
          </w:p>
        </w:tc>
        <w:tc>
          <w:tcPr>
            <w:tcW w:w="1308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406,18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81 do 85 rokov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487,54</w:t>
            </w:r>
          </w:p>
        </w:tc>
        <w:tc>
          <w:tcPr>
            <w:tcW w:w="156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388,76</w:t>
            </w:r>
          </w:p>
        </w:tc>
        <w:tc>
          <w:tcPr>
            <w:tcW w:w="150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621,25</w:t>
            </w:r>
          </w:p>
        </w:tc>
        <w:tc>
          <w:tcPr>
            <w:tcW w:w="1308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413,61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840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86 rokov a viac</w:t>
            </w:r>
          </w:p>
        </w:tc>
        <w:tc>
          <w:tcPr>
            <w:tcW w:w="134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521,53</w:t>
            </w:r>
          </w:p>
        </w:tc>
        <w:tc>
          <w:tcPr>
            <w:tcW w:w="156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422,18</w:t>
            </w:r>
          </w:p>
        </w:tc>
        <w:tc>
          <w:tcPr>
            <w:tcW w:w="1500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415,00</w:t>
            </w:r>
          </w:p>
        </w:tc>
        <w:tc>
          <w:tcPr>
            <w:tcW w:w="1308" w:type="dxa"/>
            <w:tcBorders>
              <w:top w:val="none" w:sz="0" w:space="0" w:color="auto"/>
              <w:left w:val="single" w:sz="8" w:space="0" w:color="000000"/>
              <w:bottom w:val="none" w:sz="0" w:space="0" w:color="auto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450,93</w:t>
            </w:r>
          </w:p>
        </w:tc>
      </w:tr>
      <w:tr>
        <w:tblPrEx>
          <w:tblW w:w="0" w:type="auto"/>
          <w:tblInd w:w="4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Priemer spolu: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448,83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394,99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490,48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bottom"/>
          </w:tcPr>
          <w:p w:rsidR="006E2AF8">
            <w:pPr>
              <w:bidi w:val="0"/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424,24</w:t>
            </w:r>
          </w:p>
        </w:tc>
      </w:tr>
    </w:tbl>
    <w:p w:rsidR="006E2AF8">
      <w:pPr>
        <w:bidi w:val="0"/>
        <w:rPr>
          <w:rFonts w:ascii="Times New Roman" w:hAnsi="Times New Roman"/>
        </w:rPr>
      </w:pP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</w:rPr>
      </w:pP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</w:t>
      </w:r>
      <w:r>
        <w:rPr>
          <w:rFonts w:ascii="Times New Roman" w:hAnsi="Times New Roman"/>
          <w:b/>
        </w:rPr>
        <w:t xml:space="preserve"> Správy </w:t>
      </w:r>
      <w:r>
        <w:rPr>
          <w:rFonts w:ascii="Times New Roman" w:hAnsi="Times New Roman"/>
        </w:rPr>
        <w:t xml:space="preserve"> o sociálnej situácii obyvateľstva Slovenskej republiky za rok 2011</w:t>
      </w:r>
      <w:r>
        <w:rPr>
          <w:rFonts w:ascii="Times New Roman" w:hAnsi="Times New Roman"/>
          <w:b/>
        </w:rPr>
        <w:t xml:space="preserve"> (zdroj: MPSVaR SR,  jún 2012) </w:t>
      </w:r>
      <w:r>
        <w:rPr>
          <w:rFonts w:ascii="Times New Roman" w:hAnsi="Times New Roman"/>
        </w:rPr>
        <w:t>sa počet nezamestnaných v SR medziročne znížil o 21,1 tis. osôb, resp. o 5,4 % na 367,9 tis. osôb. Priemerná miera nezamestnanosti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dosiahla úroveň 13,5 % a medziročne poklesla o 0,9 p. b., pričom počas prvých troch štvrťrokov postupne klesala a následne v 4. štvrťroku sa zvýšila. Podľa údajov Štatistického úradu v prvom až treťom štvrťroku roku 2012 nezamestnanosť medziročne vzrástla o 3,7% na 373.2 tis. osôb a miera nezamestnanosti sa zvýšila na 13,8%. </w:t>
      </w: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Podľa štatistickej klasifikácie ekonomických činností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zdroj: Správa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i/>
        </w:rPr>
        <w:t xml:space="preserve"> o sociálnej situácii obyvateľstva Slovenskej republiky za rok 2011</w:t>
      </w:r>
      <w:r>
        <w:rPr>
          <w:rFonts w:ascii="Times New Roman" w:hAnsi="Times New Roman"/>
          <w:b/>
        </w:rPr>
        <w:t xml:space="preserve"> ) </w:t>
      </w:r>
      <w:r>
        <w:rPr>
          <w:rFonts w:ascii="Times New Roman" w:hAnsi="Times New Roman"/>
        </w:rPr>
        <w:t xml:space="preserve"> ku koncu roka 2011 úrady práce zo všetkých uchádzačov o zamestnanie zaevidovali 12,25 % uchádzačov o zamestnanie  z odvetvia verejná správa a obrana, povinné sociálne zabezpečenie. To znamená, že približne 45 000 uchádzačov o zamestnanie spĺňalo predpoklady pre prácu v štátnej a verejnej správe.</w:t>
      </w:r>
    </w:p>
    <w:p w:rsidR="006E2AF8">
      <w:pPr>
        <w:bidi w:val="0"/>
        <w:spacing w:after="240" w:line="276" w:lineRule="auto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uvedených štatistických údajov a analýz v dôvodovej správe vyplýva, že o každé pracovné miesto v štátnej a verejnej správe na pozícii, ktorého je pracujúci dôchodca  majú záujem dvaja uchádzači o zamestnanie.</w:t>
      </w:r>
    </w:p>
    <w:p w:rsidR="007D3E84">
      <w:pPr>
        <w:bidi w:val="0"/>
        <w:spacing w:after="240" w:line="276" w:lineRule="auto"/>
        <w:ind w:firstLine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 prípade, ak by sa 20 000 pracujúcich dôchodcov </w:t>
      </w:r>
      <w:r w:rsidR="00162716">
        <w:rPr>
          <w:rFonts w:ascii="Times New Roman" w:hAnsi="Times New Roman"/>
        </w:rPr>
        <w:t>v štátnej a verejnej správe poberajúcich zároveň starobný dôchodok rozhodlo zostať len v zamestnaneckom pomere, úspora v Základnom fonde sociálneho poistenia SP pri priemernom dôchodku 424,24</w:t>
      </w:r>
      <w:r w:rsidR="0048734F">
        <w:rPr>
          <w:rFonts w:ascii="Times New Roman" w:hAnsi="Times New Roman"/>
        </w:rPr>
        <w:t xml:space="preserve"> EUR</w:t>
      </w:r>
      <w:r w:rsidR="00162716">
        <w:rPr>
          <w:rFonts w:ascii="Times New Roman" w:hAnsi="Times New Roman"/>
        </w:rPr>
        <w:t xml:space="preserve"> (tabuľka č.2) by bola od účinnosti návrhu pre rok 2013  </w:t>
      </w:r>
      <w:r w:rsidRPr="00162716" w:rsidR="00162716">
        <w:rPr>
          <w:rFonts w:ascii="Times New Roman" w:hAnsi="Times New Roman"/>
          <w:b/>
        </w:rPr>
        <w:t>67 878 400 EUR</w:t>
      </w:r>
      <w:r w:rsidR="00162716">
        <w:rPr>
          <w:rFonts w:ascii="Times New Roman" w:hAnsi="Times New Roman"/>
          <w:b/>
        </w:rPr>
        <w:t>.</w:t>
      </w:r>
    </w:p>
    <w:p w:rsidR="00162716" w:rsidP="0048734F">
      <w:pPr>
        <w:bidi w:val="0"/>
        <w:spacing w:after="240" w:line="276" w:lineRule="auto"/>
        <w:ind w:firstLine="357"/>
        <w:jc w:val="both"/>
        <w:rPr>
          <w:rFonts w:ascii="Times New Roman" w:hAnsi="Times New Roman"/>
          <w:b/>
        </w:rPr>
      </w:pPr>
      <w:r w:rsidR="0048734F">
        <w:rPr>
          <w:rFonts w:ascii="Times New Roman" w:hAnsi="Times New Roman"/>
        </w:rPr>
        <w:t>V prípade, a</w:t>
      </w:r>
      <w:r w:rsidRPr="00162716">
        <w:rPr>
          <w:rFonts w:ascii="Times New Roman" w:hAnsi="Times New Roman"/>
        </w:rPr>
        <w:t xml:space="preserve">k by </w:t>
      </w:r>
      <w:r w:rsidR="0048734F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</w:t>
      </w:r>
      <w:r w:rsidR="0048734F">
        <w:rPr>
          <w:rFonts w:ascii="Times New Roman" w:hAnsi="Times New Roman"/>
        </w:rPr>
        <w:t xml:space="preserve">rozhodlo v zamestnaneckom pomere </w:t>
      </w:r>
      <w:r>
        <w:rPr>
          <w:rFonts w:ascii="Times New Roman" w:hAnsi="Times New Roman"/>
        </w:rPr>
        <w:t>z počtu 20 000 pracujúcich dôchodcov v štátnej a verejnej správe poberajúcich zároveň starobný dôchodok zostať len tretina, teda 6667 pracujúcich dôchodcov, úspora v Základnom fonde sociálneho poistenia SP pri priemernom dôchodku 424,24</w:t>
      </w:r>
      <w:r w:rsidR="0048734F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t xml:space="preserve"> (tabuľka č.2) by bola od účinnosti návrhu pre rok 2013 </w:t>
      </w:r>
      <w:r w:rsidRPr="00162716">
        <w:rPr>
          <w:rFonts w:ascii="Times New Roman" w:hAnsi="Times New Roman"/>
          <w:b/>
        </w:rPr>
        <w:t>22 627 264 EUR</w:t>
      </w:r>
      <w:r>
        <w:rPr>
          <w:rFonts w:ascii="Times New Roman" w:hAnsi="Times New Roman"/>
          <w:b/>
        </w:rPr>
        <w:t>.</w:t>
      </w:r>
    </w:p>
    <w:p w:rsidR="008B1DA8" w:rsidRPr="008B1DA8" w:rsidP="0048734F">
      <w:pPr>
        <w:bidi w:val="0"/>
        <w:spacing w:after="240" w:line="276" w:lineRule="auto"/>
        <w:ind w:firstLine="357"/>
        <w:jc w:val="both"/>
        <w:rPr>
          <w:rFonts w:ascii="Times New Roman" w:hAnsi="Times New Roman"/>
          <w:b/>
        </w:rPr>
      </w:pPr>
      <w:r w:rsidRPr="0077286F">
        <w:rPr>
          <w:rFonts w:ascii="Times New Roman" w:hAnsi="Times New Roman"/>
        </w:rPr>
        <w:t>Úspora verejných  prostriedkov na vyplácanie dávky v</w:t>
      </w:r>
      <w:r>
        <w:rPr>
          <w:rFonts w:ascii="Times New Roman" w:hAnsi="Times New Roman"/>
        </w:rPr>
        <w:t> </w:t>
      </w:r>
      <w:r w:rsidRPr="0077286F">
        <w:rPr>
          <w:rFonts w:ascii="Times New Roman" w:hAnsi="Times New Roman"/>
        </w:rPr>
        <w:t>nezamestnanosti</w:t>
      </w:r>
      <w:r>
        <w:rPr>
          <w:rFonts w:ascii="Times New Roman" w:hAnsi="Times New Roman"/>
        </w:rPr>
        <w:t xml:space="preserve"> pre 20 000 uchádzačov o zamestnanie, ktorí sa uchádzajú o prácu v odvetví štátna a verejná správa </w:t>
      </w:r>
      <w:r w:rsidRPr="008B1DA8">
        <w:rPr>
          <w:rFonts w:ascii="Times New Roman" w:hAnsi="Times New Roman"/>
          <w:i/>
        </w:rPr>
        <w:t>(zdroj: Správa  o sociálnej situácii obyvateľstva Slovenskej republiky za rok 2011</w:t>
      </w:r>
      <w:r>
        <w:rPr>
          <w:rFonts w:ascii="Times New Roman" w:hAnsi="Times New Roman"/>
        </w:rPr>
        <w:t xml:space="preserve">) by bola od účinnosti návrhu pre rok 2013 </w:t>
      </w:r>
      <w:r w:rsidRPr="008B1DA8">
        <w:rPr>
          <w:rFonts w:ascii="Times New Roman" w:hAnsi="Times New Roman"/>
          <w:b/>
        </w:rPr>
        <w:t>38 400 000 EUR.</w:t>
      </w:r>
    </w:p>
    <w:p w:rsidR="006E2AF8">
      <w:pPr>
        <w:pStyle w:val="Heading3"/>
        <w:tabs>
          <w:tab w:val="center" w:pos="4536"/>
        </w:tabs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K bodu 2</w:t>
      </w:r>
    </w:p>
    <w:p w:rsidR="006E2AF8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súvislosti s navrhovanou zmenou upravené prechodné ustanovenia.</w:t>
      </w:r>
    </w:p>
    <w:p w:rsidR="006E2AF8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6E2AF8">
      <w:pPr>
        <w:bidi w:val="0"/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 Čl. II</w:t>
      </w:r>
    </w:p>
    <w:p w:rsidR="006E2AF8">
      <w:pPr>
        <w:bidi w:val="0"/>
        <w:jc w:val="both"/>
        <w:rPr>
          <w:rFonts w:ascii="Times New Roman" w:hAnsi="Times New Roman"/>
          <w:b/>
          <w:bCs/>
          <w:sz w:val="26"/>
        </w:rPr>
      </w:pPr>
    </w:p>
    <w:p w:rsidR="006E2AF8">
      <w:pPr>
        <w:tabs>
          <w:tab w:val="left" w:pos="7140"/>
        </w:tabs>
        <w:bidi w:val="0"/>
        <w:spacing w:line="276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Navrhuje sa, aby zákon nadobudol účinnosť dňom 1. mája 2013.</w:t>
        <w:tab/>
      </w:r>
    </w:p>
    <w:p w:rsidR="006E2AF8">
      <w:pPr>
        <w:bidi w:val="0"/>
        <w:jc w:val="center"/>
        <w:rPr>
          <w:rFonts w:ascii="Times New Roman" w:hAnsi="Times New Roman"/>
        </w:rPr>
      </w:pPr>
    </w:p>
    <w:p w:rsidR="006E2AF8">
      <w:pPr>
        <w:bidi w:val="0"/>
        <w:rPr>
          <w:rFonts w:ascii="Times New Roman" w:hAnsi="Times New Roman"/>
        </w:rPr>
      </w:pPr>
    </w:p>
    <w:sectPr>
      <w:footerReference w:type="default" r:id="rId4"/>
      <w:footnotePr>
        <w:pos w:val="beneathText"/>
      </w:footnote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A77D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E2A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35AD"/>
    <w:rsid w:val="00117F07"/>
    <w:rsid w:val="00162716"/>
    <w:rsid w:val="001F4FA7"/>
    <w:rsid w:val="002435AD"/>
    <w:rsid w:val="0048734F"/>
    <w:rsid w:val="004A77D1"/>
    <w:rsid w:val="006C4AE4"/>
    <w:rsid w:val="006E2AF8"/>
    <w:rsid w:val="0077286F"/>
    <w:rsid w:val="007D3E84"/>
    <w:rsid w:val="00803A91"/>
    <w:rsid w:val="008B1DA8"/>
    <w:rsid w:val="009A0182"/>
    <w:rsid w:val="00A2168E"/>
    <w:rsid w:val="00A80FA3"/>
    <w:rsid w:val="00B765A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BodyText"/>
    <w:qFormat/>
    <w:pPr>
      <w:spacing w:before="280" w:after="280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 w:val="0"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sz w:val="26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sz w:val="26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sz w:val="26"/>
    </w:rPr>
  </w:style>
  <w:style w:type="character" w:customStyle="1" w:styleId="WW8Num19z0">
    <w:name w:val="WW8Num19z0"/>
    <w:rPr>
      <w:sz w:val="2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Hyperlink">
    <w:name w:val="Hyperlink"/>
    <w:semiHidden/>
    <w:rPr>
      <w:b/>
      <w:strike w:val="0"/>
      <w:dstrike w:val="0"/>
      <w:color w:val="00204E"/>
      <w:u w:val="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ZarkazkladnhotextuChar">
    <w:name w:val="Zarážka základného textu Char"/>
    <w:rPr>
      <w:sz w:val="24"/>
    </w:rPr>
  </w:style>
  <w:style w:type="character" w:customStyle="1" w:styleId="vodnvetaChar">
    <w:name w:val="úvodná veta Char"/>
    <w:rPr>
      <w:sz w:val="24"/>
    </w:rPr>
  </w:style>
  <w:style w:type="character" w:styleId="PlaceholderText">
    <w:name w:val="Placeholder Text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rPr>
      <w:sz w:val="24"/>
    </w:rPr>
  </w:style>
  <w:style w:type="character" w:customStyle="1" w:styleId="PtaChar">
    <w:name w:val="Päta Char"/>
    <w:rPr>
      <w:sz w:val="24"/>
    </w:rPr>
  </w:style>
  <w:style w:type="character" w:customStyle="1" w:styleId="Nadpis6Char">
    <w:name w:val="Nadpis 6 Char"/>
    <w:rPr>
      <w:b/>
      <w:sz w:val="24"/>
    </w:rPr>
  </w:style>
  <w:style w:type="character" w:customStyle="1" w:styleId="Nadpis7Char">
    <w:name w:val="Nadpis 7 Char"/>
    <w:rPr>
      <w:b/>
      <w:sz w:val="22"/>
    </w:rPr>
  </w:style>
  <w:style w:type="character" w:customStyle="1" w:styleId="123Char">
    <w:name w:val="123 Char"/>
    <w:rPr>
      <w:b/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semiHidden/>
    <w:pPr>
      <w:jc w:val="both"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Normlnywebov1">
    <w:name w:val="Normálny (webový)1"/>
    <w:basedOn w:val="Normal"/>
    <w:pPr>
      <w:spacing w:before="280" w:after="280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Zarkazkladnhotextu21">
    <w:name w:val="Zarážka základného textu 21"/>
    <w:basedOn w:val="Normal"/>
    <w:pPr>
      <w:tabs>
        <w:tab w:val="left" w:pos="0"/>
      </w:tabs>
      <w:ind w:left="708"/>
      <w:jc w:val="both"/>
    </w:pPr>
    <w:rPr>
      <w:sz w:val="26"/>
    </w:rPr>
  </w:style>
  <w:style w:type="paragraph" w:customStyle="1" w:styleId="Zarkazkladnhotextu31">
    <w:name w:val="Zarážka základného textu 31"/>
    <w:basedOn w:val="Normal"/>
    <w:pPr>
      <w:ind w:firstLine="348"/>
      <w:jc w:val="both"/>
    </w:pPr>
    <w:rPr>
      <w:sz w:val="26"/>
    </w:rPr>
  </w:style>
  <w:style w:type="paragraph" w:customStyle="1" w:styleId="truktradokumentu1">
    <w:name w:val="Štruktúra dokumentu1"/>
    <w:basedOn w:val="Normal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Zkladntext31">
    <w:name w:val="Základný text 31"/>
    <w:basedOn w:val="Normal"/>
    <w:pPr>
      <w:spacing w:before="120" w:line="360" w:lineRule="auto"/>
      <w:jc w:val="both"/>
    </w:pPr>
    <w:rPr>
      <w:sz w:val="26"/>
      <w:szCs w:val="22"/>
    </w:rPr>
  </w:style>
  <w:style w:type="paragraph" w:customStyle="1" w:styleId="vodnveta">
    <w:name w:val="úvodná veta"/>
    <w:basedOn w:val="Normal"/>
    <w:next w:val="NoSpacing"/>
    <w:pPr>
      <w:numPr>
        <w:numId w:val="2"/>
      </w:numPr>
      <w:tabs>
        <w:tab w:val="num" w:pos="0"/>
      </w:tabs>
      <w:jc w:val="both"/>
    </w:pPr>
  </w:style>
  <w:style w:type="paragraph" w:styleId="NoSpacing">
    <w:name w:val="No Spacing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" w:hAnsi="Times New Roman" w:cs="Times New Roman"/>
      <w:sz w:val="24"/>
      <w:szCs w:val="24"/>
      <w:rtl w:val="0"/>
      <w:cs w:val="0"/>
      <w:lang w:val="sk-SK" w:eastAsia="ar-SA" w:bidi="ar-SA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customStyle="1" w:styleId="123">
    <w:name w:val="123"/>
    <w:basedOn w:val="ListParagraph"/>
    <w:pPr>
      <w:spacing w:before="240" w:after="60"/>
      <w:ind w:left="0"/>
      <w:jc w:val="both"/>
    </w:pPr>
    <w:rPr>
      <w:b/>
      <w:sz w:val="22"/>
      <w:szCs w:val="22"/>
    </w:rPr>
  </w:style>
  <w:style w:type="paragraph" w:customStyle="1" w:styleId="TableContents">
    <w:name w:val="Table Contents"/>
    <w:basedOn w:val="Normal"/>
    <w:pPr>
      <w:suppressLineNumbers/>
      <w:jc w:val="lef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2">
    <w:name w:val="Body Text Indent 2"/>
    <w:basedOn w:val="Normal"/>
    <w:semiHidden/>
    <w:pPr>
      <w:spacing w:line="276" w:lineRule="auto"/>
      <w:ind w:firstLine="708"/>
      <w:jc w:val="both"/>
    </w:pPr>
    <w:rPr>
      <w:rFonts w:ascii="Times New Roman" w:eastAsia="Arial Unicode MS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1112</Words>
  <Characters>6345</Characters>
  <Application>Microsoft Office Word</Application>
  <DocSecurity>0</DocSecurity>
  <Lines>0</Lines>
  <Paragraphs>0</Paragraphs>
  <ScaleCrop>false</ScaleCrop>
  <Company>Kancelaria NR SR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Gašparíková, Jarmila</cp:lastModifiedBy>
  <cp:revision>2</cp:revision>
  <cp:lastPrinted>2013-01-08T14:28:00Z</cp:lastPrinted>
  <dcterms:created xsi:type="dcterms:W3CDTF">2013-01-11T10:13:00Z</dcterms:created>
  <dcterms:modified xsi:type="dcterms:W3CDTF">2013-01-11T10:13:00Z</dcterms:modified>
</cp:coreProperties>
</file>