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0" w:type="auto"/>
        <w:tblInd w:w="-851" w:type="dxa"/>
        <w:tblLayout w:type="fixed"/>
        <w:tblCellMar>
          <w:top w:w="0" w:type="dxa"/>
          <w:left w:w="0" w:type="dxa"/>
          <w:bottom w:w="0" w:type="dxa"/>
          <w:right w:w="0" w:type="dxa"/>
        </w:tblCellMar>
      </w:tblPr>
      <w:tblGrid>
        <w:gridCol w:w="851"/>
        <w:gridCol w:w="3970"/>
        <w:gridCol w:w="1701"/>
        <w:gridCol w:w="3970"/>
        <w:gridCol w:w="850"/>
      </w:tblGrid>
      <w:tr>
        <w:tblPrEx>
          <w:tblW w:w="0" w:type="auto"/>
          <w:tblInd w:w="-851" w:type="dxa"/>
          <w:tblLayout w:type="fixed"/>
          <w:tblCellMar>
            <w:top w:w="0" w:type="dxa"/>
            <w:left w:w="0" w:type="dxa"/>
            <w:bottom w:w="0" w:type="dxa"/>
            <w:right w:w="0" w:type="dxa"/>
          </w:tblCellMar>
        </w:tblPrEx>
        <w:trPr>
          <w:gridBefore w:val="1"/>
          <w:gridAfter w:val="1"/>
          <w:wBefore w:w="851" w:type="dxa"/>
          <w:wAfter w:w="850" w:type="dxa"/>
          <w:cantSplit/>
          <w:trHeight w:val="240"/>
        </w:trPr>
        <w:tc>
          <w:tcPr>
            <w:tcW w:w="9641" w:type="dxa"/>
            <w:gridSpan w:val="3"/>
            <w:tcBorders>
              <w:top w:val="none" w:sz="0" w:space="0" w:color="auto"/>
              <w:left w:val="none" w:sz="0" w:space="0" w:color="auto"/>
              <w:bottom w:val="none" w:sz="0" w:space="0" w:color="auto"/>
              <w:right w:val="none" w:sz="0" w:space="0" w:color="auto"/>
            </w:tcBorders>
            <w:textDirection w:val="lrTb"/>
            <w:vAlign w:val="top"/>
          </w:tcPr>
          <w:p w:rsidR="002B28C5" w:rsidRPr="007B0D74">
            <w:pPr>
              <w:pStyle w:val="EntLogo"/>
              <w:bidi w:val="0"/>
              <w:rPr>
                <w:rFonts w:ascii="Times New Roman" w:hAnsi="Times New Roman"/>
              </w:rPr>
            </w:pPr>
            <w:r>
              <w:rPr>
                <w:rFonts w:ascii="Times New Roman" w:hAnsi="Times New Roman"/>
                <w:noProof/>
                <w:lang w:val="fr-B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84.75pt;height:57pt;margin-top:36.85pt;margin-left:198.6pt;mso-position-horizontal:center;mso-position-vertical-relative:page;position:absolute;z-index:251658240" o:allowincell="f" stroked="f">
                  <v:imagedata r:id="rId4" o:title=""/>
                  <o:diagram v:ext="edit"/>
                  <w10:wrap type="topAndBottom"/>
                  <w10:anchorlock/>
                </v:shape>
              </w:pict>
            </w:r>
          </w:p>
        </w:tc>
      </w:tr>
      <w:tr>
        <w:tblPrEx>
          <w:tblW w:w="0" w:type="auto"/>
          <w:tblInd w:w="-851" w:type="dxa"/>
          <w:tblLayout w:type="fixed"/>
          <w:tblCellMar>
            <w:top w:w="0" w:type="dxa"/>
            <w:left w:w="0" w:type="dxa"/>
            <w:bottom w:w="0" w:type="dxa"/>
            <w:right w:w="0" w:type="dxa"/>
          </w:tblCellMar>
        </w:tblPrEx>
        <w:trPr>
          <w:cantSplit/>
          <w:trHeight w:val="1120"/>
        </w:trPr>
        <w:tc>
          <w:tcPr>
            <w:tcW w:w="4821" w:type="dxa"/>
            <w:gridSpan w:val="2"/>
            <w:tcBorders>
              <w:top w:val="none" w:sz="0" w:space="0" w:color="auto"/>
              <w:left w:val="none" w:sz="0" w:space="0" w:color="auto"/>
              <w:bottom w:val="none" w:sz="0" w:space="0" w:color="auto"/>
              <w:right w:val="none" w:sz="0" w:space="0" w:color="auto"/>
            </w:tcBorders>
            <w:textDirection w:val="lrTb"/>
            <w:vAlign w:val="top"/>
          </w:tcPr>
          <w:p w:rsidR="006D2AFA">
            <w:pPr>
              <w:pStyle w:val="EntInstit"/>
              <w:bidi w:val="0"/>
              <w:rPr>
                <w:rFonts w:ascii="Times New Roman" w:hAnsi="Times New Roman"/>
              </w:rPr>
            </w:pPr>
            <w:bookmarkStart w:id="0" w:name="Entete"/>
            <w:bookmarkEnd w:id="0"/>
            <w:r>
              <w:rPr>
                <w:rFonts w:ascii="Times New Roman" w:hAnsi="Times New Roman"/>
              </w:rPr>
              <w:t>COUNCIL OF</w:t>
            </w:r>
          </w:p>
          <w:p w:rsidR="002B28C5" w:rsidRPr="007B0D74">
            <w:pPr>
              <w:pStyle w:val="EntInstit"/>
              <w:bidi w:val="0"/>
              <w:rPr>
                <w:rFonts w:ascii="Times New Roman" w:hAnsi="Times New Roman"/>
              </w:rPr>
            </w:pPr>
            <w:r w:rsidR="006D2AFA">
              <w:rPr>
                <w:rFonts w:ascii="Times New Roman" w:hAnsi="Times New Roman"/>
              </w:rPr>
              <w:t>THE EUROPEAN UNION</w:t>
            </w:r>
          </w:p>
        </w:tc>
        <w:tc>
          <w:tcPr>
            <w:tcW w:w="1701" w:type="dxa"/>
            <w:tcBorders>
              <w:top w:val="none" w:sz="0" w:space="0" w:color="auto"/>
              <w:left w:val="none" w:sz="0" w:space="0" w:color="auto"/>
              <w:bottom w:val="none" w:sz="0" w:space="0" w:color="auto"/>
              <w:right w:val="none" w:sz="0" w:space="0" w:color="auto"/>
            </w:tcBorders>
            <w:textDirection w:val="lrTb"/>
            <w:vAlign w:val="top"/>
          </w:tcPr>
          <w:p w:rsidR="002B28C5" w:rsidRPr="007B0D74">
            <w:pPr>
              <w:bidi w:val="0"/>
              <w:spacing w:line="240" w:lineRule="auto"/>
              <w:jc w:val="right"/>
              <w:rPr>
                <w:rFonts w:ascii="Times New Roman" w:hAnsi="Times New Roman"/>
                <w:b/>
              </w:rPr>
            </w:pPr>
          </w:p>
        </w:tc>
        <w:tc>
          <w:tcPr>
            <w:tcW w:w="4820" w:type="dxa"/>
            <w:gridSpan w:val="2"/>
            <w:tcBorders>
              <w:top w:val="none" w:sz="0" w:space="0" w:color="auto"/>
              <w:left w:val="none" w:sz="0" w:space="0" w:color="auto"/>
              <w:bottom w:val="none" w:sz="0" w:space="0" w:color="auto"/>
              <w:right w:val="none" w:sz="0" w:space="0" w:color="auto"/>
            </w:tcBorders>
            <w:textDirection w:val="lrTb"/>
            <w:vAlign w:val="top"/>
          </w:tcPr>
          <w:p w:rsidR="002B28C5" w:rsidRPr="007B0D74">
            <w:pPr>
              <w:pStyle w:val="EntRefer"/>
              <w:bidi w:val="0"/>
              <w:rPr>
                <w:rFonts w:ascii="Times New Roman" w:hAnsi="Times New Roman"/>
              </w:rPr>
            </w:pPr>
            <w:bookmarkStart w:id="1" w:name="Lieu"/>
            <w:bookmarkEnd w:id="1"/>
            <w:r w:rsidR="006D2AFA">
              <w:rPr>
                <w:rFonts w:ascii="Times New Roman" w:hAnsi="Times New Roman"/>
              </w:rPr>
              <w:t>Brussels,</w:t>
            </w:r>
            <w:r w:rsidRPr="007B0D74">
              <w:rPr>
                <w:rFonts w:ascii="Times New Roman" w:hAnsi="Times New Roman"/>
              </w:rPr>
              <w:t xml:space="preserve"> </w:t>
            </w:r>
            <w:bookmarkStart w:id="2" w:name="Date"/>
            <w:bookmarkEnd w:id="2"/>
            <w:r w:rsidR="001970D4">
              <w:rPr>
                <w:rFonts w:ascii="Times New Roman" w:hAnsi="Times New Roman"/>
              </w:rPr>
              <w:t>1</w:t>
            </w:r>
            <w:r w:rsidR="00812003">
              <w:rPr>
                <w:rFonts w:ascii="Times New Roman" w:hAnsi="Times New Roman"/>
              </w:rPr>
              <w:t>3</w:t>
            </w:r>
            <w:r w:rsidR="001970D4">
              <w:rPr>
                <w:rFonts w:ascii="Times New Roman" w:hAnsi="Times New Roman"/>
              </w:rPr>
              <w:t xml:space="preserve"> </w:t>
            </w:r>
            <w:r w:rsidR="00812003">
              <w:rPr>
                <w:rFonts w:ascii="Times New Roman" w:hAnsi="Times New Roman"/>
              </w:rPr>
              <w:t>November</w:t>
            </w:r>
            <w:r w:rsidR="00D86B71">
              <w:rPr>
                <w:rFonts w:ascii="Times New Roman" w:hAnsi="Times New Roman"/>
              </w:rPr>
              <w:t xml:space="preserve"> 2012</w:t>
            </w:r>
          </w:p>
          <w:p w:rsidR="002B28C5" w:rsidRPr="007B0D74">
            <w:pPr>
              <w:pStyle w:val="EntRefer"/>
              <w:bidi w:val="0"/>
              <w:rPr>
                <w:rFonts w:ascii="Times New Roman" w:hAnsi="Times New Roman"/>
              </w:rPr>
            </w:pPr>
            <w:bookmarkStart w:id="3" w:name="LangueOrig"/>
            <w:bookmarkEnd w:id="3"/>
          </w:p>
        </w:tc>
      </w:tr>
      <w:tr>
        <w:tblPrEx>
          <w:tblW w:w="0" w:type="auto"/>
          <w:tblInd w:w="-851" w:type="dxa"/>
          <w:tblLayout w:type="fixed"/>
          <w:tblCellMar>
            <w:top w:w="0" w:type="dxa"/>
            <w:left w:w="0" w:type="dxa"/>
            <w:bottom w:w="0" w:type="dxa"/>
            <w:right w:w="0" w:type="dxa"/>
          </w:tblCellMar>
        </w:tblPrEx>
        <w:trPr>
          <w:gridBefore w:val="1"/>
          <w:gridAfter w:val="1"/>
          <w:wBefore w:w="851" w:type="dxa"/>
          <w:wAfter w:w="850" w:type="dxa"/>
          <w:cantSplit/>
          <w:trHeight w:val="1480"/>
        </w:trPr>
        <w:tc>
          <w:tcPr>
            <w:tcW w:w="3970" w:type="dxa"/>
            <w:tcBorders>
              <w:top w:val="none" w:sz="0" w:space="0" w:color="auto"/>
              <w:left w:val="none" w:sz="0" w:space="0" w:color="auto"/>
              <w:bottom w:val="none" w:sz="0" w:space="0" w:color="auto"/>
              <w:right w:val="none" w:sz="0" w:space="0" w:color="auto"/>
            </w:tcBorders>
            <w:textDirection w:val="lrTb"/>
            <w:vAlign w:val="center"/>
          </w:tcPr>
          <w:p w:rsidR="00A72E84" w:rsidRPr="00C23F4D" w:rsidP="00A72E84">
            <w:pPr>
              <w:pStyle w:val="EntRefer"/>
              <w:bidi w:val="0"/>
              <w:jc w:val="center"/>
              <w:rPr>
                <w:rFonts w:ascii="Times New Roman" w:hAnsi="Times New Roman"/>
                <w:lang w:val="en-US"/>
              </w:rPr>
            </w:pPr>
            <w:bookmarkStart w:id="4" w:name="DossierInterInst"/>
            <w:bookmarkEnd w:id="4"/>
          </w:p>
          <w:p w:rsidR="00A72E84" w:rsidRPr="00C23F4D" w:rsidP="00A72E84">
            <w:pPr>
              <w:pStyle w:val="EntRefer"/>
              <w:pBdr>
                <w:top w:val="double" w:sz="4" w:space="4" w:color="auto"/>
                <w:left w:val="double" w:sz="4" w:space="0" w:color="auto"/>
                <w:bottom w:val="double" w:sz="4" w:space="4" w:color="auto"/>
                <w:right w:val="double" w:sz="4" w:space="0" w:color="auto"/>
              </w:pBdr>
              <w:bidi w:val="0"/>
              <w:jc w:val="center"/>
              <w:rPr>
                <w:rFonts w:ascii="Times New Roman" w:hAnsi="Times New Roman"/>
                <w:lang w:val="en-US"/>
              </w:rPr>
            </w:pPr>
            <w:r w:rsidRPr="00C23F4D">
              <w:rPr>
                <w:rFonts w:ascii="Times New Roman" w:hAnsi="Times New Roman"/>
                <w:lang w:val="en-US"/>
              </w:rPr>
              <w:t>Interinstitutional File:</w:t>
            </w:r>
          </w:p>
          <w:p w:rsidR="00A72E84" w:rsidRPr="00C23F4D" w:rsidP="00A72E84">
            <w:pPr>
              <w:pStyle w:val="EntRefer"/>
              <w:pBdr>
                <w:top w:val="double" w:sz="4" w:space="4" w:color="auto"/>
                <w:left w:val="double" w:sz="4" w:space="0" w:color="auto"/>
                <w:bottom w:val="double" w:sz="4" w:space="4" w:color="auto"/>
                <w:right w:val="double" w:sz="4" w:space="0" w:color="auto"/>
              </w:pBdr>
              <w:bidi w:val="0"/>
              <w:jc w:val="center"/>
              <w:rPr>
                <w:rFonts w:ascii="Times New Roman" w:hAnsi="Times New Roman"/>
                <w:lang w:val="en-US"/>
              </w:rPr>
            </w:pPr>
            <w:r w:rsidRPr="00C23F4D">
              <w:rPr>
                <w:rFonts w:ascii="Times New Roman" w:hAnsi="Times New Roman"/>
                <w:lang w:val="en-US"/>
              </w:rPr>
              <w:t>2011/0280 (COD)</w:t>
            </w:r>
          </w:p>
          <w:p w:rsidR="002B28C5" w:rsidRPr="007B0D74">
            <w:pPr>
              <w:pStyle w:val="EntRefer"/>
              <w:bidi w:val="0"/>
              <w:jc w:val="center"/>
              <w:rPr>
                <w:rFonts w:ascii="Times New Roman" w:hAnsi="Times New Roman"/>
              </w:rPr>
            </w:pPr>
          </w:p>
        </w:tc>
        <w:tc>
          <w:tcPr>
            <w:tcW w:w="1701" w:type="dxa"/>
            <w:tcBorders>
              <w:top w:val="none" w:sz="0" w:space="0" w:color="auto"/>
              <w:left w:val="none" w:sz="0" w:space="0" w:color="auto"/>
              <w:bottom w:val="none" w:sz="0" w:space="0" w:color="auto"/>
              <w:right w:val="none" w:sz="0" w:space="0" w:color="auto"/>
            </w:tcBorders>
            <w:textDirection w:val="lrTb"/>
            <w:vAlign w:val="center"/>
          </w:tcPr>
          <w:p w:rsidR="002B28C5" w:rsidRPr="007B0D74">
            <w:pPr>
              <w:bidi w:val="0"/>
              <w:spacing w:line="240" w:lineRule="auto"/>
              <w:rPr>
                <w:rFonts w:ascii="Times New Roman" w:hAnsi="Times New Roman"/>
                <w:b/>
              </w:rPr>
            </w:pPr>
          </w:p>
        </w:tc>
        <w:tc>
          <w:tcPr>
            <w:tcW w:w="3970" w:type="dxa"/>
            <w:tcBorders>
              <w:top w:val="none" w:sz="0" w:space="0" w:color="auto"/>
              <w:left w:val="none" w:sz="0" w:space="0" w:color="auto"/>
              <w:bottom w:val="none" w:sz="0" w:space="0" w:color="auto"/>
              <w:right w:val="none" w:sz="0" w:space="0" w:color="auto"/>
            </w:tcBorders>
            <w:textDirection w:val="lrTb"/>
            <w:vAlign w:val="top"/>
          </w:tcPr>
          <w:p w:rsidR="002B28C5">
            <w:pPr>
              <w:pStyle w:val="EntRefer"/>
              <w:bidi w:val="0"/>
              <w:rPr>
                <w:rFonts w:ascii="Times New Roman" w:hAnsi="Times New Roman"/>
              </w:rPr>
            </w:pPr>
            <w:bookmarkStart w:id="5" w:name="Cote"/>
            <w:bookmarkEnd w:id="5"/>
            <w:r w:rsidR="006138C2">
              <w:rPr>
                <w:rFonts w:ascii="Times New Roman" w:hAnsi="Times New Roman"/>
                <w:lang w:val="es-ES"/>
              </w:rPr>
              <w:t>16173</w:t>
            </w:r>
            <w:r w:rsidR="001A17C3">
              <w:rPr>
                <w:rFonts w:ascii="Times New Roman" w:hAnsi="Times New Roman"/>
              </w:rPr>
              <w:t>/1</w:t>
            </w:r>
            <w:bookmarkStart w:id="6" w:name="CoteRev"/>
            <w:bookmarkStart w:id="7" w:name="CoteSec"/>
            <w:bookmarkEnd w:id="6"/>
            <w:bookmarkEnd w:id="7"/>
            <w:r w:rsidR="00724F3D">
              <w:rPr>
                <w:rFonts w:ascii="Times New Roman" w:hAnsi="Times New Roman"/>
              </w:rPr>
              <w:t>2</w:t>
            </w:r>
          </w:p>
          <w:p w:rsidR="00724F3D" w:rsidRPr="007B0D74">
            <w:pPr>
              <w:pStyle w:val="EntRefer"/>
              <w:bidi w:val="0"/>
              <w:rPr>
                <w:rFonts w:ascii="Times New Roman" w:hAnsi="Times New Roman"/>
              </w:rPr>
            </w:pPr>
          </w:p>
          <w:p w:rsidR="002B28C5">
            <w:pPr>
              <w:pStyle w:val="EntRefer"/>
              <w:bidi w:val="0"/>
              <w:rPr>
                <w:rFonts w:ascii="Times New Roman" w:hAnsi="Times New Roman"/>
              </w:rPr>
            </w:pPr>
          </w:p>
          <w:p w:rsidR="00850CE8" w:rsidRPr="00644C42" w:rsidP="00850CE8">
            <w:pPr>
              <w:pStyle w:val="EntRefer"/>
              <w:bidi w:val="0"/>
              <w:rPr>
                <w:rFonts w:ascii="Times New Roman" w:hAnsi="Times New Roman"/>
              </w:rPr>
            </w:pPr>
            <w:r w:rsidRPr="00644C42">
              <w:rPr>
                <w:rFonts w:ascii="Times New Roman" w:hAnsi="Times New Roman"/>
              </w:rPr>
              <w:t>LIMITE</w:t>
            </w:r>
          </w:p>
          <w:p w:rsidR="00850CE8" w:rsidRPr="007B0D74">
            <w:pPr>
              <w:pStyle w:val="EntRefer"/>
              <w:bidi w:val="0"/>
              <w:rPr>
                <w:rFonts w:ascii="Times New Roman" w:hAnsi="Times New Roman"/>
              </w:rPr>
            </w:pPr>
          </w:p>
        </w:tc>
      </w:tr>
      <w:tr>
        <w:tblPrEx>
          <w:tblW w:w="0" w:type="auto"/>
          <w:tblInd w:w="-851" w:type="dxa"/>
          <w:tblLayout w:type="fixed"/>
          <w:tblCellMar>
            <w:top w:w="0" w:type="dxa"/>
            <w:left w:w="0" w:type="dxa"/>
            <w:bottom w:w="0" w:type="dxa"/>
            <w:right w:w="0" w:type="dxa"/>
          </w:tblCellMar>
        </w:tblPrEx>
        <w:trPr>
          <w:gridBefore w:val="1"/>
          <w:gridAfter w:val="1"/>
          <w:wBefore w:w="851" w:type="dxa"/>
          <w:wAfter w:w="850" w:type="dxa"/>
          <w:cantSplit/>
          <w:trHeight w:val="1000"/>
        </w:trPr>
        <w:tc>
          <w:tcPr>
            <w:tcW w:w="3970" w:type="dxa"/>
            <w:tcBorders>
              <w:top w:val="none" w:sz="0" w:space="0" w:color="auto"/>
              <w:left w:val="none" w:sz="0" w:space="0" w:color="auto"/>
              <w:bottom w:val="none" w:sz="0" w:space="0" w:color="auto"/>
              <w:right w:val="none" w:sz="0" w:space="0" w:color="auto"/>
            </w:tcBorders>
            <w:textDirection w:val="lrTb"/>
            <w:vAlign w:val="center"/>
          </w:tcPr>
          <w:p w:rsidR="002B28C5" w:rsidRPr="00602EB6">
            <w:pPr>
              <w:pStyle w:val="EntRefer"/>
              <w:bidi w:val="0"/>
              <w:jc w:val="center"/>
              <w:rPr>
                <w:rFonts w:ascii="Times New Roman" w:hAnsi="Times New Roman"/>
                <w:sz w:val="28"/>
                <w:szCs w:val="28"/>
              </w:rPr>
            </w:pPr>
            <w:bookmarkStart w:id="8" w:name="SousEmbargo"/>
            <w:bookmarkEnd w:id="8"/>
          </w:p>
        </w:tc>
        <w:tc>
          <w:tcPr>
            <w:tcW w:w="1701" w:type="dxa"/>
            <w:tcBorders>
              <w:top w:val="none" w:sz="0" w:space="0" w:color="auto"/>
              <w:left w:val="none" w:sz="0" w:space="0" w:color="auto"/>
              <w:bottom w:val="none" w:sz="0" w:space="0" w:color="auto"/>
              <w:right w:val="none" w:sz="0" w:space="0" w:color="auto"/>
            </w:tcBorders>
            <w:textDirection w:val="lrTb"/>
            <w:vAlign w:val="center"/>
          </w:tcPr>
          <w:p w:rsidR="002B28C5" w:rsidRPr="007B0D74">
            <w:pPr>
              <w:bidi w:val="0"/>
              <w:spacing w:line="240" w:lineRule="auto"/>
              <w:rPr>
                <w:rFonts w:ascii="Times New Roman" w:hAnsi="Times New Roman"/>
                <w:b/>
              </w:rPr>
            </w:pPr>
          </w:p>
        </w:tc>
        <w:tc>
          <w:tcPr>
            <w:tcW w:w="3970" w:type="dxa"/>
            <w:tcBorders>
              <w:top w:val="none" w:sz="0" w:space="0" w:color="auto"/>
              <w:left w:val="none" w:sz="0" w:space="0" w:color="auto"/>
              <w:bottom w:val="none" w:sz="0" w:space="0" w:color="auto"/>
              <w:right w:val="none" w:sz="0" w:space="0" w:color="auto"/>
            </w:tcBorders>
            <w:textDirection w:val="lrTb"/>
            <w:vAlign w:val="top"/>
          </w:tcPr>
          <w:p w:rsidR="006138C2" w:rsidRPr="006138C2" w:rsidP="006138C2">
            <w:pPr>
              <w:pStyle w:val="EntRefer"/>
              <w:bidi w:val="0"/>
              <w:rPr>
                <w:rFonts w:ascii="Times New Roman" w:hAnsi="Times New Roman"/>
                <w:lang w:val="en-US"/>
              </w:rPr>
            </w:pPr>
            <w:bookmarkStart w:id="9" w:name="CoteMat"/>
            <w:bookmarkEnd w:id="9"/>
            <w:r w:rsidRPr="006138C2">
              <w:rPr>
                <w:rFonts w:ascii="Times New Roman" w:hAnsi="Times New Roman"/>
                <w:lang w:val="en-US"/>
              </w:rPr>
              <w:t>AGRI 747</w:t>
            </w:r>
          </w:p>
          <w:p w:rsidR="006138C2" w:rsidRPr="006138C2" w:rsidP="006138C2">
            <w:pPr>
              <w:pStyle w:val="EntRefer"/>
              <w:bidi w:val="0"/>
              <w:rPr>
                <w:rFonts w:ascii="Times New Roman" w:hAnsi="Times New Roman"/>
                <w:lang w:val="en-US"/>
              </w:rPr>
            </w:pPr>
            <w:r w:rsidRPr="006138C2">
              <w:rPr>
                <w:rFonts w:ascii="Times New Roman" w:hAnsi="Times New Roman"/>
                <w:lang w:val="en-US"/>
              </w:rPr>
              <w:t>AGRIFIN 213</w:t>
            </w:r>
          </w:p>
          <w:p w:rsidR="007F5BEA" w:rsidRPr="006138C2" w:rsidP="006138C2">
            <w:pPr>
              <w:pStyle w:val="EntRefer"/>
              <w:bidi w:val="0"/>
              <w:rPr>
                <w:rFonts w:ascii="Times New Roman" w:hAnsi="Times New Roman"/>
                <w:b w:val="0"/>
                <w:szCs w:val="24"/>
                <w:lang w:val="en-US" w:eastAsia="en-GB"/>
              </w:rPr>
            </w:pPr>
            <w:r w:rsidRPr="006138C2" w:rsidR="006138C2">
              <w:rPr>
                <w:rFonts w:ascii="Times New Roman" w:hAnsi="Times New Roman"/>
                <w:lang w:val="en-US"/>
              </w:rPr>
              <w:t>CODEC 2648</w:t>
            </w:r>
          </w:p>
        </w:tc>
      </w:tr>
    </w:tbl>
    <w:p w:rsidR="00A72E84" w:rsidP="00274398">
      <w:pPr>
        <w:pStyle w:val="EntRefer"/>
        <w:bidi w:val="0"/>
        <w:outlineLvl w:val="0"/>
        <w:rPr>
          <w:rFonts w:ascii="Times New Roman" w:hAnsi="Times New Roman"/>
          <w:lang w:val="da-DK"/>
        </w:rPr>
      </w:pPr>
      <w:bookmarkStart w:id="10" w:name="AC"/>
      <w:bookmarkStart w:id="11" w:name="Title"/>
      <w:bookmarkEnd w:id="11"/>
    </w:p>
    <w:p w:rsidR="00D760B8" w:rsidP="00274398">
      <w:pPr>
        <w:pStyle w:val="EntRefer"/>
        <w:bidi w:val="0"/>
        <w:outlineLvl w:val="0"/>
        <w:rPr>
          <w:rFonts w:ascii="Times New Roman" w:hAnsi="Times New Roman"/>
        </w:rPr>
      </w:pPr>
      <w:r w:rsidR="007B261A">
        <w:rPr>
          <w:rFonts w:ascii="Times New Roman" w:hAnsi="Times New Roman"/>
        </w:rPr>
        <w:t>NOTE</w:t>
      </w:r>
    </w:p>
    <w:tbl>
      <w:tblPr>
        <w:tblStyle w:val="TableNormal"/>
        <w:tblW w:w="9639" w:type="dxa"/>
        <w:tblLayout w:type="fixed"/>
        <w:tblCellMar>
          <w:top w:w="0" w:type="dxa"/>
          <w:left w:w="0" w:type="dxa"/>
          <w:bottom w:w="0" w:type="dxa"/>
          <w:right w:w="0" w:type="dxa"/>
        </w:tblCellMar>
      </w:tblPr>
      <w:tblGrid>
        <w:gridCol w:w="1980"/>
        <w:gridCol w:w="7659"/>
      </w:tblGrid>
      <w:tr>
        <w:tblPrEx>
          <w:tblW w:w="9639" w:type="dxa"/>
          <w:tblLayout w:type="fixed"/>
          <w:tblCellMar>
            <w:top w:w="0" w:type="dxa"/>
            <w:left w:w="0" w:type="dxa"/>
            <w:bottom w:w="0" w:type="dxa"/>
            <w:right w:w="0" w:type="dxa"/>
          </w:tblCellMar>
        </w:tblPrEx>
        <w:tc>
          <w:tcPr>
            <w:tcW w:w="1980" w:type="dxa"/>
            <w:tcBorders>
              <w:top w:val="single" w:sz="4" w:space="0" w:color="auto"/>
              <w:left w:val="none" w:sz="0" w:space="0" w:color="auto"/>
              <w:bottom w:val="single" w:sz="4" w:space="0" w:color="auto"/>
              <w:right w:val="none" w:sz="0" w:space="0" w:color="auto"/>
            </w:tcBorders>
            <w:textDirection w:val="lrTb"/>
            <w:vAlign w:val="top"/>
          </w:tcPr>
          <w:p w:rsidR="00D760B8" w:rsidRPr="00C23F4D" w:rsidP="007C7E90">
            <w:pPr>
              <w:pStyle w:val="EntEmet"/>
              <w:bidi w:val="0"/>
              <w:spacing w:before="0"/>
              <w:rPr>
                <w:rFonts w:ascii="Times New Roman" w:hAnsi="Times New Roman"/>
                <w:lang w:val="en-US"/>
              </w:rPr>
            </w:pPr>
            <w:r w:rsidRPr="00C23F4D">
              <w:rPr>
                <w:rFonts w:ascii="Times New Roman" w:hAnsi="Times New Roman"/>
                <w:lang w:val="en-US"/>
              </w:rPr>
              <w:t>from:</w:t>
            </w:r>
          </w:p>
        </w:tc>
        <w:tc>
          <w:tcPr>
            <w:tcW w:w="7659" w:type="dxa"/>
            <w:tcBorders>
              <w:top w:val="single" w:sz="4" w:space="0" w:color="auto"/>
              <w:left w:val="none" w:sz="0" w:space="0" w:color="auto"/>
              <w:bottom w:val="single" w:sz="4" w:space="0" w:color="auto"/>
              <w:right w:val="none" w:sz="0" w:space="0" w:color="auto"/>
            </w:tcBorders>
            <w:textDirection w:val="lrTb"/>
            <w:vAlign w:val="top"/>
          </w:tcPr>
          <w:p w:rsidR="00D760B8" w:rsidRPr="00C23F4D" w:rsidP="007C7E90">
            <w:pPr>
              <w:pStyle w:val="EntEmet"/>
              <w:bidi w:val="0"/>
              <w:spacing w:before="0"/>
              <w:rPr>
                <w:rFonts w:ascii="Times New Roman" w:hAnsi="Times New Roman"/>
                <w:lang w:val="en-US"/>
              </w:rPr>
            </w:pPr>
            <w:bookmarkStart w:id="12" w:name="From"/>
            <w:bookmarkEnd w:id="12"/>
            <w:r w:rsidRPr="00C23F4D">
              <w:rPr>
                <w:rFonts w:ascii="Times New Roman" w:hAnsi="Times New Roman"/>
                <w:lang w:val="en-US"/>
              </w:rPr>
              <w:t>General Secretariat</w:t>
            </w:r>
          </w:p>
        </w:tc>
      </w:tr>
      <w:tr>
        <w:tblPrEx>
          <w:tblW w:w="9639" w:type="dxa"/>
          <w:tblLayout w:type="fixed"/>
          <w:tblCellMar>
            <w:top w:w="0" w:type="dxa"/>
            <w:left w:w="0" w:type="dxa"/>
            <w:bottom w:w="0" w:type="dxa"/>
            <w:right w:w="0" w:type="dxa"/>
          </w:tblCellMar>
        </w:tblPrEx>
        <w:tc>
          <w:tcPr>
            <w:tcW w:w="1980" w:type="dxa"/>
            <w:tcBorders>
              <w:top w:val="single" w:sz="4" w:space="0" w:color="auto"/>
              <w:left w:val="none" w:sz="0" w:space="0" w:color="auto"/>
              <w:bottom w:val="single" w:sz="4" w:space="0" w:color="auto"/>
              <w:right w:val="none" w:sz="0" w:space="0" w:color="auto"/>
            </w:tcBorders>
            <w:textDirection w:val="lrTb"/>
            <w:vAlign w:val="top"/>
          </w:tcPr>
          <w:p w:rsidR="00D760B8" w:rsidRPr="00C23F4D" w:rsidP="007C7E90">
            <w:pPr>
              <w:pStyle w:val="EntEmet"/>
              <w:bidi w:val="0"/>
              <w:spacing w:before="0"/>
              <w:rPr>
                <w:rFonts w:ascii="Times New Roman" w:hAnsi="Times New Roman"/>
                <w:lang w:val="en-US"/>
              </w:rPr>
            </w:pPr>
            <w:r w:rsidRPr="00C23F4D">
              <w:rPr>
                <w:rFonts w:ascii="Times New Roman" w:hAnsi="Times New Roman"/>
                <w:lang w:val="en-US"/>
              </w:rPr>
              <w:t>to:</w:t>
            </w:r>
          </w:p>
        </w:tc>
        <w:tc>
          <w:tcPr>
            <w:tcW w:w="7659" w:type="dxa"/>
            <w:tcBorders>
              <w:top w:val="single" w:sz="4" w:space="0" w:color="auto"/>
              <w:left w:val="none" w:sz="0" w:space="0" w:color="auto"/>
              <w:bottom w:val="single" w:sz="4" w:space="0" w:color="auto"/>
              <w:right w:val="none" w:sz="0" w:space="0" w:color="auto"/>
            </w:tcBorders>
            <w:textDirection w:val="lrTb"/>
            <w:vAlign w:val="top"/>
          </w:tcPr>
          <w:p w:rsidR="00D760B8" w:rsidRPr="00C23F4D" w:rsidP="007C7E90">
            <w:pPr>
              <w:pStyle w:val="EntEmet"/>
              <w:bidi w:val="0"/>
              <w:spacing w:before="0"/>
              <w:rPr>
                <w:rFonts w:ascii="Times New Roman" w:hAnsi="Times New Roman"/>
                <w:lang w:val="en-US"/>
              </w:rPr>
            </w:pPr>
            <w:r w:rsidRPr="00C23F4D">
              <w:rPr>
                <w:rFonts w:ascii="Times New Roman" w:hAnsi="Times New Roman"/>
                <w:lang w:val="en-US"/>
              </w:rPr>
              <w:t>Delegations</w:t>
            </w:r>
          </w:p>
        </w:tc>
      </w:tr>
      <w:tr>
        <w:tblPrEx>
          <w:tblW w:w="9639" w:type="dxa"/>
          <w:tblLayout w:type="fixed"/>
          <w:tblCellMar>
            <w:top w:w="0" w:type="dxa"/>
            <w:left w:w="0" w:type="dxa"/>
            <w:bottom w:w="0" w:type="dxa"/>
            <w:right w:w="0" w:type="dxa"/>
          </w:tblCellMar>
        </w:tblPrEx>
        <w:tc>
          <w:tcPr>
            <w:tcW w:w="1980" w:type="dxa"/>
            <w:tcBorders>
              <w:top w:val="single" w:sz="4" w:space="0" w:color="auto"/>
              <w:left w:val="none" w:sz="0" w:space="0" w:color="auto"/>
              <w:bottom w:val="single" w:sz="4" w:space="0" w:color="auto"/>
              <w:right w:val="none" w:sz="0" w:space="0" w:color="auto"/>
            </w:tcBorders>
            <w:textDirection w:val="lrTb"/>
            <w:vAlign w:val="top"/>
          </w:tcPr>
          <w:p w:rsidR="00D760B8" w:rsidRPr="00C23F4D" w:rsidP="007C7E90">
            <w:pPr>
              <w:pStyle w:val="EntEmet"/>
              <w:bidi w:val="0"/>
              <w:spacing w:before="0"/>
              <w:rPr>
                <w:rFonts w:ascii="Times New Roman" w:hAnsi="Times New Roman"/>
                <w:lang w:val="en-US"/>
              </w:rPr>
            </w:pPr>
            <w:r w:rsidRPr="00C23F4D">
              <w:rPr>
                <w:rFonts w:ascii="Times New Roman" w:hAnsi="Times New Roman"/>
                <w:lang w:val="en-US"/>
              </w:rPr>
              <w:t xml:space="preserve">No Cion </w:t>
            </w:r>
            <w:r>
              <w:rPr>
                <w:rFonts w:ascii="Times New Roman" w:hAnsi="Times New Roman"/>
                <w:lang w:val="en-US"/>
              </w:rPr>
              <w:t>prop</w:t>
            </w:r>
            <w:r w:rsidRPr="00C23F4D">
              <w:rPr>
                <w:rFonts w:ascii="Times New Roman" w:hAnsi="Times New Roman"/>
                <w:lang w:val="en-US"/>
              </w:rPr>
              <w:t>.:</w:t>
            </w:r>
          </w:p>
        </w:tc>
        <w:tc>
          <w:tcPr>
            <w:tcW w:w="7659" w:type="dxa"/>
            <w:tcBorders>
              <w:top w:val="single" w:sz="4" w:space="0" w:color="auto"/>
              <w:left w:val="none" w:sz="0" w:space="0" w:color="auto"/>
              <w:bottom w:val="single" w:sz="4" w:space="0" w:color="auto"/>
              <w:right w:val="none" w:sz="0" w:space="0" w:color="auto"/>
            </w:tcBorders>
            <w:textDirection w:val="lrTb"/>
            <w:vAlign w:val="top"/>
          </w:tcPr>
          <w:p w:rsidR="00D760B8" w:rsidRPr="00C50124" w:rsidP="007C7E90">
            <w:pPr>
              <w:pStyle w:val="EntRefer"/>
              <w:bidi w:val="0"/>
              <w:rPr>
                <w:rFonts w:ascii="Times New Roman" w:hAnsi="Times New Roman"/>
                <w:b w:val="0"/>
                <w:lang w:val="pt-PT"/>
              </w:rPr>
            </w:pPr>
            <w:r w:rsidRPr="00C50124">
              <w:rPr>
                <w:rFonts w:ascii="Times New Roman" w:hAnsi="Times New Roman"/>
                <w:b w:val="0"/>
                <w:lang w:val="pt-PT"/>
              </w:rPr>
              <w:t>15396/11 + REV 1, REV 2 (NL)</w:t>
            </w:r>
            <w:r>
              <w:rPr>
                <w:rFonts w:ascii="Times New Roman" w:hAnsi="Times New Roman"/>
                <w:b w:val="0"/>
                <w:lang w:val="pt-PT"/>
              </w:rPr>
              <w:t>, REV 3</w:t>
            </w:r>
            <w:r w:rsidRPr="00C50124">
              <w:rPr>
                <w:rFonts w:ascii="Times New Roman" w:hAnsi="Times New Roman"/>
                <w:b w:val="0"/>
                <w:lang w:val="pt-PT"/>
              </w:rPr>
              <w:t xml:space="preserve"> - COM(2011) 625 final/</w:t>
            </w:r>
            <w:r>
              <w:rPr>
                <w:rFonts w:ascii="Times New Roman" w:hAnsi="Times New Roman"/>
                <w:b w:val="0"/>
                <w:lang w:val="pt-PT"/>
              </w:rPr>
              <w:t>3</w:t>
            </w:r>
          </w:p>
        </w:tc>
      </w:tr>
      <w:tr>
        <w:tblPrEx>
          <w:tblW w:w="9639" w:type="dxa"/>
          <w:tblLayout w:type="fixed"/>
          <w:tblCellMar>
            <w:top w:w="0" w:type="dxa"/>
            <w:left w:w="0" w:type="dxa"/>
            <w:bottom w:w="0" w:type="dxa"/>
            <w:right w:w="0" w:type="dxa"/>
          </w:tblCellMar>
        </w:tblPrEx>
        <w:tc>
          <w:tcPr>
            <w:tcW w:w="1980" w:type="dxa"/>
            <w:tcBorders>
              <w:top w:val="single" w:sz="4" w:space="0" w:color="auto"/>
              <w:left w:val="none" w:sz="0" w:space="0" w:color="auto"/>
              <w:bottom w:val="single" w:sz="4" w:space="0" w:color="auto"/>
              <w:right w:val="none" w:sz="0" w:space="0" w:color="auto"/>
            </w:tcBorders>
            <w:textDirection w:val="lrTb"/>
            <w:vAlign w:val="top"/>
          </w:tcPr>
          <w:p w:rsidR="00D760B8" w:rsidRPr="00C23F4D" w:rsidP="007C7E90">
            <w:pPr>
              <w:pStyle w:val="EntEmet"/>
              <w:bidi w:val="0"/>
              <w:spacing w:before="0"/>
              <w:rPr>
                <w:rFonts w:ascii="Times New Roman" w:hAnsi="Times New Roman"/>
                <w:lang w:val="en-US"/>
              </w:rPr>
            </w:pPr>
            <w:r w:rsidRPr="00C23F4D">
              <w:rPr>
                <w:rFonts w:ascii="Times New Roman" w:hAnsi="Times New Roman"/>
                <w:lang w:val="en-US"/>
              </w:rPr>
              <w:t>Subject:</w:t>
            </w:r>
          </w:p>
        </w:tc>
        <w:tc>
          <w:tcPr>
            <w:tcW w:w="7659" w:type="dxa"/>
            <w:tcBorders>
              <w:top w:val="single" w:sz="4" w:space="0" w:color="auto"/>
              <w:left w:val="none" w:sz="0" w:space="0" w:color="auto"/>
              <w:bottom w:val="single" w:sz="4" w:space="0" w:color="auto"/>
              <w:right w:val="none" w:sz="0" w:space="0" w:color="auto"/>
            </w:tcBorders>
            <w:textDirection w:val="lrTb"/>
            <w:vAlign w:val="top"/>
          </w:tcPr>
          <w:p w:rsidR="00D760B8" w:rsidP="007C7E90">
            <w:pPr>
              <w:bidi w:val="0"/>
              <w:spacing w:line="240" w:lineRule="auto"/>
              <w:rPr>
                <w:rFonts w:ascii="Times New Roman" w:hAnsi="Times New Roman"/>
                <w:i/>
                <w:lang w:val="en-US"/>
              </w:rPr>
            </w:pPr>
            <w:bookmarkStart w:id="13" w:name="Subject_Ntr"/>
            <w:bookmarkEnd w:id="13"/>
            <w:r w:rsidRPr="00C23F4D">
              <w:rPr>
                <w:rFonts w:ascii="Times New Roman" w:hAnsi="Times New Roman"/>
                <w:lang w:val="en-US"/>
              </w:rPr>
              <w:t xml:space="preserve">Proposal for a Regulation of the European Parliament and of the Council establishing rules for direct payments to farmers under support schemes within the framework of the common agricultural policy </w:t>
            </w:r>
            <w:r w:rsidRPr="00C23F4D">
              <w:rPr>
                <w:rFonts w:ascii="Times New Roman" w:hAnsi="Times New Roman"/>
                <w:i/>
                <w:lang w:val="en-US"/>
              </w:rPr>
              <w:t>(CAP Reform)</w:t>
            </w:r>
          </w:p>
          <w:p w:rsidR="00D760B8" w:rsidRPr="00F253A5" w:rsidP="007C7E90">
            <w:pPr>
              <w:bidi w:val="0"/>
              <w:spacing w:line="240" w:lineRule="auto"/>
              <w:rPr>
                <w:rFonts w:ascii="Times New Roman" w:hAnsi="Times New Roman"/>
                <w:i/>
              </w:rPr>
            </w:pPr>
            <w:r w:rsidRPr="00F253A5">
              <w:rPr>
                <w:rFonts w:ascii="Times New Roman" w:hAnsi="Times New Roman"/>
                <w:i/>
              </w:rPr>
              <w:t xml:space="preserve">- </w:t>
            </w:r>
            <w:r w:rsidRPr="00F253A5" w:rsidR="00325BBA">
              <w:rPr>
                <w:rFonts w:ascii="Times New Roman" w:hAnsi="Times New Roman"/>
                <w:i/>
              </w:rPr>
              <w:t>C</w:t>
            </w:r>
            <w:r w:rsidRPr="00F253A5" w:rsidR="00F253A5">
              <w:rPr>
                <w:rFonts w:ascii="Times New Roman" w:hAnsi="Times New Roman"/>
                <w:i/>
              </w:rPr>
              <w:t>ommon declaration on c</w:t>
            </w:r>
            <w:r w:rsidRPr="00F253A5" w:rsidR="00325BBA">
              <w:rPr>
                <w:rFonts w:ascii="Times New Roman" w:hAnsi="Times New Roman"/>
                <w:i/>
              </w:rPr>
              <w:t>oupled support</w:t>
            </w:r>
          </w:p>
        </w:tc>
      </w:tr>
    </w:tbl>
    <w:p w:rsidR="00D760B8" w:rsidRPr="007B0D74" w:rsidP="00274398">
      <w:pPr>
        <w:pStyle w:val="EntRefer"/>
        <w:bidi w:val="0"/>
        <w:outlineLvl w:val="0"/>
        <w:rPr>
          <w:rFonts w:ascii="Times New Roman" w:hAnsi="Times New Roman"/>
        </w:rPr>
      </w:pPr>
    </w:p>
    <w:p w:rsidR="003B618C" w:rsidP="00687072">
      <w:pPr>
        <w:bidi w:val="0"/>
        <w:spacing w:line="240" w:lineRule="auto"/>
        <w:rPr>
          <w:rFonts w:ascii="Times New Roman" w:hAnsi="Times New Roman"/>
        </w:rPr>
      </w:pPr>
    </w:p>
    <w:p w:rsidR="001653FD" w:rsidRPr="00850CE8" w:rsidP="001653FD">
      <w:pPr>
        <w:widowControl/>
        <w:bidi w:val="0"/>
        <w:rPr>
          <w:rFonts w:ascii="Times New Roman" w:hAnsi="Times New Roman"/>
        </w:rPr>
      </w:pPr>
      <w:r w:rsidRPr="00107F38" w:rsidR="007C7E90">
        <w:rPr>
          <w:rFonts w:ascii="Times New Roman" w:hAnsi="Times New Roman"/>
        </w:rPr>
        <w:t xml:space="preserve">With a view to the meeting of the </w:t>
      </w:r>
      <w:r w:rsidRPr="00107F38" w:rsidR="007C7E90">
        <w:rPr>
          <w:rFonts w:ascii="Times New Roman" w:hAnsi="Times New Roman"/>
          <w:u w:val="single"/>
        </w:rPr>
        <w:t>Special Committee on Agriculture</w:t>
      </w:r>
      <w:r w:rsidRPr="00107F38" w:rsidR="007C7E90">
        <w:rPr>
          <w:rFonts w:ascii="Times New Roman" w:hAnsi="Times New Roman"/>
        </w:rPr>
        <w:t xml:space="preserve"> on </w:t>
      </w:r>
      <w:r w:rsidR="00850CE8">
        <w:rPr>
          <w:rFonts w:ascii="Times New Roman" w:hAnsi="Times New Roman"/>
        </w:rPr>
        <w:t>19-20</w:t>
      </w:r>
      <w:r w:rsidRPr="00107F38" w:rsidR="007C7E90">
        <w:rPr>
          <w:rFonts w:ascii="Times New Roman" w:hAnsi="Times New Roman"/>
        </w:rPr>
        <w:t xml:space="preserve"> </w:t>
      </w:r>
      <w:r w:rsidR="00850CE8">
        <w:rPr>
          <w:rFonts w:ascii="Times New Roman" w:hAnsi="Times New Roman"/>
        </w:rPr>
        <w:t>November</w:t>
      </w:r>
      <w:r w:rsidRPr="00107F38" w:rsidR="007C7E90">
        <w:rPr>
          <w:rFonts w:ascii="Times New Roman" w:hAnsi="Times New Roman"/>
        </w:rPr>
        <w:t xml:space="preserve"> 2012, delegations will find in </w:t>
      </w:r>
      <w:r w:rsidRPr="00107F38" w:rsidR="007C7E90">
        <w:rPr>
          <w:rFonts w:ascii="Times New Roman" w:hAnsi="Times New Roman"/>
          <w:u w:val="single"/>
        </w:rPr>
        <w:t>Annex</w:t>
      </w:r>
      <w:r w:rsidRPr="00107F38" w:rsidR="007C7E90">
        <w:rPr>
          <w:rFonts w:ascii="Times New Roman" w:hAnsi="Times New Roman"/>
        </w:rPr>
        <w:t xml:space="preserve"> a</w:t>
      </w:r>
      <w:r w:rsidR="00850CE8">
        <w:rPr>
          <w:rFonts w:ascii="Times New Roman" w:hAnsi="Times New Roman"/>
        </w:rPr>
        <w:t xml:space="preserve"> </w:t>
      </w:r>
      <w:r w:rsidRPr="00850CE8" w:rsidR="00850CE8">
        <w:rPr>
          <w:rFonts w:ascii="Times New Roman" w:hAnsi="Times New Roman"/>
        </w:rPr>
        <w:t xml:space="preserve">common declaration </w:t>
      </w:r>
      <w:r w:rsidR="00325BBA">
        <w:rPr>
          <w:rFonts w:ascii="Times New Roman" w:hAnsi="Times New Roman"/>
        </w:rPr>
        <w:t xml:space="preserve">by the </w:t>
      </w:r>
      <w:r w:rsidRPr="00325BBA" w:rsidR="00850CE8">
        <w:rPr>
          <w:rFonts w:ascii="Times New Roman" w:hAnsi="Times New Roman"/>
          <w:u w:val="single"/>
        </w:rPr>
        <w:t>Bulgaria</w:t>
      </w:r>
      <w:r w:rsidRPr="00325BBA" w:rsidR="00325BBA">
        <w:rPr>
          <w:rFonts w:ascii="Times New Roman" w:hAnsi="Times New Roman"/>
          <w:u w:val="single"/>
        </w:rPr>
        <w:t>n</w:t>
      </w:r>
      <w:r w:rsidRPr="00325BBA" w:rsidR="00850CE8">
        <w:rPr>
          <w:rFonts w:ascii="Times New Roman" w:hAnsi="Times New Roman"/>
          <w:u w:val="single"/>
        </w:rPr>
        <w:t xml:space="preserve">, Czech, </w:t>
      </w:r>
      <w:r w:rsidRPr="00325BBA" w:rsidR="00325BBA">
        <w:rPr>
          <w:rFonts w:ascii="Times New Roman" w:hAnsi="Times New Roman"/>
          <w:u w:val="single"/>
        </w:rPr>
        <w:t>Latvian,</w:t>
      </w:r>
      <w:r w:rsidR="00325BBA">
        <w:rPr>
          <w:rFonts w:ascii="Times New Roman" w:hAnsi="Times New Roman"/>
          <w:u w:val="single"/>
        </w:rPr>
        <w:t xml:space="preserve"> </w:t>
      </w:r>
      <w:r w:rsidRPr="00325BBA" w:rsidR="00850CE8">
        <w:rPr>
          <w:rFonts w:ascii="Times New Roman" w:hAnsi="Times New Roman"/>
          <w:u w:val="single"/>
        </w:rPr>
        <w:t>Hungar</w:t>
      </w:r>
      <w:r w:rsidRPr="00325BBA" w:rsidR="00325BBA">
        <w:rPr>
          <w:rFonts w:ascii="Times New Roman" w:hAnsi="Times New Roman"/>
          <w:u w:val="single"/>
        </w:rPr>
        <w:t>ian</w:t>
      </w:r>
      <w:r w:rsidRPr="00325BBA" w:rsidR="00850CE8">
        <w:rPr>
          <w:rFonts w:ascii="Times New Roman" w:hAnsi="Times New Roman"/>
          <w:u w:val="single"/>
        </w:rPr>
        <w:t>, Pol</w:t>
      </w:r>
      <w:r w:rsidRPr="00325BBA" w:rsidR="00325BBA">
        <w:rPr>
          <w:rFonts w:ascii="Times New Roman" w:hAnsi="Times New Roman"/>
          <w:u w:val="single"/>
        </w:rPr>
        <w:t>ish</w:t>
      </w:r>
      <w:r w:rsidRPr="00325BBA" w:rsidR="00850CE8">
        <w:rPr>
          <w:rFonts w:ascii="Times New Roman" w:hAnsi="Times New Roman"/>
          <w:u w:val="single"/>
        </w:rPr>
        <w:t>, Romania</w:t>
      </w:r>
      <w:r w:rsidRPr="00325BBA" w:rsidR="00325BBA">
        <w:rPr>
          <w:rFonts w:ascii="Times New Roman" w:hAnsi="Times New Roman"/>
          <w:u w:val="single"/>
        </w:rPr>
        <w:t>n and</w:t>
      </w:r>
      <w:r w:rsidRPr="00325BBA" w:rsidR="00850CE8">
        <w:rPr>
          <w:rFonts w:ascii="Times New Roman" w:hAnsi="Times New Roman"/>
          <w:u w:val="single"/>
        </w:rPr>
        <w:t xml:space="preserve"> Slovakia</w:t>
      </w:r>
      <w:r w:rsidRPr="00325BBA" w:rsidR="00325BBA">
        <w:rPr>
          <w:rFonts w:ascii="Times New Roman" w:hAnsi="Times New Roman"/>
          <w:u w:val="single"/>
        </w:rPr>
        <w:t>n</w:t>
      </w:r>
      <w:r w:rsidRPr="00325BBA" w:rsidR="00850CE8">
        <w:rPr>
          <w:rFonts w:ascii="Times New Roman" w:hAnsi="Times New Roman"/>
          <w:u w:val="single"/>
        </w:rPr>
        <w:t xml:space="preserve"> </w:t>
      </w:r>
      <w:r w:rsidRPr="00325BBA" w:rsidR="00325BBA">
        <w:rPr>
          <w:rFonts w:ascii="Times New Roman" w:hAnsi="Times New Roman"/>
          <w:u w:val="single"/>
        </w:rPr>
        <w:t>delegations</w:t>
      </w:r>
      <w:r w:rsidR="00325BBA">
        <w:rPr>
          <w:rFonts w:ascii="Times New Roman" w:hAnsi="Times New Roman"/>
        </w:rPr>
        <w:t xml:space="preserve">, supported by the </w:t>
      </w:r>
      <w:r w:rsidRPr="00325BBA" w:rsidR="00325BBA">
        <w:rPr>
          <w:rFonts w:ascii="Times New Roman" w:hAnsi="Times New Roman"/>
          <w:u w:val="single"/>
        </w:rPr>
        <w:t>Slovenian delegation</w:t>
      </w:r>
      <w:r w:rsidR="00325BBA">
        <w:rPr>
          <w:rFonts w:ascii="Times New Roman" w:hAnsi="Times New Roman"/>
        </w:rPr>
        <w:t xml:space="preserve"> </w:t>
      </w:r>
      <w:r w:rsidRPr="00850CE8" w:rsidR="00850CE8">
        <w:rPr>
          <w:rFonts w:ascii="Times New Roman" w:hAnsi="Times New Roman"/>
        </w:rPr>
        <w:t>on coupled support</w:t>
      </w:r>
      <w:r w:rsidR="00850CE8">
        <w:rPr>
          <w:rFonts w:ascii="Times New Roman" w:hAnsi="Times New Roman"/>
        </w:rPr>
        <w:t>.</w:t>
      </w:r>
    </w:p>
    <w:p w:rsidR="007B261A" w:rsidRPr="00283DCB" w:rsidP="00B81F10">
      <w:pPr>
        <w:bidi w:val="0"/>
        <w:spacing w:line="288" w:lineRule="auto"/>
        <w:ind w:left="360"/>
        <w:jc w:val="center"/>
        <w:rPr>
          <w:rFonts w:ascii="Times New Roman" w:hAnsi="Times New Roman"/>
          <w:szCs w:val="24"/>
        </w:rPr>
      </w:pPr>
      <w:bookmarkEnd w:id="10"/>
      <w:r w:rsidRPr="00283DCB" w:rsidR="00BA740B">
        <w:rPr>
          <w:rFonts w:ascii="Times New Roman" w:hAnsi="Times New Roman"/>
          <w:szCs w:val="24"/>
        </w:rPr>
        <w:t>____________</w:t>
      </w:r>
    </w:p>
    <w:p w:rsidR="002B45D4" w:rsidP="00B81F10">
      <w:pPr>
        <w:bidi w:val="0"/>
        <w:spacing w:line="288" w:lineRule="auto"/>
        <w:ind w:left="360"/>
        <w:jc w:val="center"/>
        <w:rPr>
          <w:rFonts w:ascii="Times New Roman" w:hAnsi="Times New Roman"/>
          <w:b/>
          <w:szCs w:val="24"/>
        </w:rPr>
        <w:sectPr w:rsidSect="00541A05">
          <w:headerReference w:type="default" r:id="rId5"/>
          <w:footerReference w:type="default" r:id="rId6"/>
          <w:footnotePr>
            <w:numRestart w:val="eachPage"/>
          </w:footnotePr>
          <w:endnotePr>
            <w:numFmt w:val="decimal"/>
          </w:endnotePr>
          <w:pgSz w:w="11907" w:h="16840" w:code="9"/>
          <w:pgMar w:top="1134" w:right="1134" w:bottom="1134" w:left="1134" w:header="567" w:footer="567" w:gutter="0"/>
          <w:lnNumType w:distance="0"/>
          <w:cols w:space="708"/>
          <w:noEndnote w:val="0"/>
          <w:bidi w:val="0"/>
        </w:sectPr>
      </w:pPr>
    </w:p>
    <w:p w:rsidR="00F60F0E" w:rsidP="00F60F0E">
      <w:pPr>
        <w:bidi w:val="0"/>
        <w:jc w:val="right"/>
        <w:outlineLvl w:val="0"/>
        <w:rPr>
          <w:rFonts w:ascii="Times New Roman" w:hAnsi="Times New Roman"/>
          <w:b/>
          <w:u w:val="single"/>
        </w:rPr>
      </w:pPr>
      <w:r w:rsidR="005716D5">
        <w:rPr>
          <w:rFonts w:ascii="Times New Roman" w:hAnsi="Times New Roman"/>
          <w:b/>
          <w:u w:val="single"/>
        </w:rPr>
        <w:t>ANNEX</w:t>
      </w:r>
    </w:p>
    <w:p w:rsidR="00D760B8" w:rsidRPr="003B618C" w:rsidP="00F60F0E">
      <w:pPr>
        <w:bidi w:val="0"/>
        <w:jc w:val="right"/>
        <w:outlineLvl w:val="0"/>
        <w:rPr>
          <w:rFonts w:ascii="Times New Roman" w:hAnsi="Times New Roman"/>
          <w:b/>
          <w:u w:val="single"/>
        </w:rPr>
      </w:pPr>
    </w:p>
    <w:p w:rsidR="00BE5A7B" w:rsidP="00916453">
      <w:pPr>
        <w:bidi w:val="0"/>
        <w:jc w:val="center"/>
        <w:rPr>
          <w:rFonts w:ascii="Times New Roman" w:hAnsi="Times New Roman"/>
          <w:b/>
        </w:rPr>
      </w:pPr>
      <w:r w:rsidRPr="005305D7">
        <w:rPr>
          <w:rFonts w:ascii="Times New Roman" w:hAnsi="Times New Roman"/>
          <w:b/>
          <w:lang w:val="en-US"/>
        </w:rPr>
        <w:t>COMMON DECLARATION OF BULGARIA</w:t>
      </w:r>
      <w:r>
        <w:rPr>
          <w:rFonts w:ascii="Times New Roman" w:hAnsi="Times New Roman"/>
          <w:b/>
        </w:rPr>
        <w:t xml:space="preserve">, </w:t>
      </w:r>
      <w:r>
        <w:rPr>
          <w:rFonts w:ascii="Times New Roman" w:hAnsi="Times New Roman"/>
          <w:b/>
          <w:lang w:val="en-US"/>
        </w:rPr>
        <w:t>THE CZECH REPUBLIC,</w:t>
      </w:r>
      <w:r w:rsidR="00325BBA">
        <w:rPr>
          <w:rFonts w:ascii="Times New Roman" w:hAnsi="Times New Roman"/>
          <w:b/>
          <w:lang w:val="en-US"/>
        </w:rPr>
        <w:t xml:space="preserve"> LATVIA, </w:t>
      </w:r>
      <w:r>
        <w:rPr>
          <w:rFonts w:ascii="Times New Roman" w:hAnsi="Times New Roman"/>
          <w:b/>
          <w:lang w:val="en-US"/>
        </w:rPr>
        <w:t>HUNGARY, POLAND, ROMANIA, SLOVAKIA</w:t>
      </w:r>
      <w:r>
        <w:rPr>
          <w:rFonts w:ascii="Times New Roman" w:hAnsi="Times New Roman"/>
          <w:b/>
        </w:rPr>
        <w:t xml:space="preserve"> </w:t>
      </w:r>
      <w:r w:rsidRPr="005305D7">
        <w:rPr>
          <w:rFonts w:ascii="Times New Roman" w:hAnsi="Times New Roman"/>
          <w:b/>
          <w:lang w:val="en-US"/>
        </w:rPr>
        <w:t>ON COUPLED SUPPORT</w:t>
      </w:r>
    </w:p>
    <w:p w:rsidR="00BE5A7B" w:rsidP="00916453">
      <w:pPr>
        <w:bidi w:val="0"/>
        <w:jc w:val="center"/>
        <w:rPr>
          <w:rFonts w:ascii="Times New Roman" w:hAnsi="Times New Roman"/>
          <w:lang w:val="en-US"/>
        </w:rPr>
      </w:pPr>
      <w:r>
        <w:rPr>
          <w:rFonts w:ascii="Times New Roman" w:hAnsi="Times New Roman"/>
          <w:lang w:val="en-US"/>
        </w:rPr>
        <w:t>(Supported by Slovenia)</w:t>
      </w:r>
    </w:p>
    <w:p w:rsidR="00300753" w:rsidP="00BE5A7B">
      <w:pPr>
        <w:bidi w:val="0"/>
        <w:spacing w:before="120"/>
        <w:jc w:val="both"/>
        <w:rPr>
          <w:rFonts w:ascii="Times New Roman" w:hAnsi="Times New Roman"/>
          <w:lang w:val="en-US"/>
        </w:rPr>
      </w:pPr>
    </w:p>
    <w:p w:rsidR="00BE5A7B" w:rsidP="00300753">
      <w:pPr>
        <w:bidi w:val="0"/>
        <w:rPr>
          <w:rFonts w:ascii="Times New Roman" w:hAnsi="Times New Roman"/>
          <w:lang w:val="en-US"/>
        </w:rPr>
      </w:pPr>
      <w:r w:rsidRPr="00300753">
        <w:rPr>
          <w:rFonts w:ascii="Times New Roman" w:hAnsi="Times New Roman"/>
          <w:lang w:val="en-US"/>
        </w:rPr>
        <w:t>The Common Agricultural Policy (CAP) reform should guarantee equal treatment and possibilities for all Member States.</w:t>
      </w:r>
    </w:p>
    <w:p w:rsidR="00300753" w:rsidRPr="00300753" w:rsidP="00300753">
      <w:pPr>
        <w:bidi w:val="0"/>
        <w:rPr>
          <w:rFonts w:ascii="Times New Roman" w:hAnsi="Times New Roman"/>
          <w:lang w:val="en-US"/>
        </w:rPr>
      </w:pPr>
    </w:p>
    <w:p w:rsidR="00BE5A7B" w:rsidRPr="00300753" w:rsidP="00300753">
      <w:pPr>
        <w:bidi w:val="0"/>
        <w:rPr>
          <w:rFonts w:ascii="Times New Roman" w:hAnsi="Times New Roman"/>
          <w:lang w:val="en-US"/>
        </w:rPr>
      </w:pPr>
      <w:r w:rsidRPr="00300753">
        <w:rPr>
          <w:rFonts w:ascii="Times New Roman" w:hAnsi="Times New Roman"/>
          <w:lang w:val="en-US"/>
        </w:rPr>
        <w:t>Coupled support is an extremely important instrument of CAP because it ensures support for sectors with particular difficulties and has significant contribution in solving specific regional problems.</w:t>
      </w:r>
    </w:p>
    <w:p w:rsidR="00BE5A7B" w:rsidP="00300753">
      <w:pPr>
        <w:bidi w:val="0"/>
        <w:rPr>
          <w:rFonts w:ascii="Times New Roman" w:hAnsi="Times New Roman"/>
          <w:lang w:val="en-US"/>
        </w:rPr>
      </w:pPr>
      <w:r w:rsidRPr="00300753">
        <w:rPr>
          <w:rFonts w:ascii="Times New Roman" w:hAnsi="Times New Roman"/>
          <w:lang w:val="en-US"/>
        </w:rPr>
        <w:t>At present, the limitation of a maximum 3.5% of the national ceiling for coupled support according to Article 68 of Regulation 73/2009 and the impossibility to implement other coupled support schemes do not allow new Member States to allocate more than 10% for coupled direct support. The current restriction should not limit the future opportunity for larger package for voluntary coupled support.</w:t>
      </w:r>
    </w:p>
    <w:p w:rsidR="00300753" w:rsidRPr="00300753" w:rsidP="00300753">
      <w:pPr>
        <w:bidi w:val="0"/>
        <w:rPr>
          <w:rFonts w:ascii="Times New Roman" w:hAnsi="Times New Roman"/>
          <w:lang w:val="en-US"/>
        </w:rPr>
      </w:pPr>
    </w:p>
    <w:p w:rsidR="00BE5A7B" w:rsidP="00300753">
      <w:pPr>
        <w:bidi w:val="0"/>
        <w:rPr>
          <w:rFonts w:ascii="Times New Roman" w:hAnsi="Times New Roman"/>
          <w:lang w:val="en-US"/>
        </w:rPr>
      </w:pPr>
      <w:r w:rsidRPr="00300753">
        <w:rPr>
          <w:rFonts w:ascii="Times New Roman" w:hAnsi="Times New Roman"/>
          <w:lang w:val="en-US"/>
        </w:rPr>
        <w:t>Without prejudice to the Joint proposal for the differentiated basic payment (document 11152</w:t>
      </w:r>
      <w:r w:rsidRPr="00300753">
        <w:rPr>
          <w:rFonts w:ascii="Times New Roman" w:hAnsi="Times New Roman"/>
        </w:rPr>
        <w:t>/12)</w:t>
      </w:r>
      <w:r w:rsidRPr="00300753">
        <w:rPr>
          <w:rFonts w:ascii="Times New Roman" w:hAnsi="Times New Roman"/>
          <w:lang w:val="en-US"/>
        </w:rPr>
        <w:t>, we invite the Commission to explore all possibilities which could allow equal treatment of Member States and introduction of an option also for the Member States applying SAPS to be able to notify more than 10% for coupled support for the next programming period</w:t>
      </w:r>
      <w:r w:rsidR="00916453">
        <w:rPr>
          <w:rFonts w:ascii="Times New Roman" w:hAnsi="Times New Roman"/>
          <w:lang w:val="en-US"/>
        </w:rPr>
        <w:t xml:space="preserve">. </w:t>
      </w:r>
      <w:r w:rsidRPr="00300753">
        <w:rPr>
          <w:rFonts w:ascii="Times New Roman" w:hAnsi="Times New Roman"/>
          <w:lang w:val="en-US"/>
        </w:rPr>
        <w:t>Therefore we propose amendment in Art. 39, paragraph 3 of the draft Regulation on direct payments, providing explicit text for the Member States applying SAPS to be able to allocate more than 10% for coupled support.</w:t>
      </w:r>
    </w:p>
    <w:p w:rsidR="00E830FE" w:rsidRPr="00300753" w:rsidP="00300753">
      <w:pPr>
        <w:bidi w:val="0"/>
        <w:rPr>
          <w:rFonts w:ascii="Times New Roman" w:hAnsi="Times New Roman"/>
          <w:lang w:val="en-US"/>
        </w:rPr>
      </w:pPr>
    </w:p>
    <w:p w:rsidR="00BE5A7B" w:rsidRPr="00300753" w:rsidP="00300753">
      <w:pPr>
        <w:pStyle w:val="Titrearticle"/>
        <w:bidi w:val="0"/>
        <w:spacing w:before="0" w:after="0" w:line="360" w:lineRule="auto"/>
        <w:rPr>
          <w:rFonts w:ascii="Times New Roman" w:hAnsi="Times New Roman"/>
          <w:noProof/>
        </w:rPr>
      </w:pPr>
      <w:r w:rsidRPr="00300753">
        <w:rPr>
          <w:rFonts w:ascii="Times New Roman" w:hAnsi="Times New Roman"/>
          <w:noProof/>
        </w:rPr>
        <w:t>Article 39</w:t>
      </w:r>
    </w:p>
    <w:p w:rsidR="00BE5A7B" w:rsidP="00300753">
      <w:pPr>
        <w:autoSpaceDE w:val="0"/>
        <w:autoSpaceDN w:val="0"/>
        <w:bidi w:val="0"/>
        <w:adjustRightInd w:val="0"/>
        <w:jc w:val="center"/>
        <w:rPr>
          <w:rFonts w:ascii="Times New Roman" w:hAnsi="Times New Roman"/>
          <w:b/>
          <w:noProof/>
        </w:rPr>
      </w:pPr>
      <w:r w:rsidRPr="00300753">
        <w:rPr>
          <w:rFonts w:ascii="Times New Roman" w:hAnsi="Times New Roman"/>
          <w:b/>
          <w:noProof/>
        </w:rPr>
        <w:t>Financial provisions</w:t>
      </w:r>
    </w:p>
    <w:p w:rsidR="00E830FE" w:rsidRPr="00300753" w:rsidP="00300753">
      <w:pPr>
        <w:autoSpaceDE w:val="0"/>
        <w:autoSpaceDN w:val="0"/>
        <w:bidi w:val="0"/>
        <w:adjustRightInd w:val="0"/>
        <w:jc w:val="center"/>
        <w:rPr>
          <w:rFonts w:ascii="Times New Roman" w:hAnsi="Times New Roman"/>
          <w:b/>
          <w:noProof/>
        </w:rPr>
      </w:pPr>
    </w:p>
    <w:p w:rsidR="00E830FE" w:rsidP="00E830FE">
      <w:pPr>
        <w:pStyle w:val="ManualNumPar1"/>
        <w:bidi w:val="0"/>
        <w:spacing w:before="0" w:after="0" w:line="360" w:lineRule="auto"/>
        <w:jc w:val="left"/>
        <w:rPr>
          <w:rFonts w:ascii="Times New Roman" w:hAnsi="Times New Roman"/>
          <w:noProof/>
        </w:rPr>
      </w:pPr>
      <w:r w:rsidRPr="00300753" w:rsidR="00BE5A7B">
        <w:rPr>
          <w:rFonts w:ascii="Times New Roman" w:hAnsi="Times New Roman"/>
          <w:noProof/>
        </w:rPr>
        <w:t>1.</w:t>
        <w:tab/>
        <w:t>In order to finance the voluntary coupled support, Member States may decide, by 1 August of the year preceding the first year of implementation of such support, to use up to 5 % of their annual national ceiling set out in Annex II.</w:t>
      </w:r>
    </w:p>
    <w:p w:rsidR="00BE5A7B" w:rsidP="00E830FE">
      <w:pPr>
        <w:pStyle w:val="ManualNumPar1"/>
        <w:bidi w:val="0"/>
        <w:spacing w:before="0" w:after="0" w:line="360" w:lineRule="auto"/>
        <w:jc w:val="left"/>
        <w:rPr>
          <w:rFonts w:ascii="Times New Roman" w:hAnsi="Times New Roman"/>
          <w:noProof/>
        </w:rPr>
      </w:pPr>
      <w:r w:rsidR="00E830FE">
        <w:rPr>
          <w:rFonts w:ascii="Times New Roman" w:hAnsi="Times New Roman"/>
          <w:noProof/>
        </w:rPr>
        <w:br w:type="page"/>
      </w:r>
      <w:r w:rsidRPr="00300753">
        <w:rPr>
          <w:rFonts w:ascii="Times New Roman" w:hAnsi="Times New Roman"/>
          <w:noProof/>
        </w:rPr>
        <w:t>2.</w:t>
        <w:tab/>
        <w:t xml:space="preserve">By way of derogation from paragraph 1, Member States may decide to use up to 10 % of the annual national ceiling set out in Annex II provided that: </w:t>
      </w:r>
    </w:p>
    <w:p w:rsidR="00E830FE" w:rsidRPr="00E830FE" w:rsidP="00E830FE">
      <w:pPr>
        <w:bidi w:val="0"/>
        <w:rPr>
          <w:rFonts w:ascii="Times New Roman" w:hAnsi="Times New Roman"/>
          <w:lang w:val="en-US"/>
        </w:rPr>
      </w:pPr>
    </w:p>
    <w:p w:rsidR="00E830FE" w:rsidRPr="00E830FE" w:rsidP="00E830FE">
      <w:pPr>
        <w:pStyle w:val="ManualNumPar1"/>
        <w:bidi w:val="0"/>
        <w:spacing w:before="0" w:after="0" w:line="360" w:lineRule="auto"/>
        <w:ind w:left="1435" w:hanging="585"/>
        <w:jc w:val="left"/>
        <w:rPr>
          <w:rFonts w:ascii="Times New Roman" w:hAnsi="Times New Roman"/>
          <w:noProof/>
        </w:rPr>
      </w:pPr>
      <w:r w:rsidRPr="00300753" w:rsidR="00BE5A7B">
        <w:rPr>
          <w:rFonts w:ascii="Times New Roman" w:hAnsi="Times New Roman"/>
          <w:noProof/>
        </w:rPr>
        <w:t>(a)</w:t>
        <w:tab/>
        <w:t>they applied, until 31 December 2013, the single area payment scheme as laid down in Title V of Regulation (EC) No 73/2009, or financed measures under Article 111 of that Regulation, or are concerned by the derogation provided for in Article 69(5), or, in the case of Malta, in Article 69(1) of that Regulation; and/or</w:t>
      </w:r>
    </w:p>
    <w:p w:rsidR="00BE5A7B" w:rsidP="00E830FE">
      <w:pPr>
        <w:pStyle w:val="ManualNumPar1"/>
        <w:bidi w:val="0"/>
        <w:spacing w:before="0" w:after="0" w:line="360" w:lineRule="auto"/>
        <w:ind w:left="1435" w:hanging="585"/>
        <w:jc w:val="left"/>
        <w:rPr>
          <w:rFonts w:ascii="Times New Roman" w:eastAsia="Arial Unicode MS" w:hAnsi="Times New Roman"/>
          <w:noProof/>
          <w:lang w:eastAsia="en-GB"/>
        </w:rPr>
      </w:pPr>
      <w:r w:rsidRPr="00300753">
        <w:rPr>
          <w:rFonts w:ascii="Times New Roman" w:hAnsi="Times New Roman"/>
          <w:noProof/>
        </w:rPr>
        <w:t>(b)</w:t>
        <w:tab/>
        <w:t>they allocated, during at least one year in the period 2010-2013, more than 5</w:t>
      </w:r>
      <w:r w:rsidR="00E830FE">
        <w:rPr>
          <w:rFonts w:ascii="Times New Roman" w:hAnsi="Times New Roman"/>
          <w:noProof/>
        </w:rPr>
        <w:t> </w:t>
      </w:r>
      <w:r w:rsidRPr="00300753">
        <w:rPr>
          <w:rFonts w:ascii="Times New Roman" w:hAnsi="Times New Roman"/>
          <w:noProof/>
        </w:rPr>
        <w:t xml:space="preserve">% of </w:t>
      </w:r>
      <w:r w:rsidRPr="00300753">
        <w:rPr>
          <w:rFonts w:ascii="Times New Roman" w:hAnsi="Times New Roman"/>
          <w:noProof/>
          <w:lang w:eastAsia="en-GB"/>
        </w:rPr>
        <w:t xml:space="preserve">their amount available for granting the direct payments provided for in Titles III, IV and V of Regulation (EC) No 73/2009, with the exception </w:t>
      </w:r>
      <w:r w:rsidRPr="00300753">
        <w:rPr>
          <w:rFonts w:ascii="Times New Roman" w:eastAsia="Arial Unicode MS" w:hAnsi="Times New Roman"/>
          <w:noProof/>
          <w:lang w:eastAsia="en-GB"/>
        </w:rPr>
        <w:t>of Section 6 of Chapter</w:t>
      </w:r>
      <w:r w:rsidR="00E830FE">
        <w:rPr>
          <w:rFonts w:ascii="Times New Roman" w:eastAsia="Arial Unicode MS" w:hAnsi="Times New Roman"/>
          <w:noProof/>
          <w:lang w:eastAsia="en-GB"/>
        </w:rPr>
        <w:t> </w:t>
      </w:r>
      <w:r w:rsidRPr="00300753">
        <w:rPr>
          <w:rFonts w:ascii="Times New Roman" w:eastAsia="Arial Unicode MS" w:hAnsi="Times New Roman"/>
          <w:noProof/>
          <w:lang w:eastAsia="en-GB"/>
        </w:rPr>
        <w:t xml:space="preserve">1 of Title IV, </w:t>
      </w:r>
      <w:r w:rsidRPr="00300753">
        <w:rPr>
          <w:rFonts w:ascii="Times New Roman" w:hAnsi="Times New Roman"/>
          <w:noProof/>
          <w:lang w:eastAsia="en-GB"/>
        </w:rPr>
        <w:t>for financing the measures laid down in Section 2 of Chapter 2 of Title</w:t>
      </w:r>
      <w:r w:rsidR="00E830FE">
        <w:rPr>
          <w:rFonts w:ascii="Times New Roman" w:hAnsi="Times New Roman"/>
          <w:noProof/>
          <w:lang w:eastAsia="en-GB"/>
        </w:rPr>
        <w:t> </w:t>
      </w:r>
      <w:r w:rsidRPr="00300753">
        <w:rPr>
          <w:rFonts w:ascii="Times New Roman" w:hAnsi="Times New Roman"/>
          <w:noProof/>
          <w:lang w:eastAsia="en-GB"/>
        </w:rPr>
        <w:t>III of Regulation (EC) No 73/2009, the support provided for in points (i) to</w:t>
      </w:r>
      <w:r w:rsidR="00E830FE">
        <w:rPr>
          <w:rFonts w:ascii="Times New Roman" w:hAnsi="Times New Roman"/>
          <w:noProof/>
          <w:lang w:eastAsia="en-GB"/>
        </w:rPr>
        <w:t> </w:t>
      </w:r>
      <w:r w:rsidRPr="00300753">
        <w:rPr>
          <w:rFonts w:ascii="Times New Roman" w:hAnsi="Times New Roman"/>
          <w:noProof/>
          <w:lang w:eastAsia="en-GB"/>
        </w:rPr>
        <w:t>(iv) of paragraph 1(a) and paragraphs 1(b) and (e) of Article 68 of that Regulation, or the measures under Chapter 1</w:t>
      </w:r>
      <w:r w:rsidRPr="00300753">
        <w:rPr>
          <w:rFonts w:ascii="Times New Roman" w:eastAsia="Arial Unicode MS" w:hAnsi="Times New Roman"/>
          <w:noProof/>
          <w:lang w:eastAsia="en-GB"/>
        </w:rPr>
        <w:t>, wi</w:t>
      </w:r>
      <w:r w:rsidRPr="00300753">
        <w:rPr>
          <w:rFonts w:ascii="Times New Roman" w:eastAsia="Arial Unicode MS" w:hAnsi="Times New Roman"/>
          <w:noProof/>
          <w:lang w:eastAsia="en-GB"/>
        </w:rPr>
        <w:t>th the exception of Section 6, of Title</w:t>
      </w:r>
      <w:r w:rsidR="00E830FE">
        <w:rPr>
          <w:rFonts w:ascii="Times New Roman" w:eastAsia="Arial Unicode MS" w:hAnsi="Times New Roman"/>
          <w:noProof/>
          <w:lang w:eastAsia="en-GB"/>
        </w:rPr>
        <w:t> </w:t>
      </w:r>
      <w:r w:rsidRPr="00300753">
        <w:rPr>
          <w:rFonts w:ascii="Times New Roman" w:eastAsia="Arial Unicode MS" w:hAnsi="Times New Roman"/>
          <w:noProof/>
          <w:lang w:eastAsia="en-GB"/>
        </w:rPr>
        <w:t>IV of that Regulation.</w:t>
      </w:r>
    </w:p>
    <w:p w:rsidR="00E830FE" w:rsidRPr="00E830FE" w:rsidP="00E830FE">
      <w:pPr>
        <w:bidi w:val="0"/>
        <w:rPr>
          <w:rFonts w:ascii="Times New Roman" w:hAnsi="Times New Roman"/>
        </w:rPr>
      </w:pPr>
    </w:p>
    <w:p w:rsidR="00BE5A7B" w:rsidP="00E830FE">
      <w:pPr>
        <w:pStyle w:val="ManualNumPar1"/>
        <w:bidi w:val="0"/>
        <w:spacing w:before="0" w:after="0" w:line="360" w:lineRule="auto"/>
        <w:jc w:val="left"/>
        <w:rPr>
          <w:rFonts w:ascii="Times New Roman" w:hAnsi="Times New Roman"/>
          <w:noProof/>
        </w:rPr>
      </w:pPr>
      <w:r w:rsidRPr="00300753">
        <w:rPr>
          <w:rFonts w:ascii="Times New Roman" w:hAnsi="Times New Roman"/>
          <w:noProof/>
        </w:rPr>
        <w:t>3.</w:t>
        <w:tab/>
        <w:t xml:space="preserve">By way of derogation from paragraph 2, Member States having allocated during at least one year in the period 2010-2013 more than 10 % of </w:t>
      </w:r>
      <w:r w:rsidRPr="00300753">
        <w:rPr>
          <w:rFonts w:ascii="Times New Roman" w:hAnsi="Times New Roman"/>
          <w:noProof/>
          <w:lang w:eastAsia="en-GB"/>
        </w:rPr>
        <w:t xml:space="preserve">their amount available for granting the direct payments provided for in Titles III, IV and V of Regulation (EC) No 73/2009, with the exception </w:t>
      </w:r>
      <w:r w:rsidRPr="00300753">
        <w:rPr>
          <w:rFonts w:ascii="Times New Roman" w:eastAsia="Arial Unicode MS" w:hAnsi="Times New Roman"/>
          <w:noProof/>
          <w:lang w:eastAsia="en-GB"/>
        </w:rPr>
        <w:t xml:space="preserve">of Section 6 of Chapter 1 of Title IV, </w:t>
      </w:r>
      <w:r w:rsidRPr="00300753">
        <w:rPr>
          <w:rFonts w:ascii="Times New Roman" w:hAnsi="Times New Roman"/>
          <w:noProof/>
          <w:lang w:eastAsia="en-GB"/>
        </w:rPr>
        <w:t>for financing the measures laid down in Section 2 of Chapter 2 of Title III of Regulation (EC) No 73/2009, the support provided for in points (i) to (iv) of paragraph 1(a) and paragraphs 1(b) and (e) of Article</w:t>
      </w:r>
      <w:r w:rsidR="00E830FE">
        <w:rPr>
          <w:rFonts w:ascii="Times New Roman" w:hAnsi="Times New Roman"/>
          <w:noProof/>
          <w:lang w:eastAsia="en-GB"/>
        </w:rPr>
        <w:t> </w:t>
      </w:r>
      <w:r w:rsidRPr="00300753">
        <w:rPr>
          <w:rFonts w:ascii="Times New Roman" w:hAnsi="Times New Roman"/>
          <w:noProof/>
          <w:lang w:eastAsia="en-GB"/>
        </w:rPr>
        <w:t>68 of that Regulation, or the measures under Chapter 1</w:t>
      </w:r>
      <w:r w:rsidRPr="00300753">
        <w:rPr>
          <w:rFonts w:ascii="Times New Roman" w:eastAsia="Arial Unicode MS" w:hAnsi="Times New Roman"/>
          <w:noProof/>
          <w:lang w:eastAsia="en-GB"/>
        </w:rPr>
        <w:t>, with</w:t>
      </w:r>
      <w:r w:rsidR="00E830FE">
        <w:rPr>
          <w:rFonts w:ascii="Times New Roman" w:eastAsia="Arial Unicode MS" w:hAnsi="Times New Roman"/>
          <w:noProof/>
          <w:lang w:eastAsia="en-GB"/>
        </w:rPr>
        <w:t xml:space="preserve"> the exception of Section 6, of </w:t>
      </w:r>
      <w:r w:rsidRPr="00300753">
        <w:rPr>
          <w:rFonts w:ascii="Times New Roman" w:eastAsia="Arial Unicode MS" w:hAnsi="Times New Roman"/>
          <w:noProof/>
          <w:lang w:eastAsia="en-GB"/>
        </w:rPr>
        <w:t>Title IV of that Regulation</w:t>
      </w:r>
      <w:r w:rsidRPr="00300753">
        <w:rPr>
          <w:rFonts w:ascii="Times New Roman" w:eastAsia="Arial Unicode MS" w:hAnsi="Times New Roman"/>
          <w:noProof/>
          <w:lang w:val="en-US" w:eastAsia="en-GB"/>
        </w:rPr>
        <w:t xml:space="preserve">, </w:t>
      </w:r>
      <w:r w:rsidRPr="00300753">
        <w:rPr>
          <w:rFonts w:ascii="Times New Roman" w:eastAsia="Arial Unicode MS" w:hAnsi="Times New Roman"/>
          <w:b/>
          <w:noProof/>
          <w:lang w:val="en-US" w:eastAsia="en-GB"/>
        </w:rPr>
        <w:t xml:space="preserve">as well as Member States </w:t>
      </w:r>
      <w:r w:rsidRPr="00300753">
        <w:rPr>
          <w:rFonts w:ascii="Times New Roman" w:hAnsi="Times New Roman"/>
          <w:b/>
          <w:noProof/>
        </w:rPr>
        <w:t>which applied the single</w:t>
      </w:r>
      <w:r w:rsidRPr="00300753">
        <w:rPr>
          <w:rFonts w:ascii="Times New Roman" w:hAnsi="Times New Roman"/>
          <w:b/>
          <w:noProof/>
          <w:lang w:val="bg-BG"/>
        </w:rPr>
        <w:t xml:space="preserve"> </w:t>
      </w:r>
      <w:r w:rsidRPr="00300753">
        <w:rPr>
          <w:rFonts w:ascii="Times New Roman" w:hAnsi="Times New Roman"/>
          <w:b/>
          <w:noProof/>
          <w:lang w:val="en-US"/>
        </w:rPr>
        <w:t>area</w:t>
      </w:r>
      <w:r w:rsidRPr="00300753">
        <w:rPr>
          <w:rFonts w:ascii="Times New Roman" w:hAnsi="Times New Roman"/>
          <w:b/>
          <w:noProof/>
        </w:rPr>
        <w:t xml:space="preserve"> payment scheme as provided for in Regulation (EC) No 73/</w:t>
      </w:r>
      <w:r w:rsidRPr="00300753">
        <w:rPr>
          <w:rFonts w:ascii="Times New Roman" w:hAnsi="Times New Roman"/>
          <w:b/>
        </w:rPr>
        <w:t>2009,</w:t>
      </w:r>
      <w:r w:rsidRPr="00300753">
        <w:rPr>
          <w:rFonts w:ascii="Times New Roman" w:hAnsi="Times New Roman"/>
          <w:noProof/>
        </w:rPr>
        <w:t xml:space="preserve"> may decide to use more than 10 % of the annual national ceiling set out in Annex II upon approval by the Commission in accordance with Article 41.</w:t>
      </w:r>
    </w:p>
    <w:p w:rsidR="00E830FE" w:rsidRPr="00E830FE" w:rsidP="00E830FE">
      <w:pPr>
        <w:bidi w:val="0"/>
        <w:rPr>
          <w:rFonts w:ascii="Times New Roman" w:hAnsi="Times New Roman"/>
          <w:lang w:val="en-US"/>
        </w:rPr>
      </w:pPr>
      <w:r>
        <w:rPr>
          <w:rFonts w:ascii="Times New Roman" w:hAnsi="Times New Roman"/>
          <w:lang w:val="en-US"/>
        </w:rPr>
        <w:br w:type="page"/>
      </w:r>
    </w:p>
    <w:p w:rsidR="00BE5A7B" w:rsidP="00E830FE">
      <w:pPr>
        <w:pStyle w:val="ManualNumPar1"/>
        <w:bidi w:val="0"/>
        <w:spacing w:before="0" w:after="0" w:line="360" w:lineRule="auto"/>
        <w:jc w:val="left"/>
        <w:rPr>
          <w:rFonts w:ascii="Times New Roman" w:hAnsi="Times New Roman"/>
          <w:noProof/>
        </w:rPr>
      </w:pPr>
      <w:r w:rsidRPr="00300753">
        <w:rPr>
          <w:rFonts w:ascii="Times New Roman" w:hAnsi="Times New Roman"/>
          <w:noProof/>
        </w:rPr>
        <w:t>4.</w:t>
        <w:tab/>
        <w:t>Member States may, by 1 August 2016, review their decision pursuant to paragraphs 1, 2 and 3 and decide, with effect from 2017:</w:t>
      </w:r>
    </w:p>
    <w:p w:rsidR="00E830FE" w:rsidRPr="00E830FE" w:rsidP="00E830FE">
      <w:pPr>
        <w:bidi w:val="0"/>
        <w:rPr>
          <w:rFonts w:ascii="Times New Roman" w:hAnsi="Times New Roman"/>
          <w:lang w:val="en-US"/>
        </w:rPr>
      </w:pPr>
    </w:p>
    <w:p w:rsidR="00E830FE" w:rsidRPr="00300753" w:rsidP="00E830FE">
      <w:pPr>
        <w:pStyle w:val="Point1"/>
        <w:bidi w:val="0"/>
        <w:spacing w:before="0" w:after="0" w:line="360" w:lineRule="auto"/>
        <w:jc w:val="left"/>
        <w:rPr>
          <w:rFonts w:ascii="Times New Roman" w:hAnsi="Times New Roman"/>
          <w:noProof/>
        </w:rPr>
      </w:pPr>
      <w:r w:rsidRPr="00300753" w:rsidR="00BE5A7B">
        <w:rPr>
          <w:rFonts w:ascii="Times New Roman" w:hAnsi="Times New Roman"/>
          <w:noProof/>
        </w:rPr>
        <w:t>(a)</w:t>
        <w:tab/>
        <w:t>to increase the percentage fixed pursuant to paragraphs 1 and 2, within the limits laid down therein where applicable, and, where appropriate, modify the conditions for granting the support;</w:t>
      </w:r>
    </w:p>
    <w:p w:rsidR="00E830FE" w:rsidRPr="00300753" w:rsidP="00E830FE">
      <w:pPr>
        <w:pStyle w:val="Point1"/>
        <w:bidi w:val="0"/>
        <w:spacing w:before="0" w:after="0" w:line="360" w:lineRule="auto"/>
        <w:jc w:val="left"/>
        <w:rPr>
          <w:rFonts w:ascii="Times New Roman" w:hAnsi="Times New Roman"/>
          <w:noProof/>
        </w:rPr>
      </w:pPr>
      <w:r w:rsidRPr="00300753" w:rsidR="00BE5A7B">
        <w:rPr>
          <w:rFonts w:ascii="Times New Roman" w:hAnsi="Times New Roman"/>
          <w:noProof/>
        </w:rPr>
        <w:t>(b)</w:t>
        <w:tab/>
        <w:t>to reduce the percentage used for the funding of coupled support and, where appropriate, modify the conditions for granting that support;</w:t>
      </w:r>
    </w:p>
    <w:p w:rsidR="00E830FE" w:rsidP="00E830FE">
      <w:pPr>
        <w:pStyle w:val="Point1"/>
        <w:bidi w:val="0"/>
        <w:spacing w:before="0" w:after="0" w:line="360" w:lineRule="auto"/>
        <w:jc w:val="left"/>
        <w:rPr>
          <w:rFonts w:ascii="Times New Roman" w:hAnsi="Times New Roman"/>
          <w:noProof/>
        </w:rPr>
      </w:pPr>
      <w:r w:rsidRPr="00300753" w:rsidR="00BE5A7B">
        <w:rPr>
          <w:rFonts w:ascii="Times New Roman" w:hAnsi="Times New Roman"/>
          <w:noProof/>
        </w:rPr>
        <w:t>(c)</w:t>
        <w:tab/>
        <w:t>to cease granting the support under this Chapter.</w:t>
      </w:r>
    </w:p>
    <w:p w:rsidR="00BE5A7B" w:rsidRPr="00300753" w:rsidP="00E830FE">
      <w:pPr>
        <w:pStyle w:val="Point1"/>
        <w:bidi w:val="0"/>
        <w:spacing w:before="0" w:after="0" w:line="360" w:lineRule="auto"/>
        <w:jc w:val="left"/>
        <w:rPr>
          <w:rFonts w:ascii="Times New Roman" w:hAnsi="Times New Roman"/>
          <w:noProof/>
        </w:rPr>
      </w:pPr>
    </w:p>
    <w:p w:rsidR="00E830FE" w:rsidP="00E830FE">
      <w:pPr>
        <w:bidi w:val="0"/>
        <w:ind w:left="851" w:hanging="851"/>
        <w:rPr>
          <w:rFonts w:ascii="Times New Roman" w:hAnsi="Times New Roman"/>
          <w:noProof/>
        </w:rPr>
      </w:pPr>
      <w:r w:rsidRPr="00300753" w:rsidR="00BE5A7B">
        <w:rPr>
          <w:rFonts w:ascii="Times New Roman" w:hAnsi="Times New Roman"/>
          <w:noProof/>
        </w:rPr>
        <w:t>5.</w:t>
        <w:tab/>
        <w:t>On the basis of the decision taken by each Member State pursuant to paragraphs 1 to 4 on the proportion of the national ceiling to be used, the Commission shall, by means of implementing acts, fix the corresponding ceiling for the support on a yearly basis. Those implementing acts shall be adopted in accordance with the examination procedure referred to in Article 56(2).</w:t>
      </w:r>
    </w:p>
    <w:p w:rsidR="00E830FE" w:rsidRPr="00300753" w:rsidP="00E830FE">
      <w:pPr>
        <w:bidi w:val="0"/>
        <w:ind w:left="851" w:hanging="851"/>
        <w:jc w:val="center"/>
        <w:rPr>
          <w:rFonts w:ascii="Times New Roman" w:hAnsi="Times New Roman"/>
          <w:b/>
          <w:u w:val="single"/>
        </w:rPr>
      </w:pPr>
      <w:r>
        <w:rPr>
          <w:rFonts w:ascii="Times New Roman" w:hAnsi="Times New Roman"/>
          <w:noProof/>
        </w:rPr>
        <w:t>________________</w:t>
      </w:r>
    </w:p>
    <w:sectPr w:rsidSect="00541A05">
      <w:footerReference w:type="default" r:id="rId7"/>
      <w:footnotePr>
        <w:numRestart w:val="eachPage"/>
      </w:footnotePr>
      <w:endnotePr>
        <w:numFmt w:val="decimal"/>
      </w:endnotePr>
      <w:pgSz w:w="11907" w:h="16840" w:code="9"/>
      <w:pgMar w:top="1134" w:right="1134" w:bottom="1134" w:left="1134" w:header="567" w:footer="567" w:gutter="0"/>
      <w:lnNumType w:distance="0"/>
      <w:cols w:space="708"/>
      <w:noEndnote w:val="0"/>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SimSun">
    <w:altName w:val="ËÎĚĺ"/>
    <w:panose1 w:val="02010600030101010101"/>
    <w:charset w:val="86"/>
    <w:family w:val="auto"/>
    <w:pitch w:val="variable"/>
    <w:sig w:usb0="00000000" w:usb1="00000000" w:usb2="00000000" w:usb3="00000000" w:csb0="00040001" w:csb1="00000000"/>
  </w:font>
  <w:font w:name="Cambria Math">
    <w:panose1 w:val="02040503050406030204"/>
    <w:charset w:val="01"/>
    <w:family w:val="roman"/>
    <w:pitch w:val="variable"/>
    <w:sig w:usb0="00000000" w:usb1="00000000" w:usb2="00000000" w:usb3="00000000" w:csb0="00000000" w:csb1="00000000"/>
  </w:font>
  <w:font w:name="Arial Unicode MS">
    <w:panose1 w:val="020B0604020202020204"/>
    <w:charset w:val="80"/>
    <w:family w:val="swiss"/>
    <w:pitch w:val="variable"/>
    <w:sig w:usb0="00000000" w:usb1="00000000" w:usb2="00000000" w:usb3="00000000" w:csb0="000301F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G Times">
    <w:panose1 w:val="02020603050405020304"/>
    <w:charset w:val="EE"/>
    <w:family w:val="roman"/>
    <w:pitch w:val="variable"/>
    <w:sig w:usb0="00000000" w:usb1="00000000" w:usb2="00000000" w:usb3="00000000" w:csb0="00000093" w:csb1="00000000"/>
  </w:font>
  <w:font w:name="Book Antiqua">
    <w:panose1 w:val="02040602050305030304"/>
    <w:charset w:val="EE"/>
    <w:family w:val="roman"/>
    <w:pitch w:val="variable"/>
    <w:sig w:usb0="00000000" w:usb1="00000000" w:usb2="00000000" w:usb3="00000000" w:csb0="0000009F" w:csb1="00000000"/>
  </w:font>
  <w:font w:name="Liberation Sans">
    <w:altName w:val="Arial"/>
    <w:panose1 w:val="00000000000000000000"/>
    <w:charset w:val="00"/>
    <w:family w:val="auto"/>
    <w:pitch w:val="default"/>
    <w:sig w:usb0="00000000" w:usb1="00000000" w:usb2="00000000" w:usb3="00000000" w:csb0="00000001" w:csb1="00000000"/>
  </w:font>
  <w:font w:name="StarSymbol">
    <w:altName w:val="MS Mincho"/>
    <w:panose1 w:val="00000000000000000000"/>
    <w:charset w:val="80"/>
    <w:family w:val="auto"/>
    <w:pitch w:val="default"/>
    <w:sig w:usb0="00000000" w:usb1="00000000" w:usb2="00000000" w:usb3="00000000" w:csb0="00020000" w:csb1="00000000"/>
  </w:font>
  <w:font w:name="@Arial Unicode MS">
    <w:panose1 w:val="020B0604020202020204"/>
    <w:charset w:val="80"/>
    <w:family w:val="swiss"/>
    <w:pitch w:val="variable"/>
    <w:sig w:usb0="00000000" w:usb1="00000000" w:usb2="00000000" w:usb3="00000000" w:csb0="000301FF" w:csb1="00000000"/>
  </w:font>
  <w:font w:name="@SimSun">
    <w:panose1 w:val="02010600030101010101"/>
    <w:charset w:val="86"/>
    <w:family w:val="auto"/>
    <w:pitch w:val="variable"/>
    <w:sig w:usb0="00000000" w:usb1="00000000" w:usb2="00000000" w:usb3="00000000" w:csb0="00040001" w:csb1="00000000"/>
  </w:font>
  <w:font w:name="@StarSymbol">
    <w:charset w:val="80"/>
    <w:family w:val="auto"/>
    <w:pitch w:val="default"/>
    <w:sig w:usb0="00000000" w:usb1="00000000" w:usb2="00000000" w:usb3="00000000" w:csb0="00020000"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1DD" w:rsidP="000D1393">
    <w:pPr>
      <w:pStyle w:val="Footer"/>
      <w:pBdr>
        <w:bottom w:val="single" w:sz="4" w:space="1" w:color="auto"/>
      </w:pBdr>
      <w:bidi w:val="0"/>
      <w:spacing w:after="60"/>
      <w:rPr>
        <w:rFonts w:ascii="Times New Roman" w:hAnsi="Times New Roman"/>
      </w:rPr>
    </w:pPr>
  </w:p>
  <w:p w:rsidR="00E961DD" w:rsidRPr="008147BD" w:rsidP="000D1393">
    <w:pPr>
      <w:pStyle w:val="Footer"/>
      <w:bidi w:val="0"/>
      <w:rPr>
        <w:rFonts w:ascii="Times New Roman" w:hAnsi="Times New Roman"/>
        <w:lang w:val="fr-FR"/>
      </w:rPr>
    </w:pPr>
    <w:r w:rsidR="006138C2">
      <w:rPr>
        <w:rFonts w:ascii="Times New Roman" w:hAnsi="Times New Roman"/>
        <w:lang w:val="es-ES"/>
      </w:rPr>
      <w:t>16173</w:t>
    </w:r>
    <w:r w:rsidRPr="008147BD" w:rsidR="00BA49C0">
      <w:rPr>
        <w:rFonts w:ascii="Times New Roman" w:hAnsi="Times New Roman"/>
        <w:lang w:val="fr-FR"/>
      </w:rPr>
      <w:t>/1</w:t>
    </w:r>
    <w:r w:rsidRPr="008147BD" w:rsidR="00750BF5">
      <w:rPr>
        <w:rFonts w:ascii="Times New Roman" w:hAnsi="Times New Roman"/>
        <w:lang w:val="fr-FR"/>
      </w:rPr>
      <w:t>2</w:t>
    </w:r>
    <w:r w:rsidRPr="008147BD">
      <w:rPr>
        <w:rFonts w:ascii="Times New Roman" w:hAnsi="Times New Roman"/>
        <w:lang w:val="fr-FR"/>
      </w:rPr>
      <w:tab/>
      <w:tab/>
    </w:r>
    <w:r w:rsidRPr="008147BD" w:rsidR="00BE5A7B">
      <w:rPr>
        <w:rFonts w:ascii="Times New Roman" w:hAnsi="Times New Roman"/>
        <w:lang w:val="fr-FR"/>
      </w:rPr>
      <w:t>PBS</w:t>
    </w:r>
    <w:r w:rsidRPr="008147BD" w:rsidR="00322390">
      <w:rPr>
        <w:rFonts w:ascii="Times New Roman" w:hAnsi="Times New Roman"/>
        <w:lang w:val="fr-FR"/>
      </w:rPr>
      <w:t>/</w:t>
    </w:r>
    <w:r w:rsidRPr="008147BD" w:rsidR="00812003">
      <w:rPr>
        <w:rFonts w:ascii="Times New Roman" w:hAnsi="Times New Roman"/>
        <w:lang w:val="fr-FR"/>
      </w:rPr>
      <w:t>io</w:t>
    </w:r>
    <w:r w:rsidRPr="008147BD">
      <w:rPr>
        <w:rFonts w:ascii="Times New Roman" w:hAnsi="Times New Roman"/>
        <w:lang w:val="fr-FR"/>
      </w:rPr>
      <w:tab/>
    </w:r>
    <w:r w:rsidRPr="008147BD">
      <w:rPr>
        <w:rStyle w:val="PageNumber"/>
        <w:rFonts w:ascii="Times New Roman" w:hAnsi="Times New Roman"/>
        <w:lang w:val="fr-FR"/>
      </w:rPr>
      <w:fldChar w:fldCharType="begin"/>
    </w:r>
    <w:r w:rsidRPr="008147BD">
      <w:rPr>
        <w:rStyle w:val="PageNumber"/>
        <w:rFonts w:ascii="Times New Roman" w:hAnsi="Times New Roman"/>
        <w:lang w:val="fr-FR"/>
      </w:rPr>
      <w:instrText xml:space="preserve"> PAGE </w:instrText>
    </w:r>
    <w:r w:rsidRPr="008147BD">
      <w:rPr>
        <w:rStyle w:val="PageNumber"/>
        <w:rFonts w:ascii="Times New Roman" w:hAnsi="Times New Roman"/>
        <w:lang w:val="fr-FR"/>
      </w:rPr>
      <w:fldChar w:fldCharType="separate"/>
    </w:r>
    <w:r w:rsidR="00DB31E8">
      <w:rPr>
        <w:rStyle w:val="PageNumber"/>
        <w:rFonts w:ascii="Times New Roman" w:hAnsi="Times New Roman"/>
        <w:noProof/>
        <w:lang w:val="fr-FR"/>
      </w:rPr>
      <w:t>1</w:t>
    </w:r>
    <w:r w:rsidRPr="008147BD">
      <w:rPr>
        <w:rStyle w:val="PageNumber"/>
        <w:rFonts w:ascii="Times New Roman" w:hAnsi="Times New Roman"/>
        <w:lang w:val="fr-FR"/>
      </w:rPr>
      <w:fldChar w:fldCharType="end"/>
    </w:r>
  </w:p>
  <w:p w:rsidR="00E961DD" w:rsidRPr="008147BD" w:rsidP="000D1393">
    <w:pPr>
      <w:pStyle w:val="Footer"/>
      <w:tabs>
        <w:tab w:val="clear" w:pos="7371"/>
      </w:tabs>
      <w:bidi w:val="0"/>
      <w:spacing w:line="280" w:lineRule="exact"/>
      <w:rPr>
        <w:rFonts w:ascii="Times New Roman" w:hAnsi="Times New Roman"/>
        <w:lang w:val="fr-FR"/>
      </w:rPr>
    </w:pPr>
    <w:r w:rsidRPr="008147BD" w:rsidR="00450BE8">
      <w:rPr>
        <w:rFonts w:ascii="Times New Roman" w:hAnsi="Times New Roman"/>
        <w:lang w:val="fr-FR"/>
      </w:rPr>
      <w:tab/>
      <w:t>DG</w:t>
    </w:r>
    <w:r w:rsidRPr="008147BD">
      <w:rPr>
        <w:rFonts w:ascii="Times New Roman" w:hAnsi="Times New Roman"/>
        <w:lang w:val="fr-FR"/>
      </w:rPr>
      <w:t>B</w:t>
    </w:r>
    <w:r w:rsidRPr="008147BD" w:rsidR="00450BE8">
      <w:rPr>
        <w:rFonts w:ascii="Times New Roman" w:hAnsi="Times New Roman"/>
        <w:lang w:val="fr-FR"/>
      </w:rPr>
      <w:t xml:space="preserve"> 1</w:t>
    </w:r>
    <w:r w:rsidRPr="008147BD" w:rsidR="00812003">
      <w:rPr>
        <w:rFonts w:ascii="Times New Roman" w:hAnsi="Times New Roman"/>
        <w:lang w:val="fr-FR"/>
      </w:rPr>
      <w:t xml:space="preserve"> </w:t>
    </w:r>
    <w:r w:rsidRPr="008147BD" w:rsidR="00450BE8">
      <w:rPr>
        <w:rFonts w:ascii="Times New Roman" w:hAnsi="Times New Roman"/>
        <w:lang w:val="fr-FR"/>
      </w:rPr>
      <w:t>B</w:t>
    </w:r>
    <w:r w:rsidRPr="008147BD">
      <w:rPr>
        <w:rFonts w:ascii="Times New Roman" w:hAnsi="Times New Roman"/>
        <w:lang w:val="fr-FR"/>
      </w:rPr>
      <w:tab/>
    </w:r>
    <w:r w:rsidRPr="007B6BB6" w:rsidR="00850CE8">
      <w:rPr>
        <w:rFonts w:ascii="Times New Roman" w:hAnsi="Times New Roman"/>
        <w:b/>
        <w:position w:val="-4"/>
        <w:sz w:val="36"/>
        <w:lang w:val="it-IT"/>
      </w:rPr>
      <w:t>LIMITE</w:t>
    </w:r>
    <w:r w:rsidRPr="00E961DD">
      <w:rPr>
        <w:rFonts w:ascii="Times New Roman" w:hAnsi="Times New Roman"/>
        <w:b/>
        <w:position w:val="-4"/>
        <w:sz w:val="36"/>
        <w:szCs w:val="36"/>
      </w:rPr>
      <w:t> </w:t>
    </w:r>
    <w:r w:rsidRPr="008147BD">
      <w:rPr>
        <w:rFonts w:ascii="Times New Roman" w:hAnsi="Times New Roman"/>
        <w:b/>
        <w:position w:val="-4"/>
        <w:sz w:val="36"/>
        <w:lang w:val="fr-FR"/>
      </w:rPr>
      <w:t>EN</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71D" w:rsidP="000D1393">
    <w:pPr>
      <w:pStyle w:val="Footer"/>
      <w:pBdr>
        <w:bottom w:val="single" w:sz="4" w:space="1" w:color="auto"/>
      </w:pBdr>
      <w:bidi w:val="0"/>
      <w:spacing w:after="60"/>
      <w:rPr>
        <w:rFonts w:ascii="Times New Roman" w:hAnsi="Times New Roman"/>
      </w:rPr>
    </w:pPr>
  </w:p>
  <w:p w:rsidR="0045671D" w:rsidRPr="00A62BEB" w:rsidP="000D1393">
    <w:pPr>
      <w:pStyle w:val="Footer"/>
      <w:bidi w:val="0"/>
      <w:rPr>
        <w:rFonts w:ascii="Times New Roman" w:hAnsi="Times New Roman"/>
      </w:rPr>
    </w:pPr>
    <w:r w:rsidR="006138C2">
      <w:rPr>
        <w:rFonts w:ascii="Times New Roman" w:hAnsi="Times New Roman"/>
        <w:lang w:val="es-ES"/>
      </w:rPr>
      <w:t>16173</w:t>
    </w:r>
    <w:r w:rsidRPr="00A62BEB">
      <w:rPr>
        <w:rFonts w:ascii="Times New Roman" w:hAnsi="Times New Roman"/>
      </w:rPr>
      <w:t>/1</w:t>
    </w:r>
    <w:r>
      <w:rPr>
        <w:rFonts w:ascii="Times New Roman" w:hAnsi="Times New Roman"/>
      </w:rPr>
      <w:t>2</w:t>
    </w:r>
    <w:r w:rsidRPr="00A62BEB">
      <w:rPr>
        <w:rFonts w:ascii="Times New Roman" w:hAnsi="Times New Roman"/>
      </w:rPr>
      <w:tab/>
      <w:tab/>
    </w:r>
    <w:r w:rsidR="00BE5A7B">
      <w:rPr>
        <w:rFonts w:ascii="Times New Roman" w:hAnsi="Times New Roman"/>
      </w:rPr>
      <w:t>PBS</w:t>
    </w:r>
    <w:r>
      <w:rPr>
        <w:rFonts w:ascii="Times New Roman" w:hAnsi="Times New Roman"/>
      </w:rPr>
      <w:t>/</w:t>
    </w:r>
    <w:r w:rsidR="00BE5A7B">
      <w:rPr>
        <w:rFonts w:ascii="Times New Roman" w:hAnsi="Times New Roman"/>
      </w:rPr>
      <w:t>io</w:t>
    </w:r>
    <w:r w:rsidRPr="00A62BEB">
      <w:rPr>
        <w:rFonts w:ascii="Times New Roman" w:hAnsi="Times New Roman"/>
      </w:rPr>
      <w:tab/>
    </w:r>
    <w:r w:rsidRPr="00A62BEB">
      <w:rPr>
        <w:rStyle w:val="PageNumber"/>
        <w:rFonts w:ascii="Times New Roman" w:hAnsi="Times New Roman"/>
      </w:rPr>
      <w:fldChar w:fldCharType="begin"/>
    </w:r>
    <w:r w:rsidRPr="00A62BEB">
      <w:rPr>
        <w:rStyle w:val="PageNumber"/>
        <w:rFonts w:ascii="Times New Roman" w:hAnsi="Times New Roman"/>
      </w:rPr>
      <w:instrText xml:space="preserve"> PAGE </w:instrText>
    </w:r>
    <w:r w:rsidRPr="00A62BEB">
      <w:rPr>
        <w:rStyle w:val="PageNumber"/>
        <w:rFonts w:ascii="Times New Roman" w:hAnsi="Times New Roman"/>
      </w:rPr>
      <w:fldChar w:fldCharType="separate"/>
    </w:r>
    <w:r w:rsidR="00DB31E8">
      <w:rPr>
        <w:rStyle w:val="PageNumber"/>
        <w:rFonts w:ascii="Times New Roman" w:hAnsi="Times New Roman"/>
        <w:noProof/>
      </w:rPr>
      <w:t>4</w:t>
    </w:r>
    <w:r w:rsidRPr="00A62BEB">
      <w:rPr>
        <w:rStyle w:val="PageNumber"/>
        <w:rFonts w:ascii="Times New Roman" w:hAnsi="Times New Roman"/>
      </w:rPr>
      <w:fldChar w:fldCharType="end"/>
    </w:r>
  </w:p>
  <w:p w:rsidR="0045671D" w:rsidRPr="00A62BEB" w:rsidP="000D1393">
    <w:pPr>
      <w:pStyle w:val="Footer"/>
      <w:tabs>
        <w:tab w:val="clear" w:pos="7371"/>
      </w:tabs>
      <w:bidi w:val="0"/>
      <w:spacing w:line="280" w:lineRule="exact"/>
      <w:rPr>
        <w:rFonts w:ascii="Times New Roman" w:hAnsi="Times New Roman"/>
      </w:rPr>
    </w:pPr>
    <w:r>
      <w:rPr>
        <w:rFonts w:ascii="Times New Roman" w:hAnsi="Times New Roman"/>
      </w:rPr>
      <w:t>ANNEX</w:t>
      <w:tab/>
      <w:t>DG</w:t>
    </w:r>
    <w:r w:rsidRPr="00A62BEB">
      <w:rPr>
        <w:rFonts w:ascii="Times New Roman" w:hAnsi="Times New Roman"/>
      </w:rPr>
      <w:t>B</w:t>
    </w:r>
    <w:r>
      <w:rPr>
        <w:rFonts w:ascii="Times New Roman" w:hAnsi="Times New Roman"/>
      </w:rPr>
      <w:t xml:space="preserve"> 1</w:t>
    </w:r>
    <w:r w:rsidR="00BE5A7B">
      <w:rPr>
        <w:rFonts w:ascii="Times New Roman" w:hAnsi="Times New Roman"/>
      </w:rPr>
      <w:t xml:space="preserve"> </w:t>
    </w:r>
    <w:r>
      <w:rPr>
        <w:rFonts w:ascii="Times New Roman" w:hAnsi="Times New Roman"/>
      </w:rPr>
      <w:t>B</w:t>
    </w:r>
    <w:r w:rsidRPr="00A62BEB">
      <w:rPr>
        <w:rFonts w:ascii="Times New Roman" w:hAnsi="Times New Roman"/>
      </w:rPr>
      <w:tab/>
    </w:r>
    <w:r w:rsidRPr="007B6BB6" w:rsidR="00850CE8">
      <w:rPr>
        <w:rFonts w:ascii="Times New Roman" w:hAnsi="Times New Roman"/>
        <w:b/>
        <w:position w:val="-4"/>
        <w:sz w:val="36"/>
        <w:lang w:val="it-IT"/>
      </w:rPr>
      <w:t>LIMITE</w:t>
    </w:r>
    <w:r w:rsidRPr="00E961DD">
      <w:rPr>
        <w:rFonts w:ascii="Times New Roman" w:hAnsi="Times New Roman"/>
        <w:b/>
        <w:position w:val="-4"/>
        <w:sz w:val="36"/>
        <w:szCs w:val="36"/>
      </w:rPr>
      <w:t> </w:t>
    </w:r>
    <w:r w:rsidRPr="00A62BEB">
      <w:rPr>
        <w:rFonts w:ascii="Times New Roman" w:hAnsi="Times New Roman"/>
        <w:b/>
        <w:position w:val="-4"/>
        <w:sz w:val="36"/>
      </w:rPr>
      <w:t>EN</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7BD" w:rsidRPr="00A90828" w:rsidP="008147BD">
    <w:pPr>
      <w:pStyle w:val="Header"/>
      <w:bidi w:val="0"/>
      <w:jc w:val="right"/>
      <w:rPr>
        <w:rFonts w:ascii="Times New Roman" w:hAnsi="Times New Roman"/>
        <w:lang w:val="sk-SK"/>
      </w:rPr>
    </w:pPr>
    <w:r>
      <w:rPr>
        <w:rFonts w:ascii="Times New Roman" w:hAnsi="Times New Roman"/>
        <w:lang w:val="sk-SK"/>
      </w:rPr>
      <w:t xml:space="preserve">Príloha 6 / strana </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DB31E8">
      <w:rPr>
        <w:rStyle w:val="PageNumber"/>
        <w:rFonts w:ascii="Times New Roman" w:hAnsi="Times New Roman"/>
        <w:noProof/>
      </w:rPr>
      <w:t>1</w:t>
    </w:r>
    <w:r>
      <w:rPr>
        <w:rStyle w:val="PageNumber"/>
        <w:rFonts w:ascii="Times New Roman" w:hAnsi="Times New Roman"/>
      </w:rPr>
      <w:fldChar w:fldCharType="end"/>
    </w:r>
    <w:r>
      <w:rPr>
        <w:rFonts w:ascii="Times New Roman" w:hAnsi="Times New Roman"/>
        <w:lang w:val="sk-SK"/>
      </w:rPr>
      <w:t xml:space="preserve"> </w:t>
    </w:r>
  </w:p>
  <w:p w:rsidR="008147BD">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080"/>
        </w:tabs>
        <w:ind w:left="1080" w:hanging="360"/>
      </w:pPr>
      <w:rPr>
        <w:rFonts w:cs="Times New Roman"/>
        <w:rtl w:val="0"/>
        <w:cs w:val="0"/>
      </w:rPr>
    </w:lvl>
    <w:lvl w:ilvl="2">
      <w:start w:val="1"/>
      <w:numFmt w:val="decimal"/>
      <w:lvlText w:val="%3."/>
      <w:lvlJc w:val="left"/>
      <w:pPr>
        <w:tabs>
          <w:tab w:val="num" w:pos="1440"/>
        </w:tabs>
        <w:ind w:left="1440" w:hanging="360"/>
      </w:pPr>
      <w:rPr>
        <w:rFonts w:cs="Times New Roman"/>
        <w:rtl w:val="0"/>
        <w:cs w:val="0"/>
      </w:rPr>
    </w:lvl>
    <w:lvl w:ilvl="3">
      <w:start w:val="1"/>
      <w:numFmt w:val="decimal"/>
      <w:lvlText w:val="%4."/>
      <w:lvlJc w:val="left"/>
      <w:pPr>
        <w:tabs>
          <w:tab w:val="num" w:pos="1800"/>
        </w:tabs>
        <w:ind w:left="1800" w:hanging="360"/>
      </w:pPr>
      <w:rPr>
        <w:rFonts w:cs="Times New Roman"/>
        <w:rtl w:val="0"/>
        <w:cs w:val="0"/>
      </w:rPr>
    </w:lvl>
    <w:lvl w:ilvl="4">
      <w:start w:val="1"/>
      <w:numFmt w:val="decimal"/>
      <w:lvlText w:val="%5."/>
      <w:lvlJc w:val="left"/>
      <w:pPr>
        <w:tabs>
          <w:tab w:val="num" w:pos="2160"/>
        </w:tabs>
        <w:ind w:left="2160" w:hanging="360"/>
      </w:pPr>
      <w:rPr>
        <w:rFonts w:cs="Times New Roman"/>
        <w:rtl w:val="0"/>
        <w:cs w:val="0"/>
      </w:rPr>
    </w:lvl>
    <w:lvl w:ilvl="5">
      <w:start w:val="1"/>
      <w:numFmt w:val="decimal"/>
      <w:lvlText w:val="%6."/>
      <w:lvlJc w:val="left"/>
      <w:pPr>
        <w:tabs>
          <w:tab w:val="num" w:pos="2520"/>
        </w:tabs>
        <w:ind w:left="2520" w:hanging="360"/>
      </w:pPr>
      <w:rPr>
        <w:rFonts w:cs="Times New Roman"/>
        <w:rtl w:val="0"/>
        <w:cs w:val="0"/>
      </w:rPr>
    </w:lvl>
    <w:lvl w:ilvl="6">
      <w:start w:val="1"/>
      <w:numFmt w:val="decimal"/>
      <w:lvlText w:val="%7."/>
      <w:lvlJc w:val="left"/>
      <w:pPr>
        <w:tabs>
          <w:tab w:val="num" w:pos="2880"/>
        </w:tabs>
        <w:ind w:left="2880" w:hanging="360"/>
      </w:pPr>
      <w:rPr>
        <w:rFonts w:cs="Times New Roman"/>
        <w:rtl w:val="0"/>
        <w:cs w:val="0"/>
      </w:rPr>
    </w:lvl>
    <w:lvl w:ilvl="7">
      <w:start w:val="1"/>
      <w:numFmt w:val="decimal"/>
      <w:lvlText w:val="%8."/>
      <w:lvlJc w:val="left"/>
      <w:pPr>
        <w:tabs>
          <w:tab w:val="num" w:pos="3240"/>
        </w:tabs>
        <w:ind w:left="3240" w:hanging="360"/>
      </w:pPr>
      <w:rPr>
        <w:rFonts w:cs="Times New Roman"/>
        <w:rtl w:val="0"/>
        <w:cs w:val="0"/>
      </w:rPr>
    </w:lvl>
    <w:lvl w:ilvl="8">
      <w:start w:val="1"/>
      <w:numFmt w:val="decimal"/>
      <w:lvlText w:val="%9."/>
      <w:lvlJc w:val="left"/>
      <w:pPr>
        <w:tabs>
          <w:tab w:val="num" w:pos="3600"/>
        </w:tabs>
        <w:ind w:left="3600" w:hanging="360"/>
      </w:pPr>
      <w:rPr>
        <w:rFonts w:cs="Times New Roman"/>
        <w:rtl w:val="0"/>
        <w:cs w:val="0"/>
      </w:rPr>
    </w:lvl>
  </w:abstractNum>
  <w:abstractNum w:abstractNumId="1">
    <w:nsid w:val="00000002"/>
    <w:multiLevelType w:val="multilevel"/>
    <w:tmpl w:val="00000002"/>
    <w:lvl w:ilvl="0">
      <w:start w:val="1"/>
      <w:numFmt w:val="bullet"/>
      <w:lvlText w:val=""/>
      <w:lvlJc w:val="left"/>
      <w:pPr>
        <w:tabs>
          <w:tab w:val="num" w:pos="1395"/>
        </w:tabs>
        <w:ind w:left="1395" w:hanging="360"/>
      </w:pPr>
      <w:rPr>
        <w:rFonts w:ascii="Symbol" w:hAnsi="Symbol"/>
        <w:sz w:val="18"/>
      </w:rPr>
    </w:lvl>
    <w:lvl w:ilvl="1">
      <w:start w:val="1"/>
      <w:numFmt w:val="bullet"/>
      <w:lvlText w:val=""/>
      <w:lvlJc w:val="left"/>
      <w:pPr>
        <w:tabs>
          <w:tab w:val="num" w:pos="1755"/>
        </w:tabs>
        <w:ind w:left="1755" w:hanging="360"/>
      </w:pPr>
      <w:rPr>
        <w:rFonts w:ascii="Symbol" w:hAnsi="Symbol"/>
        <w:sz w:val="18"/>
      </w:rPr>
    </w:lvl>
    <w:lvl w:ilvl="2">
      <w:start w:val="1"/>
      <w:numFmt w:val="bullet"/>
      <w:lvlText w:val=""/>
      <w:lvlJc w:val="left"/>
      <w:pPr>
        <w:tabs>
          <w:tab w:val="num" w:pos="2115"/>
        </w:tabs>
        <w:ind w:left="2115" w:hanging="360"/>
      </w:pPr>
      <w:rPr>
        <w:rFonts w:ascii="Symbol" w:hAnsi="Symbol"/>
        <w:sz w:val="18"/>
      </w:rPr>
    </w:lvl>
    <w:lvl w:ilvl="3">
      <w:start w:val="1"/>
      <w:numFmt w:val="bullet"/>
      <w:lvlText w:val=""/>
      <w:lvlJc w:val="left"/>
      <w:pPr>
        <w:tabs>
          <w:tab w:val="num" w:pos="2475"/>
        </w:tabs>
        <w:ind w:left="2475" w:hanging="360"/>
      </w:pPr>
      <w:rPr>
        <w:rFonts w:ascii="Symbol" w:hAnsi="Symbol"/>
        <w:sz w:val="18"/>
      </w:rPr>
    </w:lvl>
    <w:lvl w:ilvl="4">
      <w:start w:val="1"/>
      <w:numFmt w:val="bullet"/>
      <w:lvlText w:val=""/>
      <w:lvlJc w:val="left"/>
      <w:pPr>
        <w:tabs>
          <w:tab w:val="num" w:pos="2835"/>
        </w:tabs>
        <w:ind w:left="2835" w:hanging="360"/>
      </w:pPr>
      <w:rPr>
        <w:rFonts w:ascii="Symbol" w:hAnsi="Symbol"/>
        <w:sz w:val="18"/>
      </w:rPr>
    </w:lvl>
    <w:lvl w:ilvl="5">
      <w:start w:val="1"/>
      <w:numFmt w:val="bullet"/>
      <w:lvlText w:val=""/>
      <w:lvlJc w:val="left"/>
      <w:pPr>
        <w:tabs>
          <w:tab w:val="num" w:pos="3195"/>
        </w:tabs>
        <w:ind w:left="3195" w:hanging="360"/>
      </w:pPr>
      <w:rPr>
        <w:rFonts w:ascii="Symbol" w:hAnsi="Symbol"/>
        <w:sz w:val="18"/>
      </w:rPr>
    </w:lvl>
    <w:lvl w:ilvl="6">
      <w:start w:val="1"/>
      <w:numFmt w:val="bullet"/>
      <w:lvlText w:val=""/>
      <w:lvlJc w:val="left"/>
      <w:pPr>
        <w:tabs>
          <w:tab w:val="num" w:pos="3555"/>
        </w:tabs>
        <w:ind w:left="3555" w:hanging="360"/>
      </w:pPr>
      <w:rPr>
        <w:rFonts w:ascii="Symbol" w:hAnsi="Symbol"/>
        <w:sz w:val="18"/>
      </w:rPr>
    </w:lvl>
    <w:lvl w:ilvl="7">
      <w:start w:val="1"/>
      <w:numFmt w:val="bullet"/>
      <w:lvlText w:val=""/>
      <w:lvlJc w:val="left"/>
      <w:pPr>
        <w:tabs>
          <w:tab w:val="num" w:pos="3915"/>
        </w:tabs>
        <w:ind w:left="3915" w:hanging="360"/>
      </w:pPr>
      <w:rPr>
        <w:rFonts w:ascii="Symbol" w:hAnsi="Symbol"/>
        <w:sz w:val="18"/>
      </w:rPr>
    </w:lvl>
    <w:lvl w:ilvl="8">
      <w:start w:val="1"/>
      <w:numFmt w:val="bullet"/>
      <w:lvlText w:val=""/>
      <w:lvlJc w:val="left"/>
      <w:pPr>
        <w:tabs>
          <w:tab w:val="num" w:pos="4275"/>
        </w:tabs>
        <w:ind w:left="4275" w:hanging="360"/>
      </w:pPr>
      <w:rPr>
        <w:rFonts w:ascii="Symbol" w:hAnsi="Symbol"/>
        <w:sz w:val="18"/>
      </w:rPr>
    </w:lvl>
  </w:abstractNum>
  <w:abstractNum w:abstractNumId="2">
    <w:nsid w:val="00000003"/>
    <w:multiLevelType w:val="singleLevel"/>
    <w:tmpl w:val="00000003"/>
    <w:name w:val="WW8Num1"/>
    <w:lvl w:ilvl="0">
      <w:start w:val="1"/>
      <w:numFmt w:val="decimal"/>
      <w:lvlText w:val="%1."/>
      <w:lvlJc w:val="left"/>
      <w:pPr>
        <w:tabs>
          <w:tab w:val="num" w:pos="360"/>
        </w:tabs>
        <w:ind w:left="360" w:hanging="360"/>
      </w:pPr>
      <w:rPr>
        <w:rFonts w:cs="Times New Roman"/>
        <w:rtl w:val="0"/>
        <w:cs w:val="0"/>
      </w:rPr>
    </w:lvl>
  </w:abstractNum>
  <w:abstractNum w:abstractNumId="3">
    <w:nsid w:val="007F4219"/>
    <w:multiLevelType w:val="hybridMultilevel"/>
    <w:tmpl w:val="C7BABECA"/>
    <w:lvl w:ilvl="0">
      <w:start w:val="6"/>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5A82597"/>
    <w:multiLevelType w:val="hybridMultilevel"/>
    <w:tmpl w:val="B12C5570"/>
    <w:lvl w:ilvl="0">
      <w:start w:val="1"/>
      <w:numFmt w:val="bullet"/>
      <w:lvlText w:val=""/>
      <w:lvlJc w:val="left"/>
      <w:pPr>
        <w:tabs>
          <w:tab w:val="num" w:pos="927"/>
        </w:tabs>
        <w:ind w:left="927" w:hanging="360"/>
      </w:pPr>
      <w:rPr>
        <w:rFonts w:ascii="Symbol" w:hAnsi="Symbol" w:hint="default"/>
      </w:rPr>
    </w:lvl>
    <w:lvl w:ilvl="1">
      <w:start w:val="1"/>
      <w:numFmt w:val="bullet"/>
      <w:lvlText w:val="o"/>
      <w:lvlJc w:val="left"/>
      <w:pPr>
        <w:tabs>
          <w:tab w:val="num" w:pos="1647"/>
        </w:tabs>
        <w:ind w:left="1647" w:hanging="360"/>
      </w:pPr>
      <w:rPr>
        <w:rFonts w:ascii="Courier New" w:hAnsi="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5">
    <w:nsid w:val="0B7F4273"/>
    <w:multiLevelType w:val="singleLevel"/>
    <w:tmpl w:val="6276CDDE"/>
    <w:name w:val="WW8Num2"/>
    <w:lvl w:ilvl="0">
      <w:start w:val="1"/>
      <w:numFmt w:val="upperRoman"/>
      <w:pStyle w:val="Par-dash"/>
      <w:lvlText w:val="%1."/>
      <w:lvlJc w:val="left"/>
      <w:pPr>
        <w:tabs>
          <w:tab w:val="num" w:pos="567"/>
        </w:tabs>
        <w:ind w:left="567" w:hanging="567"/>
      </w:pPr>
      <w:rPr>
        <w:rFonts w:cs="Times New Roman"/>
        <w:rtl w:val="0"/>
        <w:cs w:val="0"/>
      </w:rPr>
    </w:lvl>
  </w:abstractNum>
  <w:abstractNum w:abstractNumId="6">
    <w:nsid w:val="0B8B7EFB"/>
    <w:multiLevelType w:val="hybridMultilevel"/>
    <w:tmpl w:val="208881B4"/>
    <w:name w:val="WW8Num3"/>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6114CC1"/>
    <w:multiLevelType w:val="hybridMultilevel"/>
    <w:tmpl w:val="B6DEF77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nsid w:val="1A4D2B24"/>
    <w:multiLevelType w:val="hybridMultilevel"/>
    <w:tmpl w:val="8CC85EA0"/>
    <w:lvl w:ilvl="0">
      <w:start w:val="1"/>
      <w:numFmt w:val="bullet"/>
      <w:lvlText w:val=""/>
      <w:lvlJc w:val="left"/>
      <w:pPr>
        <w:tabs>
          <w:tab w:val="num" w:pos="1485"/>
        </w:tabs>
        <w:ind w:left="1485" w:hanging="360"/>
      </w:pPr>
      <w:rPr>
        <w:rFonts w:ascii="Symbol" w:hAnsi="Symbol" w:hint="default"/>
      </w:rPr>
    </w:lvl>
    <w:lvl w:ilvl="1">
      <w:start w:val="1"/>
      <w:numFmt w:val="bullet"/>
      <w:lvlText w:val="o"/>
      <w:lvlJc w:val="left"/>
      <w:pPr>
        <w:tabs>
          <w:tab w:val="num" w:pos="2205"/>
        </w:tabs>
        <w:ind w:left="2205" w:hanging="360"/>
      </w:pPr>
      <w:rPr>
        <w:rFonts w:ascii="Courier New" w:hAnsi="Courier New" w:hint="default"/>
      </w:rPr>
    </w:lvl>
    <w:lvl w:ilvl="2">
      <w:start w:val="1"/>
      <w:numFmt w:val="bullet"/>
      <w:lvlText w:val=""/>
      <w:lvlJc w:val="left"/>
      <w:pPr>
        <w:tabs>
          <w:tab w:val="num" w:pos="2925"/>
        </w:tabs>
        <w:ind w:left="2925" w:hanging="360"/>
      </w:pPr>
      <w:rPr>
        <w:rFonts w:ascii="Wingdings" w:hAnsi="Wingdings" w:hint="default"/>
      </w:rPr>
    </w:lvl>
    <w:lvl w:ilvl="3">
      <w:start w:val="1"/>
      <w:numFmt w:val="bullet"/>
      <w:lvlText w:val=""/>
      <w:lvlJc w:val="left"/>
      <w:pPr>
        <w:tabs>
          <w:tab w:val="num" w:pos="3645"/>
        </w:tabs>
        <w:ind w:left="3645" w:hanging="360"/>
      </w:pPr>
      <w:rPr>
        <w:rFonts w:ascii="Symbol" w:hAnsi="Symbol" w:hint="default"/>
      </w:rPr>
    </w:lvl>
    <w:lvl w:ilvl="4">
      <w:start w:val="1"/>
      <w:numFmt w:val="bullet"/>
      <w:lvlText w:val="o"/>
      <w:lvlJc w:val="left"/>
      <w:pPr>
        <w:tabs>
          <w:tab w:val="num" w:pos="4365"/>
        </w:tabs>
        <w:ind w:left="4365" w:hanging="360"/>
      </w:pPr>
      <w:rPr>
        <w:rFonts w:ascii="Courier New" w:hAnsi="Courier New" w:hint="default"/>
      </w:rPr>
    </w:lvl>
    <w:lvl w:ilvl="5">
      <w:start w:val="1"/>
      <w:numFmt w:val="bullet"/>
      <w:lvlText w:val=""/>
      <w:lvlJc w:val="left"/>
      <w:pPr>
        <w:tabs>
          <w:tab w:val="num" w:pos="5085"/>
        </w:tabs>
        <w:ind w:left="5085" w:hanging="360"/>
      </w:pPr>
      <w:rPr>
        <w:rFonts w:ascii="Wingdings" w:hAnsi="Wingdings" w:hint="default"/>
      </w:rPr>
    </w:lvl>
    <w:lvl w:ilvl="6">
      <w:start w:val="1"/>
      <w:numFmt w:val="bullet"/>
      <w:lvlText w:val=""/>
      <w:lvlJc w:val="left"/>
      <w:pPr>
        <w:tabs>
          <w:tab w:val="num" w:pos="5805"/>
        </w:tabs>
        <w:ind w:left="5805" w:hanging="360"/>
      </w:pPr>
      <w:rPr>
        <w:rFonts w:ascii="Symbol" w:hAnsi="Symbol" w:hint="default"/>
      </w:rPr>
    </w:lvl>
    <w:lvl w:ilvl="7">
      <w:start w:val="1"/>
      <w:numFmt w:val="bullet"/>
      <w:lvlText w:val="o"/>
      <w:lvlJc w:val="left"/>
      <w:pPr>
        <w:tabs>
          <w:tab w:val="num" w:pos="6525"/>
        </w:tabs>
        <w:ind w:left="6525" w:hanging="360"/>
      </w:pPr>
      <w:rPr>
        <w:rFonts w:ascii="Courier New" w:hAnsi="Courier New" w:hint="default"/>
      </w:rPr>
    </w:lvl>
    <w:lvl w:ilvl="8">
      <w:start w:val="1"/>
      <w:numFmt w:val="bullet"/>
      <w:lvlText w:val=""/>
      <w:lvlJc w:val="left"/>
      <w:pPr>
        <w:tabs>
          <w:tab w:val="num" w:pos="7245"/>
        </w:tabs>
        <w:ind w:left="7245" w:hanging="360"/>
      </w:pPr>
      <w:rPr>
        <w:rFonts w:ascii="Wingdings" w:hAnsi="Wingdings" w:hint="default"/>
      </w:rPr>
    </w:lvl>
  </w:abstractNum>
  <w:abstractNum w:abstractNumId="9">
    <w:nsid w:val="22CA659A"/>
    <w:multiLevelType w:val="singleLevel"/>
    <w:tmpl w:val="7B9C897A"/>
    <w:lvl w:ilvl="0">
      <w:start w:val="1"/>
      <w:numFmt w:val="bullet"/>
      <w:pStyle w:val="EntLogo"/>
      <w:lvlText w:val=""/>
      <w:lvlJc w:val="left"/>
      <w:pPr>
        <w:tabs>
          <w:tab w:val="num" w:pos="567"/>
        </w:tabs>
        <w:ind w:left="567" w:hanging="567"/>
      </w:pPr>
      <w:rPr>
        <w:rFonts w:ascii="Symbol" w:hAnsi="Symbol" w:hint="default"/>
        <w:color w:val="auto"/>
      </w:rPr>
    </w:lvl>
  </w:abstractNum>
  <w:abstractNum w:abstractNumId="10">
    <w:nsid w:val="22D918D1"/>
    <w:multiLevelType w:val="multilevel"/>
    <w:tmpl w:val="DE2606C8"/>
    <w:lvl w:ilvl="0">
      <w:start w:val="1"/>
      <w:numFmt w:val="decimal"/>
      <w:pStyle w:val="Heading1"/>
      <w:lvlText w:val="%1."/>
      <w:lvlJc w:val="left"/>
      <w:pPr>
        <w:tabs>
          <w:tab w:val="num" w:pos="851"/>
        </w:tabs>
        <w:ind w:left="851" w:hanging="851"/>
      </w:pPr>
      <w:rPr>
        <w:rFonts w:cs="Times New Roman"/>
        <w:rtl w:val="0"/>
        <w:cs w:val="0"/>
      </w:rPr>
    </w:lvl>
    <w:lvl w:ilvl="1">
      <w:start w:val="1"/>
      <w:numFmt w:val="decimal"/>
      <w:pStyle w:val="Heading2"/>
      <w:lvlText w:val="%1.%2."/>
      <w:lvlJc w:val="left"/>
      <w:pPr>
        <w:tabs>
          <w:tab w:val="num" w:pos="851"/>
        </w:tabs>
        <w:ind w:left="851" w:hanging="851"/>
      </w:pPr>
      <w:rPr>
        <w:rFonts w:cs="Times New Roman"/>
        <w:rtl w:val="0"/>
        <w:cs w:val="0"/>
      </w:rPr>
    </w:lvl>
    <w:lvl w:ilvl="2">
      <w:start w:val="1"/>
      <w:numFmt w:val="decimal"/>
      <w:pStyle w:val="Heading3"/>
      <w:lvlText w:val="%1.%2.%3."/>
      <w:lvlJc w:val="left"/>
      <w:pPr>
        <w:tabs>
          <w:tab w:val="num" w:pos="851"/>
        </w:tabs>
        <w:ind w:left="851" w:hanging="851"/>
      </w:pPr>
      <w:rPr>
        <w:rFonts w:cs="Times New Roman"/>
        <w:rtl w:val="0"/>
        <w:cs w:val="0"/>
      </w:rPr>
    </w:lvl>
    <w:lvl w:ilvl="3">
      <w:start w:val="1"/>
      <w:numFmt w:val="decimal"/>
      <w:pStyle w:val="Heading4"/>
      <w:lvlText w:val="%1.%2.%3.%4."/>
      <w:lvlJc w:val="left"/>
      <w:pPr>
        <w:tabs>
          <w:tab w:val="num" w:pos="851"/>
        </w:tabs>
        <w:ind w:left="851" w:hanging="851"/>
      </w:pPr>
      <w:rPr>
        <w:rFonts w:cs="Times New Roman"/>
        <w:rtl w:val="0"/>
        <w:cs w:val="0"/>
      </w:rPr>
    </w:lvl>
    <w:lvl w:ilvl="4">
      <w:start w:val="1"/>
      <w:numFmt w:val="none"/>
      <w:lvlJc w:val="left"/>
      <w:pPr>
        <w:tabs>
          <w:tab w:val="num" w:pos="360"/>
        </w:tabs>
        <w:ind w:left="0" w:firstLine="0"/>
      </w:pPr>
      <w:rPr>
        <w:rFonts w:cs="Times New Roman"/>
        <w:rtl w:val="0"/>
        <w:cs w:val="0"/>
      </w:rPr>
    </w:lvl>
    <w:lvl w:ilvl="5">
      <w:start w:val="1"/>
      <w:numFmt w:val="decimal"/>
      <w:lvlText w:val="%1.%2.%3.%4.%5.%6"/>
      <w:lvlJc w:val="left"/>
      <w:pPr>
        <w:tabs>
          <w:tab w:val="num" w:pos="0"/>
        </w:tabs>
        <w:ind w:left="0" w:firstLine="0"/>
      </w:pPr>
      <w:rPr>
        <w:rFonts w:cs="Times New Roman"/>
        <w:rtl w:val="0"/>
        <w:cs w:val="0"/>
      </w:rPr>
    </w:lvl>
    <w:lvl w:ilvl="6">
      <w:start w:val="1"/>
      <w:numFmt w:val="decimal"/>
      <w:lvlText w:val="%1.%2.%3.%4.%5.%6.%7"/>
      <w:lvlJc w:val="left"/>
      <w:pPr>
        <w:tabs>
          <w:tab w:val="num" w:pos="0"/>
        </w:tabs>
        <w:ind w:left="0" w:firstLine="0"/>
      </w:pPr>
      <w:rPr>
        <w:rFonts w:cs="Times New Roman"/>
        <w:rtl w:val="0"/>
        <w:cs w:val="0"/>
      </w:rPr>
    </w:lvl>
    <w:lvl w:ilvl="7">
      <w:start w:val="1"/>
      <w:numFmt w:val="decimal"/>
      <w:lvlText w:val="%1.%2.%3.%4.%5.%6.%7.%8"/>
      <w:lvlJc w:val="left"/>
      <w:pPr>
        <w:tabs>
          <w:tab w:val="num" w:pos="0"/>
        </w:tabs>
        <w:ind w:left="0" w:firstLine="0"/>
      </w:pPr>
      <w:rPr>
        <w:rFonts w:cs="Times New Roman"/>
        <w:rtl w:val="0"/>
        <w:cs w:val="0"/>
      </w:rPr>
    </w:lvl>
    <w:lvl w:ilvl="8">
      <w:start w:val="1"/>
      <w:numFmt w:val="decimal"/>
      <w:lvlText w:val="%1.%2.%3.%4.%5.%6.%7.%8.%9"/>
      <w:lvlJc w:val="left"/>
      <w:pPr>
        <w:tabs>
          <w:tab w:val="num" w:pos="0"/>
        </w:tabs>
        <w:ind w:left="0" w:firstLine="0"/>
      </w:pPr>
      <w:rPr>
        <w:rFonts w:cs="Times New Roman"/>
        <w:rtl w:val="0"/>
        <w:cs w:val="0"/>
      </w:rPr>
    </w:lvl>
  </w:abstractNum>
  <w:abstractNum w:abstractNumId="11">
    <w:nsid w:val="2845183E"/>
    <w:multiLevelType w:val="hybridMultilevel"/>
    <w:tmpl w:val="5EBAA40C"/>
    <w:lvl w:ilvl="0">
      <w:start w:val="3"/>
      <w:numFmt w:val="decimal"/>
      <w:lvlText w:val="%1."/>
      <w:lvlJc w:val="left"/>
      <w:pPr>
        <w:tabs>
          <w:tab w:val="num" w:pos="630"/>
        </w:tabs>
        <w:ind w:left="630" w:hanging="630"/>
      </w:pPr>
      <w:rPr>
        <w:rFonts w:cs="Times New Roman" w:hint="default"/>
        <w:color w:val="000000"/>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2">
    <w:nsid w:val="2D2D468B"/>
    <w:multiLevelType w:val="singleLevel"/>
    <w:tmpl w:val="A18042A8"/>
    <w:lvl w:ilvl="0">
      <w:start w:val="1"/>
      <w:numFmt w:val="upperLetter"/>
      <w:pStyle w:val="TOC3"/>
      <w:lvlText w:val="%1."/>
      <w:lvlJc w:val="left"/>
      <w:pPr>
        <w:tabs>
          <w:tab w:val="num" w:pos="567"/>
        </w:tabs>
        <w:ind w:left="567" w:hanging="567"/>
      </w:pPr>
      <w:rPr>
        <w:rFonts w:cs="Times New Roman"/>
        <w:rtl w:val="0"/>
        <w:cs w:val="0"/>
      </w:rPr>
    </w:lvl>
  </w:abstractNum>
  <w:abstractNum w:abstractNumId="13">
    <w:nsid w:val="2DB37182"/>
    <w:multiLevelType w:val="singleLevel"/>
    <w:tmpl w:val="F612DBDC"/>
    <w:lvl w:ilvl="0">
      <w:start w:val="1"/>
      <w:numFmt w:val="lowerRoman"/>
      <w:lvlText w:val="(%1)"/>
      <w:lvlJc w:val="left"/>
      <w:pPr>
        <w:tabs>
          <w:tab w:val="num" w:pos="720"/>
        </w:tabs>
        <w:ind w:left="567" w:hanging="567"/>
      </w:pPr>
      <w:rPr>
        <w:rFonts w:cs="Times New Roman"/>
        <w:rtl w:val="0"/>
        <w:cs w:val="0"/>
      </w:rPr>
    </w:lvl>
  </w:abstractNum>
  <w:abstractNum w:abstractNumId="14">
    <w:nsid w:val="394F5925"/>
    <w:multiLevelType w:val="singleLevel"/>
    <w:tmpl w:val="395C08BE"/>
    <w:lvl w:ilvl="0">
      <w:start w:val="1"/>
      <w:numFmt w:val="decimal"/>
      <w:pStyle w:val="Par-number11"/>
      <w:lvlText w:val="(%1)"/>
      <w:lvlJc w:val="left"/>
      <w:pPr>
        <w:tabs>
          <w:tab w:val="num" w:pos="567"/>
        </w:tabs>
        <w:ind w:left="567" w:hanging="567"/>
      </w:pPr>
      <w:rPr>
        <w:rFonts w:cs="Times New Roman"/>
        <w:rtl w:val="0"/>
        <w:cs w:val="0"/>
      </w:rPr>
    </w:lvl>
  </w:abstractNum>
  <w:abstractNum w:abstractNumId="15">
    <w:nsid w:val="3DD66C9D"/>
    <w:multiLevelType w:val="singleLevel"/>
    <w:tmpl w:val="E5905DC2"/>
    <w:lvl w:ilvl="0">
      <w:start w:val="1"/>
      <w:numFmt w:val="lowerLetter"/>
      <w:lvlText w:val="(%1)"/>
      <w:lvlJc w:val="left"/>
      <w:pPr>
        <w:tabs>
          <w:tab w:val="num" w:pos="567"/>
        </w:tabs>
        <w:ind w:left="567" w:hanging="567"/>
      </w:pPr>
      <w:rPr>
        <w:rFonts w:cs="Times New Roman"/>
        <w:rtl w:val="0"/>
        <w:cs w:val="0"/>
      </w:rPr>
    </w:lvl>
  </w:abstractNum>
  <w:abstractNum w:abstractNumId="16">
    <w:nsid w:val="3DF8163E"/>
    <w:multiLevelType w:val="hybridMultilevel"/>
    <w:tmpl w:val="0AB2BE68"/>
    <w:lvl w:ilvl="0">
      <w:start w:val="1"/>
      <w:numFmt w:val="bullet"/>
      <w:lvlText w:val=""/>
      <w:lvlJc w:val="left"/>
      <w:pPr>
        <w:tabs>
          <w:tab w:val="num" w:pos="927"/>
        </w:tabs>
        <w:ind w:left="927" w:hanging="360"/>
      </w:pPr>
      <w:rPr>
        <w:rFonts w:ascii="Symbol" w:hAnsi="Symbol" w:hint="default"/>
      </w:rPr>
    </w:lvl>
    <w:lvl w:ilvl="1">
      <w:start w:val="1"/>
      <w:numFmt w:val="bullet"/>
      <w:lvlText w:val="o"/>
      <w:lvlJc w:val="left"/>
      <w:pPr>
        <w:tabs>
          <w:tab w:val="num" w:pos="1647"/>
        </w:tabs>
        <w:ind w:left="1647" w:hanging="360"/>
      </w:pPr>
      <w:rPr>
        <w:rFonts w:ascii="Courier New" w:hAnsi="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17">
    <w:nsid w:val="3E9E6E63"/>
    <w:multiLevelType w:val="hybridMultilevel"/>
    <w:tmpl w:val="2CC25750"/>
    <w:lvl w:ilvl="0">
      <w:start w:val="0"/>
      <w:numFmt w:val="bullet"/>
      <w:lvlText w:val="-"/>
      <w:lvlJc w:val="left"/>
      <w:pPr>
        <w:ind w:left="1287" w:hanging="360"/>
      </w:pPr>
      <w:rPr>
        <w:rFonts w:ascii="Times New Roman" w:eastAsia="Times New Roman" w:hAnsi="Times New Roman" w:hint="default"/>
      </w:rPr>
    </w:lvl>
    <w:lvl w:ilvl="1">
      <w:start w:val="1"/>
      <w:numFmt w:val="bullet"/>
      <w:lvlText w:val="o"/>
      <w:lvlJc w:val="left"/>
      <w:pPr>
        <w:ind w:left="2007" w:hanging="360"/>
      </w:pPr>
      <w:rPr>
        <w:rFonts w:ascii="Courier New" w:hAnsi="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hint="default"/>
      </w:rPr>
    </w:lvl>
    <w:lvl w:ilvl="8">
      <w:start w:val="1"/>
      <w:numFmt w:val="bullet"/>
      <w:lvlText w:val=""/>
      <w:lvlJc w:val="left"/>
      <w:pPr>
        <w:ind w:left="7047" w:hanging="360"/>
      </w:pPr>
      <w:rPr>
        <w:rFonts w:ascii="Wingdings" w:hAnsi="Wingdings" w:hint="default"/>
      </w:rPr>
    </w:lvl>
  </w:abstractNum>
  <w:abstractNum w:abstractNumId="18">
    <w:nsid w:val="3F8341E8"/>
    <w:multiLevelType w:val="hybridMultilevel"/>
    <w:tmpl w:val="420637B8"/>
    <w:lvl w:ilvl="0">
      <w:start w:val="1"/>
      <w:numFmt w:val="bullet"/>
      <w:lvlText w:val=""/>
      <w:lvlJc w:val="left"/>
      <w:pPr>
        <w:tabs>
          <w:tab w:val="num" w:pos="530"/>
        </w:tabs>
        <w:ind w:left="644" w:hanging="284"/>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9">
    <w:nsid w:val="3FC80B1B"/>
    <w:multiLevelType w:val="singleLevel"/>
    <w:tmpl w:val="C11CD6E2"/>
    <w:lvl w:ilvl="0">
      <w:start w:val="1"/>
      <w:numFmt w:val="decimal"/>
      <w:pStyle w:val="EntEmet"/>
      <w:lvlText w:val="%1)"/>
      <w:lvlJc w:val="left"/>
      <w:pPr>
        <w:tabs>
          <w:tab w:val="num" w:pos="567"/>
        </w:tabs>
        <w:ind w:left="567" w:hanging="567"/>
      </w:pPr>
      <w:rPr>
        <w:rFonts w:cs="Times New Roman"/>
        <w:rtl w:val="0"/>
        <w:cs w:val="0"/>
      </w:rPr>
    </w:lvl>
  </w:abstractNum>
  <w:abstractNum w:abstractNumId="20">
    <w:nsid w:val="436E0A5D"/>
    <w:multiLevelType w:val="singleLevel"/>
    <w:tmpl w:val="9C807126"/>
    <w:lvl w:ilvl="0">
      <w:start w:val="1"/>
      <w:numFmt w:val="bullet"/>
      <w:pStyle w:val="TOC1"/>
      <w:lvlText w:val=""/>
      <w:lvlJc w:val="left"/>
      <w:pPr>
        <w:tabs>
          <w:tab w:val="num" w:pos="567"/>
        </w:tabs>
        <w:ind w:left="567" w:hanging="567"/>
      </w:pPr>
      <w:rPr>
        <w:rFonts w:ascii="Symbol" w:hAnsi="Symbol" w:hint="default"/>
      </w:rPr>
    </w:lvl>
  </w:abstractNum>
  <w:abstractNum w:abstractNumId="21">
    <w:nsid w:val="5A2E6ECA"/>
    <w:multiLevelType w:val="singleLevel"/>
    <w:tmpl w:val="F3D4C1F8"/>
    <w:lvl w:ilvl="0">
      <w:start w:val="1"/>
      <w:numFmt w:val="decimal"/>
      <w:lvlText w:val="%1."/>
      <w:legacy w:legacy="1" w:legacySpace="0" w:legacyIndent="288"/>
      <w:lvlJc w:val="left"/>
      <w:pPr>
        <w:ind w:left="713" w:hanging="288"/>
      </w:pPr>
      <w:rPr>
        <w:rFonts w:cs="Times New Roman"/>
        <w:color w:val="0000FF"/>
        <w:rtl w:val="0"/>
        <w:cs w:val="0"/>
      </w:rPr>
    </w:lvl>
  </w:abstractNum>
  <w:abstractNum w:abstractNumId="22">
    <w:nsid w:val="5E955741"/>
    <w:multiLevelType w:val="hybridMultilevel"/>
    <w:tmpl w:val="23B42CF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6E4E71E4"/>
    <w:multiLevelType w:val="singleLevel"/>
    <w:tmpl w:val="21145626"/>
    <w:lvl w:ilvl="0">
      <w:start w:val="1"/>
      <w:numFmt w:val="decimal"/>
      <w:pStyle w:val="Par-numberI"/>
      <w:lvlText w:val="%1."/>
      <w:lvlJc w:val="left"/>
      <w:pPr>
        <w:tabs>
          <w:tab w:val="num" w:pos="567"/>
        </w:tabs>
        <w:ind w:left="567" w:hanging="567"/>
      </w:pPr>
      <w:rPr>
        <w:rFonts w:cs="Times New Roman"/>
        <w:rtl w:val="0"/>
        <w:cs w:val="0"/>
      </w:rPr>
    </w:lvl>
  </w:abstractNum>
  <w:abstractNum w:abstractNumId="24">
    <w:nsid w:val="72520C52"/>
    <w:multiLevelType w:val="hybridMultilevel"/>
    <w:tmpl w:val="D50CD09A"/>
    <w:lvl w:ilvl="0">
      <w:start w:val="0"/>
      <w:numFmt w:val="bullet"/>
      <w:lvlText w:val="-"/>
      <w:lvlJc w:val="left"/>
      <w:pPr>
        <w:ind w:left="360" w:hanging="360"/>
      </w:pPr>
      <w:rPr>
        <w:rFonts w:ascii="Times New Roman" w:eastAsia="Times New Roman" w:hAnsi="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5">
    <w:nsid w:val="75E17EED"/>
    <w:multiLevelType w:val="hybridMultilevel"/>
    <w:tmpl w:val="6F14DE2A"/>
    <w:lvl w:ilvl="0">
      <w:start w:val="1"/>
      <w:numFmt w:val="bullet"/>
      <w:lvlText w:val=""/>
      <w:lvlJc w:val="left"/>
      <w:pPr>
        <w:tabs>
          <w:tab w:val="num" w:pos="3057"/>
        </w:tabs>
        <w:ind w:left="3057"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76A85ACF"/>
    <w:multiLevelType w:val="hybridMultilevel"/>
    <w:tmpl w:val="F9A028AC"/>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79FA34D6"/>
    <w:multiLevelType w:val="singleLevel"/>
    <w:tmpl w:val="41326E50"/>
    <w:lvl w:ilvl="0">
      <w:start w:val="1"/>
      <w:numFmt w:val="bullet"/>
      <w:pStyle w:val="Par-equal"/>
      <w:lvlText w:val=""/>
      <w:lvlJc w:val="left"/>
      <w:pPr>
        <w:tabs>
          <w:tab w:val="num" w:pos="567"/>
        </w:tabs>
        <w:ind w:left="567" w:hanging="567"/>
      </w:pPr>
      <w:rPr>
        <w:rFonts w:ascii="Symbol" w:hAnsi="Symbol" w:hint="default"/>
      </w:rPr>
    </w:lvl>
  </w:abstractNum>
  <w:num w:numId="1">
    <w:abstractNumId w:val="13"/>
  </w:num>
  <w:num w:numId="2">
    <w:abstractNumId w:val="15"/>
  </w:num>
  <w:num w:numId="3">
    <w:abstractNumId w:val="27"/>
  </w:num>
  <w:num w:numId="4">
    <w:abstractNumId w:val="9"/>
  </w:num>
  <w:num w:numId="5">
    <w:abstractNumId w:val="20"/>
  </w:num>
  <w:num w:numId="6">
    <w:abstractNumId w:val="14"/>
  </w:num>
  <w:num w:numId="7">
    <w:abstractNumId w:val="19"/>
  </w:num>
  <w:num w:numId="8">
    <w:abstractNumId w:val="23"/>
  </w:num>
  <w:num w:numId="9">
    <w:abstractNumId w:val="12"/>
  </w:num>
  <w:num w:numId="10">
    <w:abstractNumId w:val="5"/>
  </w:num>
  <w:num w:numId="11">
    <w:abstractNumId w:val="10"/>
  </w:num>
  <w:num w:numId="12">
    <w:abstractNumId w:val="10"/>
  </w:num>
  <w:num w:numId="13">
    <w:abstractNumId w:val="10"/>
  </w:num>
  <w:num w:numId="14">
    <w:abstractNumId w:val="10"/>
  </w:num>
  <w:num w:numId="15">
    <w:abstractNumId w:val="25"/>
  </w:num>
  <w:num w:numId="16">
    <w:abstractNumId w:val="11"/>
  </w:num>
  <w:num w:numId="17">
    <w:abstractNumId w:val="18"/>
  </w:num>
  <w:num w:numId="18">
    <w:abstractNumId w:val="6"/>
  </w:num>
  <w:num w:numId="19">
    <w:abstractNumId w:val="21"/>
  </w:num>
  <w:num w:numId="20">
    <w:abstractNumId w:val="4"/>
  </w:num>
  <w:num w:numId="21">
    <w:abstractNumId w:val="16"/>
  </w:num>
  <w:num w:numId="22">
    <w:abstractNumId w:val="8"/>
  </w:num>
  <w:num w:numId="23">
    <w:abstractNumId w:val="26"/>
  </w:num>
  <w:num w:numId="24">
    <w:abstractNumId w:val="7"/>
  </w:num>
  <w:num w:numId="25">
    <w:abstractNumId w:val="1"/>
  </w:num>
  <w:num w:numId="26">
    <w:abstractNumId w:val="0"/>
  </w:num>
  <w:num w:numId="27">
    <w:abstractNumId w:val="22"/>
  </w:num>
  <w:num w:numId="28">
    <w:abstractNumId w:val="17"/>
  </w:num>
  <w:num w:numId="29">
    <w:abstractNumId w:val="24"/>
  </w:num>
  <w:num w:numId="3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NotTrackMoves/>
  <w:defaultTabStop w:val="567"/>
  <w:displayHorizontalDrawingGridEvery w:val="0"/>
  <w:displayVerticalDrawingGridEvery w:val="0"/>
  <w:noPunctuationKerning/>
  <w:characterSpacingControl w:val="doNotCompress"/>
  <w:footnotePr>
    <w:numRestart w:val="eachPage"/>
  </w:footnotePr>
  <w:endnotePr>
    <w:numFmt w:val="decimal"/>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2B28C5"/>
    <w:rsid w:val="0000537B"/>
    <w:rsid w:val="000116A0"/>
    <w:rsid w:val="00014A19"/>
    <w:rsid w:val="00017A6F"/>
    <w:rsid w:val="00020DFB"/>
    <w:rsid w:val="00025534"/>
    <w:rsid w:val="000256B1"/>
    <w:rsid w:val="00050457"/>
    <w:rsid w:val="00052414"/>
    <w:rsid w:val="0006043E"/>
    <w:rsid w:val="000637F6"/>
    <w:rsid w:val="00067846"/>
    <w:rsid w:val="000704A3"/>
    <w:rsid w:val="00072EC2"/>
    <w:rsid w:val="00074B9A"/>
    <w:rsid w:val="00075910"/>
    <w:rsid w:val="000769AF"/>
    <w:rsid w:val="00082577"/>
    <w:rsid w:val="00083FBC"/>
    <w:rsid w:val="000867FF"/>
    <w:rsid w:val="0009569C"/>
    <w:rsid w:val="000A4851"/>
    <w:rsid w:val="000A6659"/>
    <w:rsid w:val="000B5FE6"/>
    <w:rsid w:val="000D1393"/>
    <w:rsid w:val="000D2B33"/>
    <w:rsid w:val="000E15D9"/>
    <w:rsid w:val="000E1C75"/>
    <w:rsid w:val="000F620E"/>
    <w:rsid w:val="00103F39"/>
    <w:rsid w:val="00107F38"/>
    <w:rsid w:val="00111C01"/>
    <w:rsid w:val="00113947"/>
    <w:rsid w:val="00114574"/>
    <w:rsid w:val="00116FCA"/>
    <w:rsid w:val="0012038A"/>
    <w:rsid w:val="001245E5"/>
    <w:rsid w:val="001257A1"/>
    <w:rsid w:val="0012665C"/>
    <w:rsid w:val="00141772"/>
    <w:rsid w:val="0014406C"/>
    <w:rsid w:val="00164E11"/>
    <w:rsid w:val="001653FD"/>
    <w:rsid w:val="00171F08"/>
    <w:rsid w:val="0017477F"/>
    <w:rsid w:val="00174E40"/>
    <w:rsid w:val="0017678D"/>
    <w:rsid w:val="001872D3"/>
    <w:rsid w:val="00194CFF"/>
    <w:rsid w:val="001970D4"/>
    <w:rsid w:val="001A17C3"/>
    <w:rsid w:val="001A2DB0"/>
    <w:rsid w:val="001A7657"/>
    <w:rsid w:val="001C1D07"/>
    <w:rsid w:val="001D60D8"/>
    <w:rsid w:val="001D7E32"/>
    <w:rsid w:val="001E714D"/>
    <w:rsid w:val="001F59C5"/>
    <w:rsid w:val="001F65E5"/>
    <w:rsid w:val="001F7964"/>
    <w:rsid w:val="00201DB5"/>
    <w:rsid w:val="00202552"/>
    <w:rsid w:val="00204F63"/>
    <w:rsid w:val="002103D0"/>
    <w:rsid w:val="002123F9"/>
    <w:rsid w:val="00220AE0"/>
    <w:rsid w:val="0022170F"/>
    <w:rsid w:val="00226374"/>
    <w:rsid w:val="002323D1"/>
    <w:rsid w:val="00234D95"/>
    <w:rsid w:val="00235F98"/>
    <w:rsid w:val="00241B22"/>
    <w:rsid w:val="002530B1"/>
    <w:rsid w:val="0025703C"/>
    <w:rsid w:val="00257613"/>
    <w:rsid w:val="00262053"/>
    <w:rsid w:val="00266DAC"/>
    <w:rsid w:val="002670A7"/>
    <w:rsid w:val="00270BB2"/>
    <w:rsid w:val="0027325D"/>
    <w:rsid w:val="00274398"/>
    <w:rsid w:val="002756D3"/>
    <w:rsid w:val="00281878"/>
    <w:rsid w:val="00283DCB"/>
    <w:rsid w:val="00291F4A"/>
    <w:rsid w:val="002939BD"/>
    <w:rsid w:val="002A2BC4"/>
    <w:rsid w:val="002A4303"/>
    <w:rsid w:val="002A4DEC"/>
    <w:rsid w:val="002A5D49"/>
    <w:rsid w:val="002B28C5"/>
    <w:rsid w:val="002B45D4"/>
    <w:rsid w:val="002B51BF"/>
    <w:rsid w:val="002B592B"/>
    <w:rsid w:val="002C06FB"/>
    <w:rsid w:val="002C2564"/>
    <w:rsid w:val="002C2635"/>
    <w:rsid w:val="002C6725"/>
    <w:rsid w:val="002D0849"/>
    <w:rsid w:val="002D3071"/>
    <w:rsid w:val="002D5B64"/>
    <w:rsid w:val="002E46F1"/>
    <w:rsid w:val="002F1116"/>
    <w:rsid w:val="00300753"/>
    <w:rsid w:val="00304DEB"/>
    <w:rsid w:val="0031293E"/>
    <w:rsid w:val="00322390"/>
    <w:rsid w:val="00323DF1"/>
    <w:rsid w:val="00325BBA"/>
    <w:rsid w:val="003317EC"/>
    <w:rsid w:val="00333EF0"/>
    <w:rsid w:val="00335A55"/>
    <w:rsid w:val="00337B12"/>
    <w:rsid w:val="003527C5"/>
    <w:rsid w:val="00353640"/>
    <w:rsid w:val="00357186"/>
    <w:rsid w:val="00365A1E"/>
    <w:rsid w:val="00374551"/>
    <w:rsid w:val="003812B9"/>
    <w:rsid w:val="0039090B"/>
    <w:rsid w:val="003A06FB"/>
    <w:rsid w:val="003A1802"/>
    <w:rsid w:val="003A2AEE"/>
    <w:rsid w:val="003B06EC"/>
    <w:rsid w:val="003B618C"/>
    <w:rsid w:val="003C73E4"/>
    <w:rsid w:val="003D12B6"/>
    <w:rsid w:val="003D12D6"/>
    <w:rsid w:val="003D2292"/>
    <w:rsid w:val="003D349D"/>
    <w:rsid w:val="003D5361"/>
    <w:rsid w:val="003D7E2D"/>
    <w:rsid w:val="003E199C"/>
    <w:rsid w:val="003E5975"/>
    <w:rsid w:val="003F010B"/>
    <w:rsid w:val="003F7522"/>
    <w:rsid w:val="0040596E"/>
    <w:rsid w:val="00410588"/>
    <w:rsid w:val="00414541"/>
    <w:rsid w:val="00415714"/>
    <w:rsid w:val="00421101"/>
    <w:rsid w:val="004323AA"/>
    <w:rsid w:val="004359D6"/>
    <w:rsid w:val="00445F2C"/>
    <w:rsid w:val="00446EA1"/>
    <w:rsid w:val="00450BE8"/>
    <w:rsid w:val="00455C30"/>
    <w:rsid w:val="0045671D"/>
    <w:rsid w:val="0045772B"/>
    <w:rsid w:val="00460611"/>
    <w:rsid w:val="0046126A"/>
    <w:rsid w:val="00462CBB"/>
    <w:rsid w:val="00465855"/>
    <w:rsid w:val="004673F4"/>
    <w:rsid w:val="004776CC"/>
    <w:rsid w:val="00486D3D"/>
    <w:rsid w:val="00487574"/>
    <w:rsid w:val="00487D36"/>
    <w:rsid w:val="004901D9"/>
    <w:rsid w:val="00490932"/>
    <w:rsid w:val="00493C53"/>
    <w:rsid w:val="004B0845"/>
    <w:rsid w:val="004E30A8"/>
    <w:rsid w:val="004F3782"/>
    <w:rsid w:val="00501DEE"/>
    <w:rsid w:val="005115B2"/>
    <w:rsid w:val="00514AD6"/>
    <w:rsid w:val="005176C6"/>
    <w:rsid w:val="00517771"/>
    <w:rsid w:val="00517AFA"/>
    <w:rsid w:val="00524A4B"/>
    <w:rsid w:val="00527CDB"/>
    <w:rsid w:val="005305D7"/>
    <w:rsid w:val="0053148A"/>
    <w:rsid w:val="00533634"/>
    <w:rsid w:val="005365F9"/>
    <w:rsid w:val="00541A05"/>
    <w:rsid w:val="00545589"/>
    <w:rsid w:val="005525C4"/>
    <w:rsid w:val="005533BE"/>
    <w:rsid w:val="00554FBE"/>
    <w:rsid w:val="005555F2"/>
    <w:rsid w:val="005674B4"/>
    <w:rsid w:val="005716D5"/>
    <w:rsid w:val="0057288A"/>
    <w:rsid w:val="005766CD"/>
    <w:rsid w:val="00581AEB"/>
    <w:rsid w:val="00591446"/>
    <w:rsid w:val="005B7165"/>
    <w:rsid w:val="005C1DE3"/>
    <w:rsid w:val="005C5E7A"/>
    <w:rsid w:val="005D11D1"/>
    <w:rsid w:val="005D1E9C"/>
    <w:rsid w:val="005D3AEB"/>
    <w:rsid w:val="005D3C88"/>
    <w:rsid w:val="005F1987"/>
    <w:rsid w:val="005F2516"/>
    <w:rsid w:val="005F60A3"/>
    <w:rsid w:val="005F62B6"/>
    <w:rsid w:val="005F793E"/>
    <w:rsid w:val="00602694"/>
    <w:rsid w:val="00602EB6"/>
    <w:rsid w:val="006138C2"/>
    <w:rsid w:val="00615C14"/>
    <w:rsid w:val="006164E1"/>
    <w:rsid w:val="00616DB2"/>
    <w:rsid w:val="006175F1"/>
    <w:rsid w:val="00624C6D"/>
    <w:rsid w:val="00624D40"/>
    <w:rsid w:val="00634C8B"/>
    <w:rsid w:val="00641F5D"/>
    <w:rsid w:val="00644C42"/>
    <w:rsid w:val="00646728"/>
    <w:rsid w:val="0065180C"/>
    <w:rsid w:val="00655F7D"/>
    <w:rsid w:val="006565EA"/>
    <w:rsid w:val="00656EFD"/>
    <w:rsid w:val="00681EB1"/>
    <w:rsid w:val="00687072"/>
    <w:rsid w:val="00687DEF"/>
    <w:rsid w:val="0069311C"/>
    <w:rsid w:val="006936F3"/>
    <w:rsid w:val="00696AF7"/>
    <w:rsid w:val="006A0D97"/>
    <w:rsid w:val="006A36A1"/>
    <w:rsid w:val="006A63D6"/>
    <w:rsid w:val="006B3FE1"/>
    <w:rsid w:val="006D2AFA"/>
    <w:rsid w:val="006D2C19"/>
    <w:rsid w:val="006D6E52"/>
    <w:rsid w:val="006E36FB"/>
    <w:rsid w:val="006E4164"/>
    <w:rsid w:val="006E46C1"/>
    <w:rsid w:val="006E5355"/>
    <w:rsid w:val="006F22F6"/>
    <w:rsid w:val="00700EC9"/>
    <w:rsid w:val="00702747"/>
    <w:rsid w:val="00724F3D"/>
    <w:rsid w:val="007277DB"/>
    <w:rsid w:val="0073137F"/>
    <w:rsid w:val="0074196E"/>
    <w:rsid w:val="007447A9"/>
    <w:rsid w:val="00750BF5"/>
    <w:rsid w:val="00754CB7"/>
    <w:rsid w:val="0076458B"/>
    <w:rsid w:val="007654CE"/>
    <w:rsid w:val="0076794C"/>
    <w:rsid w:val="007746BD"/>
    <w:rsid w:val="00777FB1"/>
    <w:rsid w:val="007804B4"/>
    <w:rsid w:val="007838EE"/>
    <w:rsid w:val="0079794E"/>
    <w:rsid w:val="007A1198"/>
    <w:rsid w:val="007B0D74"/>
    <w:rsid w:val="007B0F12"/>
    <w:rsid w:val="007B261A"/>
    <w:rsid w:val="007B66CB"/>
    <w:rsid w:val="007B6BB6"/>
    <w:rsid w:val="007B6E58"/>
    <w:rsid w:val="007B7A50"/>
    <w:rsid w:val="007C3327"/>
    <w:rsid w:val="007C7E90"/>
    <w:rsid w:val="007D1305"/>
    <w:rsid w:val="007D6A1B"/>
    <w:rsid w:val="007E56C6"/>
    <w:rsid w:val="007F49BE"/>
    <w:rsid w:val="007F5BEA"/>
    <w:rsid w:val="00812003"/>
    <w:rsid w:val="008136C6"/>
    <w:rsid w:val="008147BD"/>
    <w:rsid w:val="00820D9C"/>
    <w:rsid w:val="008232D9"/>
    <w:rsid w:val="00827A62"/>
    <w:rsid w:val="0083043C"/>
    <w:rsid w:val="008326BD"/>
    <w:rsid w:val="00850CE8"/>
    <w:rsid w:val="0085378C"/>
    <w:rsid w:val="00853B46"/>
    <w:rsid w:val="008619D4"/>
    <w:rsid w:val="00863CEE"/>
    <w:rsid w:val="0088319A"/>
    <w:rsid w:val="00883DC7"/>
    <w:rsid w:val="008873DB"/>
    <w:rsid w:val="008922F7"/>
    <w:rsid w:val="008A2BC9"/>
    <w:rsid w:val="008B069F"/>
    <w:rsid w:val="008D3B70"/>
    <w:rsid w:val="008D59BA"/>
    <w:rsid w:val="008E5517"/>
    <w:rsid w:val="008E6CE1"/>
    <w:rsid w:val="009135EF"/>
    <w:rsid w:val="00915956"/>
    <w:rsid w:val="00916453"/>
    <w:rsid w:val="00917FD6"/>
    <w:rsid w:val="0092101D"/>
    <w:rsid w:val="00927B12"/>
    <w:rsid w:val="00930BD7"/>
    <w:rsid w:val="00933623"/>
    <w:rsid w:val="00947D85"/>
    <w:rsid w:val="00950B14"/>
    <w:rsid w:val="00951276"/>
    <w:rsid w:val="00955AB5"/>
    <w:rsid w:val="00956730"/>
    <w:rsid w:val="00963CA8"/>
    <w:rsid w:val="00965BC6"/>
    <w:rsid w:val="009700CD"/>
    <w:rsid w:val="00980707"/>
    <w:rsid w:val="009846A3"/>
    <w:rsid w:val="009871D0"/>
    <w:rsid w:val="00993FD8"/>
    <w:rsid w:val="00995506"/>
    <w:rsid w:val="009A1D54"/>
    <w:rsid w:val="009C3275"/>
    <w:rsid w:val="009C6555"/>
    <w:rsid w:val="009D15C2"/>
    <w:rsid w:val="009D2FCD"/>
    <w:rsid w:val="009D3438"/>
    <w:rsid w:val="009E3998"/>
    <w:rsid w:val="009E39E1"/>
    <w:rsid w:val="009E3CA2"/>
    <w:rsid w:val="009E7878"/>
    <w:rsid w:val="009F0FE5"/>
    <w:rsid w:val="00A00070"/>
    <w:rsid w:val="00A03A9A"/>
    <w:rsid w:val="00A04C33"/>
    <w:rsid w:val="00A11BA3"/>
    <w:rsid w:val="00A21BB9"/>
    <w:rsid w:val="00A3456F"/>
    <w:rsid w:val="00A4404D"/>
    <w:rsid w:val="00A55EB4"/>
    <w:rsid w:val="00A56CF2"/>
    <w:rsid w:val="00A62BEB"/>
    <w:rsid w:val="00A71909"/>
    <w:rsid w:val="00A72E84"/>
    <w:rsid w:val="00A83A74"/>
    <w:rsid w:val="00A83DC7"/>
    <w:rsid w:val="00A8452C"/>
    <w:rsid w:val="00A90828"/>
    <w:rsid w:val="00A9225C"/>
    <w:rsid w:val="00A93C90"/>
    <w:rsid w:val="00AA0A73"/>
    <w:rsid w:val="00AA3A4F"/>
    <w:rsid w:val="00AB0735"/>
    <w:rsid w:val="00AB0E8C"/>
    <w:rsid w:val="00AC3B7B"/>
    <w:rsid w:val="00AD4C44"/>
    <w:rsid w:val="00AD537B"/>
    <w:rsid w:val="00AE292C"/>
    <w:rsid w:val="00AE441E"/>
    <w:rsid w:val="00B104EA"/>
    <w:rsid w:val="00B14215"/>
    <w:rsid w:val="00B218D5"/>
    <w:rsid w:val="00B36633"/>
    <w:rsid w:val="00B55A5E"/>
    <w:rsid w:val="00B67F33"/>
    <w:rsid w:val="00B71F34"/>
    <w:rsid w:val="00B742B6"/>
    <w:rsid w:val="00B757D8"/>
    <w:rsid w:val="00B80327"/>
    <w:rsid w:val="00B81F10"/>
    <w:rsid w:val="00B845E7"/>
    <w:rsid w:val="00B85F28"/>
    <w:rsid w:val="00B9015B"/>
    <w:rsid w:val="00B97461"/>
    <w:rsid w:val="00BA19D1"/>
    <w:rsid w:val="00BA2F6A"/>
    <w:rsid w:val="00BA49C0"/>
    <w:rsid w:val="00BA740B"/>
    <w:rsid w:val="00BB24E9"/>
    <w:rsid w:val="00BB3185"/>
    <w:rsid w:val="00BB3932"/>
    <w:rsid w:val="00BC3FE8"/>
    <w:rsid w:val="00BD15C8"/>
    <w:rsid w:val="00BD2D3B"/>
    <w:rsid w:val="00BE0095"/>
    <w:rsid w:val="00BE0D86"/>
    <w:rsid w:val="00BE2076"/>
    <w:rsid w:val="00BE462A"/>
    <w:rsid w:val="00BE5A7B"/>
    <w:rsid w:val="00BF677C"/>
    <w:rsid w:val="00C01847"/>
    <w:rsid w:val="00C1061F"/>
    <w:rsid w:val="00C13287"/>
    <w:rsid w:val="00C1514B"/>
    <w:rsid w:val="00C1790F"/>
    <w:rsid w:val="00C23F4D"/>
    <w:rsid w:val="00C300E3"/>
    <w:rsid w:val="00C32E25"/>
    <w:rsid w:val="00C42F46"/>
    <w:rsid w:val="00C50124"/>
    <w:rsid w:val="00C502FD"/>
    <w:rsid w:val="00C548E9"/>
    <w:rsid w:val="00C55246"/>
    <w:rsid w:val="00C55B24"/>
    <w:rsid w:val="00C577C5"/>
    <w:rsid w:val="00C66F75"/>
    <w:rsid w:val="00C7244B"/>
    <w:rsid w:val="00C81111"/>
    <w:rsid w:val="00C82663"/>
    <w:rsid w:val="00C83670"/>
    <w:rsid w:val="00C90F27"/>
    <w:rsid w:val="00C968F7"/>
    <w:rsid w:val="00C97E7C"/>
    <w:rsid w:val="00CB205C"/>
    <w:rsid w:val="00CD35C2"/>
    <w:rsid w:val="00CE0C88"/>
    <w:rsid w:val="00CE1387"/>
    <w:rsid w:val="00CE17E8"/>
    <w:rsid w:val="00CE476B"/>
    <w:rsid w:val="00CE51DE"/>
    <w:rsid w:val="00CF095C"/>
    <w:rsid w:val="00CF309C"/>
    <w:rsid w:val="00D01173"/>
    <w:rsid w:val="00D25D34"/>
    <w:rsid w:val="00D31A71"/>
    <w:rsid w:val="00D40257"/>
    <w:rsid w:val="00D418DB"/>
    <w:rsid w:val="00D43B3B"/>
    <w:rsid w:val="00D44783"/>
    <w:rsid w:val="00D4618F"/>
    <w:rsid w:val="00D57F42"/>
    <w:rsid w:val="00D63C21"/>
    <w:rsid w:val="00D7160C"/>
    <w:rsid w:val="00D760B8"/>
    <w:rsid w:val="00D86B71"/>
    <w:rsid w:val="00D91951"/>
    <w:rsid w:val="00D96E50"/>
    <w:rsid w:val="00D97143"/>
    <w:rsid w:val="00DA6F9A"/>
    <w:rsid w:val="00DB31E8"/>
    <w:rsid w:val="00DB408E"/>
    <w:rsid w:val="00DC015F"/>
    <w:rsid w:val="00DD02F1"/>
    <w:rsid w:val="00DD1759"/>
    <w:rsid w:val="00DD54E0"/>
    <w:rsid w:val="00DD68D8"/>
    <w:rsid w:val="00DE1D55"/>
    <w:rsid w:val="00DE42A7"/>
    <w:rsid w:val="00DE6BEC"/>
    <w:rsid w:val="00E037EB"/>
    <w:rsid w:val="00E12172"/>
    <w:rsid w:val="00E226BA"/>
    <w:rsid w:val="00E24087"/>
    <w:rsid w:val="00E253BE"/>
    <w:rsid w:val="00E4008B"/>
    <w:rsid w:val="00E43AA8"/>
    <w:rsid w:val="00E45613"/>
    <w:rsid w:val="00E5556D"/>
    <w:rsid w:val="00E7708F"/>
    <w:rsid w:val="00E830FE"/>
    <w:rsid w:val="00E93A19"/>
    <w:rsid w:val="00E961DD"/>
    <w:rsid w:val="00EA1071"/>
    <w:rsid w:val="00EA3AC0"/>
    <w:rsid w:val="00EB1FB4"/>
    <w:rsid w:val="00EB300A"/>
    <w:rsid w:val="00EB70A3"/>
    <w:rsid w:val="00EC7258"/>
    <w:rsid w:val="00EE00BA"/>
    <w:rsid w:val="00EE08B4"/>
    <w:rsid w:val="00EE0C61"/>
    <w:rsid w:val="00EE3C4D"/>
    <w:rsid w:val="00EE6E72"/>
    <w:rsid w:val="00F02FBE"/>
    <w:rsid w:val="00F030A6"/>
    <w:rsid w:val="00F117AB"/>
    <w:rsid w:val="00F2077C"/>
    <w:rsid w:val="00F253A5"/>
    <w:rsid w:val="00F273C3"/>
    <w:rsid w:val="00F33713"/>
    <w:rsid w:val="00F42ECF"/>
    <w:rsid w:val="00F50756"/>
    <w:rsid w:val="00F60F0E"/>
    <w:rsid w:val="00F64303"/>
    <w:rsid w:val="00F65799"/>
    <w:rsid w:val="00F7255F"/>
    <w:rsid w:val="00F75257"/>
    <w:rsid w:val="00F84DBE"/>
    <w:rsid w:val="00F85A1D"/>
    <w:rsid w:val="00F92681"/>
    <w:rsid w:val="00F95820"/>
    <w:rsid w:val="00F95F36"/>
    <w:rsid w:val="00FA264E"/>
    <w:rsid w:val="00FA3851"/>
    <w:rsid w:val="00FA48B4"/>
    <w:rsid w:val="00FA63F8"/>
    <w:rsid w:val="00FB084D"/>
    <w:rsid w:val="00FB1A6E"/>
    <w:rsid w:val="00FB2CC5"/>
    <w:rsid w:val="00FD3083"/>
    <w:rsid w:val="00FD7A45"/>
    <w:rsid w:val="00FE0E9D"/>
    <w:rsid w:val="00FE14B0"/>
    <w:rsid w:val="00FF4705"/>
  </w:rsids>
  <w:docVars>
    <w:docVar w:name="LW_DocType" w:val="_GENEN"/>
  </w:docVar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val="0"/>
      <w:autoSpaceDE/>
      <w:autoSpaceDN/>
      <w:adjustRightInd/>
      <w:spacing w:line="360" w:lineRule="auto"/>
      <w:ind w:left="0" w:right="0"/>
      <w:jc w:val="left"/>
      <w:textAlignment w:val="auto"/>
    </w:pPr>
    <w:rPr>
      <w:rFonts w:cs="Times New Roman"/>
      <w:sz w:val="24"/>
      <w:szCs w:val="20"/>
      <w:rtl w:val="0"/>
      <w:cs w:val="0"/>
      <w:lang w:val="en-GB" w:eastAsia="fr-BE" w:bidi="ar-SA"/>
    </w:rPr>
  </w:style>
  <w:style w:type="paragraph" w:styleId="Heading1">
    <w:name w:val="heading 1"/>
    <w:aliases w:val="Part"/>
    <w:basedOn w:val="Normal"/>
    <w:next w:val="Normal"/>
    <w:qFormat/>
    <w:pPr>
      <w:keepNext/>
      <w:widowControl/>
      <w:numPr>
        <w:numId w:val="11"/>
      </w:numPr>
      <w:tabs>
        <w:tab w:val="num" w:pos="851"/>
      </w:tabs>
      <w:spacing w:before="360" w:after="120" w:line="240" w:lineRule="auto"/>
      <w:ind w:left="851" w:hanging="851"/>
      <w:jc w:val="both"/>
      <w:outlineLvl w:val="0"/>
    </w:pPr>
    <w:rPr>
      <w:b/>
      <w:smallCaps/>
    </w:rPr>
  </w:style>
  <w:style w:type="paragraph" w:styleId="Heading2">
    <w:name w:val="heading 2"/>
    <w:aliases w:val="Chpt"/>
    <w:basedOn w:val="Normal"/>
    <w:next w:val="Normal"/>
    <w:qFormat/>
    <w:pPr>
      <w:keepNext/>
      <w:widowControl/>
      <w:numPr>
        <w:ilvl w:val="1"/>
        <w:numId w:val="12"/>
      </w:numPr>
      <w:tabs>
        <w:tab w:val="num" w:pos="851"/>
      </w:tabs>
      <w:spacing w:before="120" w:after="120" w:line="240" w:lineRule="auto"/>
      <w:ind w:left="851" w:hanging="851"/>
      <w:jc w:val="both"/>
      <w:outlineLvl w:val="1"/>
    </w:pPr>
    <w:rPr>
      <w:b/>
    </w:rPr>
  </w:style>
  <w:style w:type="paragraph" w:styleId="Heading3">
    <w:name w:val="heading 3"/>
    <w:aliases w:val="Sec"/>
    <w:basedOn w:val="Normal"/>
    <w:next w:val="Normal"/>
    <w:qFormat/>
    <w:pPr>
      <w:keepNext/>
      <w:widowControl/>
      <w:numPr>
        <w:ilvl w:val="2"/>
        <w:numId w:val="13"/>
      </w:numPr>
      <w:tabs>
        <w:tab w:val="num" w:pos="851"/>
      </w:tabs>
      <w:spacing w:before="120" w:after="120" w:line="240" w:lineRule="auto"/>
      <w:ind w:left="851" w:hanging="851"/>
      <w:jc w:val="both"/>
      <w:outlineLvl w:val="2"/>
    </w:pPr>
    <w:rPr>
      <w:i/>
    </w:rPr>
  </w:style>
  <w:style w:type="paragraph" w:styleId="Heading4">
    <w:name w:val="heading 4"/>
    <w:aliases w:val="MainPara"/>
    <w:basedOn w:val="Normal"/>
    <w:next w:val="Normal"/>
    <w:qFormat/>
    <w:pPr>
      <w:keepNext/>
      <w:widowControl/>
      <w:numPr>
        <w:ilvl w:val="3"/>
        <w:numId w:val="14"/>
      </w:numPr>
      <w:tabs>
        <w:tab w:val="num" w:pos="851"/>
      </w:tabs>
      <w:spacing w:before="120" w:after="120" w:line="240" w:lineRule="auto"/>
      <w:ind w:left="851" w:hanging="851"/>
      <w:jc w:val="both"/>
      <w:outlineLvl w:val="3"/>
    </w:pPr>
  </w:style>
  <w:style w:type="paragraph" w:styleId="Heading5">
    <w:name w:val="heading 5"/>
    <w:aliases w:val="Subpara 2"/>
    <w:basedOn w:val="Normal"/>
    <w:next w:val="Normal"/>
    <w:qFormat/>
    <w:pPr>
      <w:widowControl/>
      <w:spacing w:before="240" w:after="60" w:line="240" w:lineRule="auto"/>
      <w:jc w:val="both"/>
      <w:outlineLvl w:val="4"/>
    </w:pPr>
    <w:rPr>
      <w:rFonts w:ascii="Arial" w:hAnsi="Arial"/>
      <w:sz w:val="22"/>
    </w:rPr>
  </w:style>
  <w:style w:type="paragraph" w:styleId="Heading6">
    <w:name w:val="heading 6"/>
    <w:aliases w:val="Subpara 3"/>
    <w:basedOn w:val="Normal"/>
    <w:next w:val="Normal"/>
    <w:qFormat/>
    <w:pPr>
      <w:widowControl/>
      <w:spacing w:before="240" w:after="60" w:line="240" w:lineRule="auto"/>
      <w:jc w:val="both"/>
      <w:outlineLvl w:val="5"/>
    </w:pPr>
    <w:rPr>
      <w:rFonts w:ascii="Arial" w:hAnsi="Arial"/>
      <w:i/>
      <w:sz w:val="22"/>
    </w:rPr>
  </w:style>
  <w:style w:type="paragraph" w:styleId="Heading7">
    <w:name w:val="heading 7"/>
    <w:aliases w:val="Subpara 4"/>
    <w:basedOn w:val="Normal"/>
    <w:next w:val="Normal"/>
    <w:qFormat/>
    <w:pPr>
      <w:widowControl/>
      <w:spacing w:before="240" w:after="60" w:line="240" w:lineRule="auto"/>
      <w:jc w:val="both"/>
      <w:outlineLvl w:val="6"/>
    </w:pPr>
    <w:rPr>
      <w:rFonts w:ascii="Arial" w:hAnsi="Arial"/>
      <w:sz w:val="20"/>
    </w:rPr>
  </w:style>
  <w:style w:type="paragraph" w:styleId="Heading8">
    <w:name w:val="heading 8"/>
    <w:aliases w:val="Subpara 5"/>
    <w:basedOn w:val="Normal"/>
    <w:next w:val="Normal"/>
    <w:qFormat/>
    <w:pPr>
      <w:widowControl/>
      <w:spacing w:before="240" w:after="60" w:line="240" w:lineRule="auto"/>
      <w:jc w:val="both"/>
      <w:outlineLvl w:val="7"/>
    </w:pPr>
    <w:rPr>
      <w:rFonts w:ascii="Arial" w:hAnsi="Arial"/>
      <w:i/>
      <w:sz w:val="20"/>
    </w:rPr>
  </w:style>
  <w:style w:type="paragraph" w:styleId="Heading9">
    <w:name w:val="heading 9"/>
    <w:aliases w:val="Subpara 6"/>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aliases w:val="Znak Znak2 Char Char Char Char"/>
    <w:link w:val="ZnakZnak2CharChar"/>
    <w:locked/>
  </w:style>
  <w:style w:type="table" w:default="1" w:styleId="TableNormal">
    <w:name w:val="Normal Table"/>
    <w:tblPr>
      <w:tblInd w:w="0" w:type="dxa"/>
      <w:tblCellMar>
        <w:top w:w="0" w:type="dxa"/>
        <w:left w:w="108" w:type="dxa"/>
        <w:bottom w:w="0" w:type="dxa"/>
        <w:right w:w="108" w:type="dxa"/>
      </w:tblCellMar>
    </w:tblPr>
  </w:style>
  <w:style w:type="paragraph" w:customStyle="1" w:styleId="ZnakZnak2CharChar">
    <w:name w:val="Znak Znak2 Char Char"/>
    <w:basedOn w:val="Normal"/>
    <w:link w:val="DefaultParagraphFont"/>
    <w:rsid w:val="004B0845"/>
    <w:pPr>
      <w:widowControl/>
      <w:spacing w:line="240" w:lineRule="auto"/>
      <w:jc w:val="left"/>
    </w:pPr>
    <w:rPr>
      <w:szCs w:val="24"/>
      <w:lang w:val="pl-PL" w:eastAsia="pl-PL"/>
    </w:rPr>
  </w:style>
  <w:style w:type="paragraph" w:styleId="Footer">
    <w:name w:val="footer"/>
    <w:basedOn w:val="Normal"/>
    <w:pPr>
      <w:tabs>
        <w:tab w:val="center" w:pos="4820"/>
        <w:tab w:val="center" w:pos="7371"/>
        <w:tab w:val="right" w:pos="9639"/>
      </w:tabs>
      <w:spacing w:line="240" w:lineRule="auto"/>
      <w:jc w:val="left"/>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jc w:val="left"/>
    </w:pPr>
    <w:rPr>
      <w:b/>
    </w:rPr>
  </w:style>
  <w:style w:type="paragraph" w:customStyle="1" w:styleId="Par-number1">
    <w:name w:val="Par-number 1)"/>
    <w:basedOn w:val="Normal"/>
    <w:next w:val="Normal"/>
    <w:pPr>
      <w:numPr>
        <w:numId w:val="7"/>
      </w:numPr>
      <w:tabs>
        <w:tab w:val="num" w:pos="567"/>
      </w:tabs>
      <w:ind w:left="567" w:hanging="567"/>
      <w:jc w:val="left"/>
    </w:pPr>
  </w:style>
  <w:style w:type="paragraph" w:customStyle="1" w:styleId="EntEmet">
    <w:name w:val="EntEmet"/>
    <w:basedOn w:val="Normal"/>
    <w:pPr>
      <w:tabs>
        <w:tab w:val="left" w:pos="284"/>
        <w:tab w:val="left" w:pos="567"/>
        <w:tab w:val="left" w:pos="851"/>
        <w:tab w:val="left" w:pos="1134"/>
        <w:tab w:val="left" w:pos="1418"/>
      </w:tabs>
      <w:spacing w:before="40" w:line="240" w:lineRule="auto"/>
      <w:jc w:val="left"/>
    </w:pPr>
  </w:style>
  <w:style w:type="character" w:styleId="FootnoteReference">
    <w:name w:val="footnote reference"/>
    <w:rPr>
      <w:b/>
      <w:vertAlign w:val="superscript"/>
    </w:rPr>
  </w:style>
  <w:style w:type="paragraph" w:styleId="FootnoteText">
    <w:name w:val="footnote text"/>
    <w:basedOn w:val="Normal"/>
    <w:pPr>
      <w:tabs>
        <w:tab w:val="left" w:pos="567"/>
      </w:tabs>
      <w:spacing w:line="240" w:lineRule="auto"/>
      <w:ind w:left="567" w:hanging="567"/>
      <w:jc w:val="left"/>
    </w:pPr>
  </w:style>
  <w:style w:type="paragraph" w:styleId="Header">
    <w:name w:val="header"/>
    <w:basedOn w:val="Normal"/>
    <w:pPr>
      <w:tabs>
        <w:tab w:val="center" w:pos="4820"/>
        <w:tab w:val="right" w:pos="7371"/>
        <w:tab w:val="right" w:pos="9639"/>
      </w:tabs>
      <w:spacing w:line="240" w:lineRule="auto"/>
      <w:jc w:val="left"/>
    </w:pPr>
  </w:style>
  <w:style w:type="paragraph" w:customStyle="1" w:styleId="Par-bullet">
    <w:name w:val="Par-bullet"/>
    <w:basedOn w:val="Normal"/>
    <w:next w:val="Normal"/>
    <w:pPr>
      <w:numPr>
        <w:numId w:val="3"/>
      </w:numPr>
      <w:tabs>
        <w:tab w:val="num" w:pos="567"/>
      </w:tabs>
      <w:ind w:left="567" w:hanging="567"/>
      <w:jc w:val="left"/>
    </w:pPr>
  </w:style>
  <w:style w:type="paragraph" w:customStyle="1" w:styleId="Par-equal">
    <w:name w:val="Par-equal"/>
    <w:basedOn w:val="Normal"/>
    <w:next w:val="Normal"/>
    <w:pPr>
      <w:numPr>
        <w:numId w:val="5"/>
      </w:numPr>
      <w:tabs>
        <w:tab w:val="num" w:pos="567"/>
      </w:tabs>
      <w:ind w:left="567" w:hanging="567"/>
      <w:jc w:val="left"/>
    </w:pPr>
  </w:style>
  <w:style w:type="paragraph" w:styleId="TOC1">
    <w:name w:val="toc 1"/>
    <w:basedOn w:val="Normal"/>
    <w:next w:val="Normal"/>
    <w:pPr>
      <w:tabs>
        <w:tab w:val="left" w:pos="567"/>
        <w:tab w:val="right" w:leader="dot" w:pos="9639"/>
      </w:tabs>
      <w:ind w:left="567" w:right="567" w:hanging="567"/>
      <w:jc w:val="left"/>
    </w:pPr>
  </w:style>
  <w:style w:type="paragraph" w:customStyle="1" w:styleId="Par-number10">
    <w:name w:val="Par-number (1)"/>
    <w:basedOn w:val="Normal"/>
    <w:next w:val="Normal"/>
    <w:pPr>
      <w:numPr>
        <w:numId w:val="6"/>
      </w:numPr>
      <w:tabs>
        <w:tab w:val="num" w:pos="567"/>
      </w:tabs>
      <w:ind w:left="567" w:hanging="567"/>
      <w:jc w:val="left"/>
    </w:pPr>
  </w:style>
  <w:style w:type="paragraph" w:customStyle="1" w:styleId="Par-number11">
    <w:name w:val="Par-number 1."/>
    <w:basedOn w:val="Normal"/>
    <w:next w:val="Normal"/>
    <w:pPr>
      <w:numPr>
        <w:numId w:val="8"/>
      </w:numPr>
      <w:tabs>
        <w:tab w:val="num" w:pos="567"/>
      </w:tabs>
      <w:ind w:left="567" w:hanging="567"/>
      <w:jc w:val="left"/>
    </w:pPr>
  </w:style>
  <w:style w:type="paragraph" w:customStyle="1" w:styleId="Par-numberI">
    <w:name w:val="Par-number I."/>
    <w:basedOn w:val="Normal"/>
    <w:next w:val="Normal"/>
    <w:pPr>
      <w:numPr>
        <w:numId w:val="10"/>
      </w:numPr>
      <w:tabs>
        <w:tab w:val="num" w:pos="567"/>
      </w:tabs>
      <w:ind w:left="567" w:hanging="567"/>
      <w:jc w:val="left"/>
    </w:pPr>
  </w:style>
  <w:style w:type="paragraph" w:customStyle="1" w:styleId="Par-dash">
    <w:name w:val="Par-dash"/>
    <w:basedOn w:val="Normal"/>
    <w:next w:val="Normal"/>
    <w:pPr>
      <w:numPr>
        <w:numId w:val="4"/>
      </w:numPr>
      <w:tabs>
        <w:tab w:val="num" w:pos="567"/>
      </w:tabs>
      <w:ind w:left="567" w:hanging="567"/>
      <w:jc w:val="left"/>
    </w:pPr>
  </w:style>
  <w:style w:type="paragraph" w:customStyle="1" w:styleId="EntLogo">
    <w:name w:val="EntLogo"/>
    <w:basedOn w:val="Normal"/>
    <w:next w:val="EntInstit"/>
    <w:pPr>
      <w:jc w:val="left"/>
    </w:pPr>
    <w:rPr>
      <w:b/>
    </w:rPr>
  </w:style>
  <w:style w:type="paragraph" w:customStyle="1" w:styleId="FooterLandscape">
    <w:name w:val="FooterLandscape"/>
    <w:basedOn w:val="Footer"/>
    <w:pPr>
      <w:tabs>
        <w:tab w:val="clear" w:pos="4820"/>
        <w:tab w:val="clear" w:pos="9639"/>
        <w:tab w:val="center" w:pos="11340"/>
        <w:tab w:val="right" w:pos="14572"/>
      </w:tabs>
      <w:spacing w:line="240" w:lineRule="auto"/>
      <w:jc w:val="left"/>
    </w:pPr>
  </w:style>
  <w:style w:type="paragraph" w:customStyle="1" w:styleId="Par-numberA">
    <w:name w:val="Par-number A."/>
    <w:basedOn w:val="Normal"/>
    <w:next w:val="Normal"/>
    <w:pPr>
      <w:numPr>
        <w:numId w:val="9"/>
      </w:numPr>
      <w:tabs>
        <w:tab w:val="num" w:pos="567"/>
      </w:tabs>
      <w:ind w:left="567" w:hanging="567"/>
      <w:jc w:val="left"/>
    </w:pPr>
  </w:style>
  <w:style w:type="paragraph" w:styleId="TOC2">
    <w:name w:val="toc 2"/>
    <w:basedOn w:val="Normal"/>
    <w:next w:val="Normal"/>
    <w:pPr>
      <w:tabs>
        <w:tab w:val="left" w:pos="1134"/>
        <w:tab w:val="right" w:leader="dot" w:pos="9639"/>
      </w:tabs>
      <w:ind w:left="1134" w:right="567" w:hanging="567"/>
      <w:jc w:val="left"/>
    </w:pPr>
  </w:style>
  <w:style w:type="paragraph" w:styleId="TOC3">
    <w:name w:val="toc 3"/>
    <w:basedOn w:val="Normal"/>
    <w:next w:val="Normal"/>
    <w:pPr>
      <w:tabs>
        <w:tab w:val="left" w:pos="1701"/>
        <w:tab w:val="right" w:leader="dot" w:pos="9639"/>
      </w:tabs>
      <w:ind w:left="1701" w:right="567" w:hanging="567"/>
      <w:jc w:val="left"/>
    </w:pPr>
  </w:style>
  <w:style w:type="paragraph" w:styleId="TOC4">
    <w:name w:val="toc 4"/>
    <w:basedOn w:val="Normal"/>
    <w:next w:val="Normal"/>
    <w:pPr>
      <w:tabs>
        <w:tab w:val="left" w:pos="2268"/>
        <w:tab w:val="right" w:pos="9639"/>
      </w:tabs>
      <w:ind w:left="2268" w:right="567" w:hanging="567"/>
      <w:jc w:val="left"/>
    </w:pPr>
  </w:style>
  <w:style w:type="paragraph" w:styleId="TOC5">
    <w:name w:val="toc 5"/>
    <w:basedOn w:val="Normal"/>
    <w:next w:val="Normal"/>
    <w:pPr>
      <w:tabs>
        <w:tab w:val="left" w:pos="2835"/>
        <w:tab w:val="right" w:leader="dot" w:pos="9639"/>
      </w:tabs>
      <w:ind w:left="2835" w:right="567" w:hanging="567"/>
      <w:jc w:val="left"/>
    </w:pPr>
  </w:style>
  <w:style w:type="paragraph" w:styleId="TOC6">
    <w:name w:val="toc 6"/>
    <w:basedOn w:val="Normal"/>
    <w:next w:val="Normal"/>
    <w:pPr>
      <w:tabs>
        <w:tab w:val="left" w:pos="3402"/>
        <w:tab w:val="right" w:leader="dot" w:pos="9639"/>
      </w:tabs>
      <w:ind w:left="3402" w:right="567" w:hanging="567"/>
      <w:jc w:val="left"/>
    </w:pPr>
  </w:style>
  <w:style w:type="paragraph" w:styleId="TOC7">
    <w:name w:val="toc 7"/>
    <w:basedOn w:val="Normal"/>
    <w:next w:val="Normal"/>
    <w:pPr>
      <w:tabs>
        <w:tab w:val="left" w:pos="3969"/>
        <w:tab w:val="right" w:leader="dot" w:pos="9639"/>
      </w:tabs>
      <w:ind w:left="3969" w:right="567" w:hanging="567"/>
      <w:jc w:val="left"/>
    </w:pPr>
  </w:style>
  <w:style w:type="paragraph" w:styleId="TOC8">
    <w:name w:val="toc 8"/>
    <w:basedOn w:val="Normal"/>
    <w:next w:val="Normal"/>
    <w:pPr>
      <w:tabs>
        <w:tab w:val="left" w:pos="4536"/>
        <w:tab w:val="right" w:leader="dot" w:pos="9639"/>
      </w:tabs>
      <w:ind w:left="4536" w:right="567" w:hanging="567"/>
      <w:jc w:val="left"/>
    </w:pPr>
  </w:style>
  <w:style w:type="paragraph" w:styleId="TOC9">
    <w:name w:val="toc 9"/>
    <w:basedOn w:val="Normal"/>
    <w:next w:val="Normal"/>
    <w:pPr>
      <w:tabs>
        <w:tab w:val="left" w:pos="5103"/>
        <w:tab w:val="right" w:leader="dot" w:pos="9639"/>
      </w:tabs>
      <w:ind w:left="5103" w:right="567" w:hanging="567"/>
      <w:jc w:val="left"/>
    </w:pPr>
  </w:style>
  <w:style w:type="paragraph" w:styleId="EndnoteText">
    <w:name w:val="endnote text"/>
    <w:basedOn w:val="Normal"/>
    <w:pPr>
      <w:tabs>
        <w:tab w:val="left" w:pos="567"/>
      </w:tabs>
      <w:spacing w:line="240" w:lineRule="auto"/>
      <w:ind w:left="567" w:hanging="567"/>
      <w:jc w:val="left"/>
    </w:pPr>
  </w:style>
  <w:style w:type="character" w:styleId="EndnoteReference">
    <w:name w:val="endnote reference"/>
    <w:rPr>
      <w:b/>
      <w:vertAlign w:val="superscript"/>
    </w:rPr>
  </w:style>
  <w:style w:type="paragraph" w:customStyle="1" w:styleId="AC">
    <w:name w:val="AC"/>
    <w:basedOn w:val="Normal"/>
    <w:next w:val="Normal"/>
    <w:pPr>
      <w:jc w:val="left"/>
    </w:pPr>
    <w:rPr>
      <w:b/>
      <w:sz w:val="40"/>
    </w:rPr>
  </w:style>
  <w:style w:type="character" w:styleId="PageNumber">
    <w:name w:val="page number"/>
    <w:basedOn w:val="DefaultParagraphFont"/>
    <w:rPr>
      <w:rFonts w:cs="Times New Roman"/>
      <w:rtl w:val="0"/>
      <w:cs w:val="0"/>
    </w:rPr>
  </w:style>
  <w:style w:type="paragraph" w:customStyle="1" w:styleId="Par-numberi0">
    <w:name w:val="Par-number (i)"/>
    <w:basedOn w:val="Normal"/>
    <w:next w:val="Normal"/>
    <w:pPr>
      <w:numPr>
        <w:numId w:val="1"/>
      </w:numPr>
      <w:tabs>
        <w:tab w:val="left" w:pos="567"/>
      </w:tabs>
      <w:ind w:left="567" w:hanging="567"/>
      <w:jc w:val="left"/>
    </w:pPr>
  </w:style>
  <w:style w:type="paragraph" w:customStyle="1" w:styleId="Par-numbera0">
    <w:name w:val="Par-number (a)"/>
    <w:basedOn w:val="Normal"/>
    <w:next w:val="Normal"/>
    <w:pPr>
      <w:numPr>
        <w:numId w:val="2"/>
      </w:numPr>
      <w:tabs>
        <w:tab w:val="num" w:pos="567"/>
      </w:tabs>
      <w:ind w:left="567" w:hanging="567"/>
      <w:jc w:val="left"/>
    </w:pPr>
  </w:style>
  <w:style w:type="character" w:customStyle="1" w:styleId="DontTranslate">
    <w:name w:val="DontTranslate"/>
    <w:rsid w:val="003D12D6"/>
    <w:rPr>
      <w:color w:val="auto"/>
    </w:rPr>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spacing w:line="240" w:lineRule="auto"/>
      <w:ind w:left="7655" w:right="-454"/>
      <w:jc w:val="left"/>
    </w:pPr>
    <w:rPr>
      <w:i/>
      <w:sz w:val="20"/>
      <w:lang w:eastAsia="en-US"/>
    </w:rPr>
  </w:style>
  <w:style w:type="paragraph" w:styleId="DocumentMap">
    <w:name w:val="Document Map"/>
    <w:basedOn w:val="Normal"/>
    <w:semiHidden/>
    <w:rsid w:val="00274398"/>
    <w:pPr>
      <w:shd w:val="clear" w:color="auto" w:fill="000080"/>
      <w:jc w:val="left"/>
    </w:pPr>
    <w:rPr>
      <w:rFonts w:ascii="Tahoma" w:hAnsi="Tahoma" w:cs="Tahoma"/>
    </w:rPr>
  </w:style>
  <w:style w:type="paragraph" w:customStyle="1" w:styleId="ZnakZnakCharZnakZnakCharZnakZnak">
    <w:name w:val="Znak Znak Char Znak Znak Char Znak Znak"/>
    <w:basedOn w:val="Normal"/>
    <w:rsid w:val="004B0845"/>
    <w:pPr>
      <w:widowControl/>
      <w:spacing w:line="240" w:lineRule="auto"/>
      <w:jc w:val="left"/>
    </w:pPr>
    <w:rPr>
      <w:szCs w:val="24"/>
      <w:lang w:val="pl-PL" w:eastAsia="pl-PL"/>
    </w:rPr>
  </w:style>
  <w:style w:type="paragraph" w:customStyle="1" w:styleId="ZnakZnakZnakZnakCharZnakZnakCharZnakZnakCharZnakZnakCharZnakZnakCharZnakZnakCharZnakZnakCharZnakZnak">
    <w:name w:val="Znak Znak Znak Znak Char Znak Znak Char Znak Znak Char Znak Znak Char Znak Znak Char Znak Znak Char Znak Znak Char Znak Znak"/>
    <w:basedOn w:val="Normal"/>
    <w:rsid w:val="004B0845"/>
    <w:pPr>
      <w:widowControl/>
      <w:spacing w:line="240" w:lineRule="auto"/>
      <w:jc w:val="left"/>
    </w:pPr>
    <w:rPr>
      <w:color w:val="000000"/>
      <w:szCs w:val="24"/>
      <w:lang w:val="pl-PL" w:eastAsia="pl-PL"/>
    </w:rPr>
  </w:style>
  <w:style w:type="paragraph" w:customStyle="1" w:styleId="CharCharChar">
    <w:name w:val="Char Char Char"/>
    <w:basedOn w:val="Normal"/>
    <w:rsid w:val="004B0845"/>
    <w:pPr>
      <w:widowControl/>
      <w:spacing w:line="240" w:lineRule="auto"/>
      <w:jc w:val="left"/>
    </w:pPr>
    <w:rPr>
      <w:szCs w:val="24"/>
      <w:lang w:val="pl-PL" w:eastAsia="pl-PL"/>
    </w:rPr>
  </w:style>
  <w:style w:type="paragraph" w:customStyle="1" w:styleId="Default">
    <w:name w:val="Default"/>
    <w:rsid w:val="004B0845"/>
    <w:pPr>
      <w:framePr w:wrap="auto"/>
      <w:widowControl/>
      <w:autoSpaceDE w:val="0"/>
      <w:autoSpaceDN w:val="0"/>
      <w:adjustRightInd w:val="0"/>
      <w:ind w:left="0" w:right="0"/>
      <w:jc w:val="left"/>
      <w:textAlignment w:val="auto"/>
    </w:pPr>
    <w:rPr>
      <w:rFonts w:cs="Times New Roman"/>
      <w:color w:val="000000"/>
      <w:sz w:val="24"/>
      <w:szCs w:val="24"/>
      <w:rtl w:val="0"/>
      <w:cs w:val="0"/>
      <w:lang w:val="fr-FR" w:eastAsia="fr-FR" w:bidi="ar-SA"/>
    </w:rPr>
  </w:style>
  <w:style w:type="paragraph" w:customStyle="1" w:styleId="CharChar">
    <w:name w:val="Char Char"/>
    <w:basedOn w:val="Normal"/>
    <w:rsid w:val="004B0845"/>
    <w:pPr>
      <w:widowControl/>
      <w:spacing w:line="240" w:lineRule="auto"/>
      <w:jc w:val="left"/>
    </w:pPr>
    <w:rPr>
      <w:szCs w:val="24"/>
      <w:lang w:val="pl-PL" w:eastAsia="pl-PL"/>
    </w:rPr>
  </w:style>
  <w:style w:type="paragraph" w:customStyle="1" w:styleId="ZnakZnak1">
    <w:name w:val="Znak Znak1"/>
    <w:basedOn w:val="Normal"/>
    <w:rsid w:val="004B0845"/>
    <w:pPr>
      <w:widowControl/>
      <w:spacing w:line="240" w:lineRule="auto"/>
      <w:jc w:val="left"/>
    </w:pPr>
    <w:rPr>
      <w:szCs w:val="24"/>
      <w:lang w:val="pl-PL" w:eastAsia="pl-PL"/>
    </w:rPr>
  </w:style>
  <w:style w:type="character" w:customStyle="1" w:styleId="Bold">
    <w:name w:val="Bold"/>
    <w:rsid w:val="004B0845"/>
    <w:rPr>
      <w:b/>
    </w:rPr>
  </w:style>
  <w:style w:type="paragraph" w:customStyle="1" w:styleId="MeetingInfo">
    <w:name w:val="MeetingInfo"/>
    <w:basedOn w:val="Normal"/>
    <w:rsid w:val="004B0845"/>
    <w:pPr>
      <w:widowControl/>
      <w:pBdr>
        <w:top w:val="single" w:sz="12" w:space="6" w:color="auto"/>
        <w:left w:val="single" w:sz="12" w:space="6" w:color="auto"/>
        <w:bottom w:val="single" w:sz="12" w:space="6" w:color="auto"/>
        <w:right w:val="single" w:sz="12" w:space="6" w:color="auto"/>
        <w:between w:val="single" w:sz="12" w:space="6" w:color="auto"/>
      </w:pBdr>
      <w:spacing w:before="120" w:after="120" w:line="240" w:lineRule="auto"/>
      <w:jc w:val="center"/>
    </w:pPr>
    <w:rPr>
      <w:b/>
      <w:noProof/>
      <w:sz w:val="28"/>
      <w:lang w:eastAsia="en-GB"/>
    </w:rPr>
  </w:style>
  <w:style w:type="character" w:customStyle="1" w:styleId="BoldItalic">
    <w:name w:val="Bold Italic"/>
    <w:rsid w:val="004B0845"/>
    <w:rPr>
      <w:b/>
      <w:i/>
    </w:rPr>
  </w:style>
  <w:style w:type="character" w:customStyle="1" w:styleId="Initial">
    <w:name w:val="Initial"/>
    <w:rsid w:val="004B0845"/>
    <w:rPr>
      <w:rFonts w:ascii="CG Times" w:hAnsi="CG Times" w:cs="CG Times"/>
      <w:noProof/>
      <w:sz w:val="24"/>
      <w:lang w:val="en-US"/>
    </w:rPr>
  </w:style>
  <w:style w:type="paragraph" w:styleId="ListBullet">
    <w:name w:val="List Bullet"/>
    <w:basedOn w:val="Normal"/>
    <w:rsid w:val="004B0845"/>
    <w:pPr>
      <w:widowControl/>
      <w:spacing w:before="100" w:beforeAutospacing="1" w:after="100" w:afterAutospacing="1" w:line="240" w:lineRule="auto"/>
      <w:jc w:val="left"/>
    </w:pPr>
    <w:rPr>
      <w:szCs w:val="24"/>
      <w:lang w:val="en-US" w:eastAsia="en-US"/>
    </w:rPr>
  </w:style>
  <w:style w:type="character" w:styleId="Hyperlink">
    <w:name w:val="Hyperlink"/>
    <w:rsid w:val="004B0845"/>
    <w:rPr>
      <w:color w:val="000080"/>
      <w:u w:val="single"/>
    </w:rPr>
  </w:style>
  <w:style w:type="paragraph" w:customStyle="1" w:styleId="Prrafodelista">
    <w:name w:val="Párrafo de lista"/>
    <w:basedOn w:val="Normal"/>
    <w:qFormat/>
    <w:rsid w:val="004B0845"/>
    <w:pPr>
      <w:widowControl/>
      <w:spacing w:line="240" w:lineRule="auto"/>
      <w:ind w:left="708"/>
      <w:jc w:val="left"/>
    </w:pPr>
  </w:style>
  <w:style w:type="character" w:styleId="Strong">
    <w:name w:val="Strong"/>
    <w:qFormat/>
    <w:rsid w:val="004B0845"/>
    <w:rPr>
      <w:b/>
    </w:rPr>
  </w:style>
  <w:style w:type="paragraph" w:styleId="NormalWeb">
    <w:name w:val="Normal (Web)"/>
    <w:basedOn w:val="Normal"/>
    <w:rsid w:val="000704A3"/>
    <w:pPr>
      <w:widowControl/>
      <w:spacing w:before="100" w:beforeAutospacing="1" w:after="100" w:afterAutospacing="1" w:line="240" w:lineRule="auto"/>
      <w:jc w:val="left"/>
    </w:pPr>
    <w:rPr>
      <w:szCs w:val="24"/>
      <w:lang w:val="fr-BE"/>
    </w:rPr>
  </w:style>
  <w:style w:type="paragraph" w:customStyle="1" w:styleId="ZnakZnakZnakZnakCharZnakZnakCharZnakZnakCharZnakZnakCharZnakZnakCharZnakZnakCharZnakZnakCharZnakZnakCharZnakZnakCharZnakZnakZnakZnakCharZnakZnak">
    <w:name w:val="Znak Znak Znak Znak Char Znak Znak Char Znak Znak Char Znak Znak Char Znak Znak Char Znak Znak Char Znak Znak Char Znak Znak Char Znak Znak Char Znak Znak Znak Znak Char Znak Znak"/>
    <w:basedOn w:val="Normal"/>
    <w:rsid w:val="00BA740B"/>
    <w:pPr>
      <w:widowControl/>
      <w:spacing w:line="240" w:lineRule="auto"/>
      <w:jc w:val="left"/>
    </w:pPr>
    <w:rPr>
      <w:rFonts w:ascii="Book Antiqua" w:eastAsia="SimSun" w:hAnsi="Book Antiqua"/>
      <w:smallCaps/>
      <w:sz w:val="22"/>
      <w:szCs w:val="24"/>
      <w:lang w:val="en-US" w:eastAsia="en-US"/>
    </w:rPr>
  </w:style>
  <w:style w:type="paragraph" w:customStyle="1" w:styleId="ZnakZnak">
    <w:name w:val="Znak Znak"/>
    <w:basedOn w:val="Normal"/>
    <w:rsid w:val="00270BB2"/>
    <w:pPr>
      <w:widowControl/>
      <w:spacing w:line="240" w:lineRule="auto"/>
      <w:jc w:val="left"/>
    </w:pPr>
    <w:rPr>
      <w:szCs w:val="24"/>
      <w:lang w:val="pl-PL" w:eastAsia="pl-PL"/>
    </w:rPr>
  </w:style>
  <w:style w:type="paragraph" w:customStyle="1" w:styleId="CharCharCharCharCharCharCar">
    <w:name w:val="Char Char Char Char Char Char Car"/>
    <w:basedOn w:val="Normal"/>
    <w:rsid w:val="00DD68D8"/>
    <w:pPr>
      <w:widowControl/>
      <w:numPr>
        <w:numId w:val="1"/>
      </w:numPr>
      <w:tabs>
        <w:tab w:val="num" w:pos="720"/>
      </w:tabs>
      <w:spacing w:before="120" w:after="160" w:line="240" w:lineRule="exact"/>
      <w:ind w:left="567" w:hanging="567"/>
      <w:jc w:val="both"/>
    </w:pPr>
    <w:rPr>
      <w:rFonts w:ascii="Book Antiqua" w:eastAsia="SimSun" w:hAnsi="Book Antiqua"/>
      <w:smallCaps/>
      <w:sz w:val="22"/>
      <w:szCs w:val="24"/>
      <w:lang w:val="en-US" w:eastAsia="en-US"/>
    </w:rPr>
  </w:style>
  <w:style w:type="paragraph" w:customStyle="1" w:styleId="CharZchnZchnCharCharZchnZchnCharZchnZchnCharZchnZchnCharCharChar">
    <w:name w:val="Char Zchn Zchn Char Char Zchn Zchn Char Zchn Zchn Char Zchn Zchn Char Char Char"/>
    <w:basedOn w:val="Normal"/>
    <w:rsid w:val="001E714D"/>
    <w:pPr>
      <w:widowControl/>
      <w:spacing w:line="240" w:lineRule="auto"/>
      <w:jc w:val="left"/>
    </w:pPr>
    <w:rPr>
      <w:szCs w:val="24"/>
      <w:lang w:val="pl-PL" w:eastAsia="pl-PL"/>
    </w:rPr>
  </w:style>
  <w:style w:type="paragraph" w:customStyle="1" w:styleId="CarcterCarcterCharCarcterCarcterCharCarcterCarcterCharCharCarcterCarcter">
    <w:name w:val="Carácter Carácter Char Carácter Carácter Char Carácter Carácter Char Char Carácter Carácter"/>
    <w:basedOn w:val="Normal"/>
    <w:rsid w:val="005F1987"/>
    <w:pPr>
      <w:widowControl/>
      <w:spacing w:line="240" w:lineRule="auto"/>
      <w:jc w:val="left"/>
    </w:pPr>
    <w:rPr>
      <w:szCs w:val="24"/>
      <w:lang w:val="pl-PL" w:eastAsia="pl-PL"/>
    </w:rPr>
  </w:style>
  <w:style w:type="character" w:styleId="Emphasis">
    <w:name w:val="Emphasis"/>
    <w:qFormat/>
    <w:rsid w:val="005F1987"/>
    <w:rPr>
      <w:i/>
    </w:rPr>
  </w:style>
  <w:style w:type="paragraph" w:customStyle="1" w:styleId="Retraitcorpsdetexte21">
    <w:name w:val="Retrait corps de texte 21"/>
    <w:basedOn w:val="Normal"/>
    <w:rsid w:val="00EC7258"/>
    <w:pPr>
      <w:suppressAutoHyphens/>
      <w:spacing w:line="240" w:lineRule="auto"/>
      <w:ind w:firstLine="708"/>
      <w:jc w:val="both"/>
    </w:pPr>
    <w:rPr>
      <w:rFonts w:ascii="Liberation Sans" w:eastAsia="Arial Unicode MS" w:hAnsi="Liberation Sans"/>
      <w:kern w:val="1"/>
      <w:szCs w:val="24"/>
    </w:rPr>
  </w:style>
  <w:style w:type="paragraph" w:styleId="ListParagraph">
    <w:name w:val="List Paragraph"/>
    <w:basedOn w:val="Normal"/>
    <w:qFormat/>
    <w:rsid w:val="002B45D4"/>
    <w:pPr>
      <w:widowControl/>
      <w:spacing w:after="200" w:line="276" w:lineRule="auto"/>
      <w:ind w:left="720"/>
      <w:contextualSpacing/>
      <w:jc w:val="left"/>
    </w:pPr>
    <w:rPr>
      <w:rFonts w:ascii="Calibri" w:hAnsi="Calibri"/>
      <w:sz w:val="22"/>
      <w:szCs w:val="22"/>
      <w:lang w:val="pt-PT" w:eastAsia="en-US"/>
    </w:rPr>
  </w:style>
  <w:style w:type="paragraph" w:customStyle="1" w:styleId="Char3TegnTegnCharChar">
    <w:name w:val="Char3 Tegn Tegn Char Char"/>
    <w:basedOn w:val="Normal"/>
    <w:rsid w:val="00450BE8"/>
    <w:pPr>
      <w:widowControl/>
      <w:spacing w:line="240" w:lineRule="auto"/>
      <w:jc w:val="left"/>
    </w:pPr>
    <w:rPr>
      <w:szCs w:val="24"/>
      <w:lang w:val="pl-PL" w:eastAsia="pl-PL"/>
    </w:rPr>
  </w:style>
  <w:style w:type="paragraph" w:customStyle="1" w:styleId="Znak">
    <w:name w:val="Znak"/>
    <w:basedOn w:val="Normal"/>
    <w:rsid w:val="00812003"/>
    <w:pPr>
      <w:widowControl/>
      <w:spacing w:line="240" w:lineRule="auto"/>
      <w:jc w:val="left"/>
    </w:pPr>
    <w:rPr>
      <w:szCs w:val="24"/>
      <w:lang w:val="pl-PL" w:eastAsia="pl-PL"/>
    </w:rPr>
  </w:style>
  <w:style w:type="paragraph" w:customStyle="1" w:styleId="Point1">
    <w:name w:val="Point 1"/>
    <w:basedOn w:val="Normal"/>
    <w:rsid w:val="00BE5A7B"/>
    <w:pPr>
      <w:widowControl/>
      <w:spacing w:before="120" w:after="120" w:line="240" w:lineRule="auto"/>
      <w:ind w:left="1417" w:hanging="567"/>
      <w:jc w:val="both"/>
    </w:pPr>
    <w:rPr>
      <w:szCs w:val="24"/>
      <w:lang w:eastAsia="en-US"/>
    </w:rPr>
  </w:style>
  <w:style w:type="paragraph" w:customStyle="1" w:styleId="ManualNumPar1">
    <w:name w:val="Manual NumPar 1"/>
    <w:basedOn w:val="Normal"/>
    <w:next w:val="Normal"/>
    <w:rsid w:val="00BE5A7B"/>
    <w:pPr>
      <w:widowControl/>
      <w:spacing w:before="120" w:after="120" w:line="240" w:lineRule="auto"/>
      <w:ind w:left="850" w:hanging="850"/>
      <w:jc w:val="both"/>
    </w:pPr>
    <w:rPr>
      <w:szCs w:val="24"/>
      <w:lang w:eastAsia="en-US"/>
    </w:rPr>
  </w:style>
  <w:style w:type="paragraph" w:customStyle="1" w:styleId="Titrearticle">
    <w:name w:val="Titre article"/>
    <w:basedOn w:val="Normal"/>
    <w:next w:val="Normal"/>
    <w:rsid w:val="00BE5A7B"/>
    <w:pPr>
      <w:keepNext/>
      <w:widowControl/>
      <w:spacing w:before="360" w:after="120" w:line="240" w:lineRule="auto"/>
      <w:jc w:val="center"/>
    </w:pPr>
    <w:rPr>
      <w:i/>
      <w:szCs w:val="24"/>
      <w:lang w:eastAsia="en-US"/>
    </w:rPr>
  </w:style>
  <w:style w:type="paragraph" w:customStyle="1" w:styleId="Char1">
    <w:name w:val="Char1"/>
    <w:basedOn w:val="Normal"/>
    <w:rsid w:val="008147BD"/>
    <w:pPr>
      <w:widowControl/>
      <w:spacing w:line="240" w:lineRule="auto"/>
      <w:jc w:val="left"/>
    </w:pPr>
    <w:rPr>
      <w:szCs w:val="24"/>
      <w:lang w:val="pl-PL" w:eastAsia="pl-PL"/>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X:\intmed\MODELES\Templates%202010\_GenEn.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4</Pages>
  <Words>818</Words>
  <Characters>4668</Characters>
  <Application>Microsoft Office Word</Application>
  <DocSecurity>0</DocSecurity>
  <Lines>0</Lines>
  <Paragraphs>0</Paragraphs>
  <ScaleCrop>false</ScaleCrop>
  <Company>DTI</Company>
  <LinksUpToDate>false</LinksUpToDate>
  <CharactersWithSpaces>5476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Katja Nolvi</dc:creator>
  <cp:lastModifiedBy>Gašparíková, Jarmila</cp:lastModifiedBy>
  <cp:revision>2</cp:revision>
  <cp:lastPrinted>2012-11-13T16:24:00Z</cp:lastPrinted>
  <dcterms:created xsi:type="dcterms:W3CDTF">2013-01-10T16:27:00Z</dcterms:created>
  <dcterms:modified xsi:type="dcterms:W3CDTF">2013-01-10T16:27:00Z</dcterms:modified>
</cp:coreProperties>
</file>