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B568E" w:rsidRPr="00F5716C" w:rsidP="004A4792">
      <w:pPr>
        <w:bidi w:val="0"/>
        <w:jc w:val="center"/>
        <w:rPr>
          <w:b/>
          <w:lang w:val="en-US"/>
        </w:rPr>
      </w:pPr>
      <w:r w:rsidR="005933C1">
        <w:rPr>
          <w:b/>
          <w:lang w:val="en-US"/>
        </w:rPr>
        <w:t xml:space="preserve">Common </w:t>
      </w:r>
      <w:r w:rsidRPr="00F5716C">
        <w:rPr>
          <w:b/>
          <w:lang w:val="en-US"/>
        </w:rPr>
        <w:t xml:space="preserve">Statement </w:t>
      </w:r>
      <w:r w:rsidR="004A4792">
        <w:rPr>
          <w:b/>
          <w:lang w:val="en-US"/>
        </w:rPr>
        <w:t>of</w:t>
      </w:r>
      <w:r w:rsidRPr="00F5716C">
        <w:rPr>
          <w:b/>
          <w:lang w:val="en-US"/>
        </w:rPr>
        <w:t xml:space="preserve"> Ministers of Agriculture </w:t>
      </w:r>
      <w:r>
        <w:rPr>
          <w:b/>
          <w:lang w:val="en-US"/>
        </w:rPr>
        <w:br/>
      </w:r>
      <w:r w:rsidRPr="00F5716C">
        <w:rPr>
          <w:b/>
          <w:lang w:val="en-US"/>
        </w:rPr>
        <w:t>of</w:t>
      </w:r>
      <w:r w:rsidR="00E74B43">
        <w:rPr>
          <w:b/>
          <w:lang w:val="en-US"/>
        </w:rPr>
        <w:t xml:space="preserve"> </w:t>
      </w:r>
      <w:r w:rsidR="004A4792">
        <w:rPr>
          <w:b/>
          <w:lang w:val="en-US"/>
        </w:rPr>
        <w:t>the Visegrad Group</w:t>
      </w:r>
      <w:r w:rsidR="00A70A01">
        <w:rPr>
          <w:b/>
          <w:lang w:val="en-US"/>
        </w:rPr>
        <w:t xml:space="preserve"> +</w:t>
      </w:r>
      <w:r w:rsidR="00020C14">
        <w:rPr>
          <w:b/>
          <w:lang w:val="en-US"/>
        </w:rPr>
        <w:t xml:space="preserve"> </w:t>
      </w:r>
      <w:smartTag w:uri="urn:schemas-microsoft-com:office:smarttags" w:element="country-region">
        <w:r w:rsidRPr="00E74B43" w:rsidR="00020C14">
          <w:rPr>
            <w:b/>
            <w:lang w:val="en-US"/>
          </w:rPr>
          <w:t>Bulgaria</w:t>
        </w:r>
      </w:smartTag>
      <w:r w:rsidR="00020C14">
        <w:rPr>
          <w:b/>
          <w:lang w:val="en-US"/>
        </w:rPr>
        <w:t xml:space="preserve"> and </w:t>
      </w:r>
      <w:smartTag w:uri="urn:schemas-microsoft-com:office:smarttags" w:element="place">
        <w:smartTag w:uri="urn:schemas-microsoft-com:office:smarttags" w:element="country-region">
          <w:r w:rsidRPr="00E74B43" w:rsidR="00020C14">
            <w:rPr>
              <w:b/>
              <w:lang w:val="en-US"/>
            </w:rPr>
            <w:t>Romania</w:t>
          </w:r>
        </w:smartTag>
      </w:smartTag>
      <w:r w:rsidR="00020C14">
        <w:rPr>
          <w:b/>
          <w:lang w:val="en-US"/>
        </w:rPr>
        <w:t xml:space="preserve"> </w:t>
      </w:r>
      <w:r w:rsidRPr="00F5716C">
        <w:rPr>
          <w:b/>
          <w:lang w:val="en-US"/>
        </w:rPr>
        <w:t>on key elements of the CAP reform</w:t>
      </w:r>
    </w:p>
    <w:p w:rsidR="00CB568E" w:rsidP="00CB568E">
      <w:pPr>
        <w:bidi w:val="0"/>
        <w:spacing w:before="120" w:line="312" w:lineRule="auto"/>
        <w:jc w:val="center"/>
        <w:rPr>
          <w:i/>
          <w:lang w:val="en-US"/>
        </w:rPr>
      </w:pPr>
      <w:r w:rsidR="00F76DBE">
        <w:rPr>
          <w:i/>
          <w:lang w:val="en-US"/>
        </w:rPr>
        <w:t>M</w:t>
      </w:r>
      <w:r w:rsidRPr="00F5716C">
        <w:rPr>
          <w:i/>
          <w:lang w:val="en-US"/>
        </w:rPr>
        <w:t xml:space="preserve">eeting in </w:t>
      </w:r>
      <w:r w:rsidR="006D38C5">
        <w:rPr>
          <w:rFonts w:hint="default"/>
          <w:i/>
          <w:lang w:val="en-US"/>
        </w:rPr>
        <w:t>Rzeszó</w:t>
      </w:r>
      <w:r w:rsidR="006D38C5">
        <w:rPr>
          <w:rFonts w:hint="default"/>
          <w:i/>
          <w:lang w:val="en-US"/>
        </w:rPr>
        <w:t>w</w:t>
      </w:r>
      <w:r w:rsidRPr="00F5716C">
        <w:rPr>
          <w:i/>
          <w:lang w:val="en-US"/>
        </w:rPr>
        <w:t xml:space="preserve"> on </w:t>
      </w:r>
      <w:r w:rsidR="006D38C5">
        <w:rPr>
          <w:i/>
          <w:lang w:val="en-US"/>
        </w:rPr>
        <w:t>2-3</w:t>
      </w:r>
      <w:r w:rsidRPr="00F5716C">
        <w:rPr>
          <w:i/>
          <w:lang w:val="en-US"/>
        </w:rPr>
        <w:t xml:space="preserve"> </w:t>
      </w:r>
      <w:r w:rsidR="00F76DBE">
        <w:rPr>
          <w:i/>
          <w:lang w:val="en-US"/>
        </w:rPr>
        <w:t>July 2012 </w:t>
      </w:r>
    </w:p>
    <w:p w:rsidR="00A53D3F" w:rsidRPr="0099328B" w:rsidP="00F50517">
      <w:pPr>
        <w:bidi w:val="0"/>
        <w:jc w:val="both"/>
        <w:rPr>
          <w:lang w:val="en-GB"/>
        </w:rPr>
      </w:pPr>
      <w:r w:rsidRPr="0099328B">
        <w:rPr>
          <w:lang w:val="en-GB"/>
        </w:rPr>
        <w:t>In the context of negotiations on the reform of the Common Agricultural Policy for 2014-2020 m</w:t>
      </w:r>
      <w:r w:rsidRPr="0099328B">
        <w:rPr>
          <w:lang w:val="en-GB"/>
        </w:rPr>
        <w:t xml:space="preserve">inisters of </w:t>
      </w:r>
      <w:r>
        <w:rPr>
          <w:lang w:val="en-GB"/>
        </w:rPr>
        <w:t xml:space="preserve">agriculture of </w:t>
      </w:r>
      <w:r w:rsidR="00F50517">
        <w:rPr>
          <w:b/>
          <w:lang w:val="en-US"/>
        </w:rPr>
        <w:t>the V</w:t>
      </w:r>
      <w:r w:rsidR="00020C14">
        <w:rPr>
          <w:b/>
          <w:lang w:val="en-US"/>
        </w:rPr>
        <w:t xml:space="preserve">4 plus </w:t>
      </w:r>
      <w:smartTag w:uri="urn:schemas-microsoft-com:office:smarttags" w:element="country-region">
        <w:r w:rsidRPr="00E74B43" w:rsidR="00020C14">
          <w:rPr>
            <w:b/>
            <w:lang w:val="en-US"/>
          </w:rPr>
          <w:t>Bulgaria</w:t>
        </w:r>
      </w:smartTag>
      <w:r w:rsidR="00020C14">
        <w:rPr>
          <w:b/>
          <w:lang w:val="en-US"/>
        </w:rPr>
        <w:t xml:space="preserve"> and </w:t>
      </w:r>
      <w:smartTag w:uri="urn:schemas-microsoft-com:office:smarttags" w:element="place">
        <w:smartTag w:uri="urn:schemas-microsoft-com:office:smarttags" w:element="country-region">
          <w:r w:rsidRPr="00E74B43">
            <w:rPr>
              <w:b/>
              <w:lang w:val="en-US"/>
            </w:rPr>
            <w:t>Romania</w:t>
          </w:r>
        </w:smartTag>
      </w:smartTag>
      <w:r>
        <w:rPr>
          <w:b/>
          <w:lang w:val="en-US"/>
        </w:rPr>
        <w:t xml:space="preserve"> </w:t>
      </w:r>
      <w:r w:rsidRPr="0099328B">
        <w:rPr>
          <w:lang w:val="en-GB"/>
        </w:rPr>
        <w:t xml:space="preserve">would like to express </w:t>
      </w:r>
      <w:r>
        <w:rPr>
          <w:lang w:val="en-GB"/>
        </w:rPr>
        <w:t>their</w:t>
      </w:r>
      <w:r w:rsidRPr="0099328B">
        <w:rPr>
          <w:lang w:val="en-GB"/>
        </w:rPr>
        <w:t xml:space="preserve"> common </w:t>
      </w:r>
      <w:r w:rsidR="00E32335">
        <w:rPr>
          <w:lang w:val="en-GB"/>
        </w:rPr>
        <w:t>position</w:t>
      </w:r>
      <w:r w:rsidRPr="0099328B">
        <w:rPr>
          <w:lang w:val="en-GB"/>
        </w:rPr>
        <w:t xml:space="preserve"> </w:t>
      </w:r>
      <w:r>
        <w:rPr>
          <w:lang w:val="en-GB"/>
        </w:rPr>
        <w:t>on the following issues.</w:t>
      </w:r>
    </w:p>
    <w:p w:rsidR="00A53D3F" w:rsidP="00F50517">
      <w:pPr>
        <w:pStyle w:val="Odsekzoznamu"/>
        <w:numPr>
          <w:numId w:val="4"/>
        </w:numPr>
        <w:bidi w:val="0"/>
        <w:ind w:left="426" w:hanging="426"/>
        <w:jc w:val="both"/>
        <w:rPr>
          <w:lang w:val="en-GB"/>
        </w:rPr>
      </w:pPr>
      <w:r>
        <w:rPr>
          <w:lang w:val="en-GB"/>
        </w:rPr>
        <w:t>The reform gives</w:t>
      </w:r>
      <w:r w:rsidRPr="001A3833">
        <w:rPr>
          <w:lang w:val="en-GB"/>
        </w:rPr>
        <w:t xml:space="preserve"> </w:t>
      </w:r>
      <w:r w:rsidR="00E32335">
        <w:rPr>
          <w:lang w:val="en-GB"/>
        </w:rPr>
        <w:t xml:space="preserve">a </w:t>
      </w:r>
      <w:r w:rsidRPr="001A3833">
        <w:rPr>
          <w:lang w:val="en-GB"/>
        </w:rPr>
        <w:t>possibi</w:t>
      </w:r>
      <w:r>
        <w:rPr>
          <w:lang w:val="en-GB"/>
        </w:rPr>
        <w:t>li</w:t>
      </w:r>
      <w:r w:rsidRPr="001A3833">
        <w:rPr>
          <w:lang w:val="en-GB"/>
        </w:rPr>
        <w:t>ty for changes of the CAP</w:t>
      </w:r>
      <w:r w:rsidR="00C52A6C">
        <w:rPr>
          <w:lang w:val="en-GB"/>
        </w:rPr>
        <w:t xml:space="preserve"> conducive to</w:t>
      </w:r>
      <w:r w:rsidRPr="001A3833">
        <w:rPr>
          <w:lang w:val="en-GB"/>
        </w:rPr>
        <w:t xml:space="preserve"> </w:t>
      </w:r>
      <w:r w:rsidRPr="009E5284">
        <w:rPr>
          <w:b/>
          <w:lang w:val="en-GB"/>
        </w:rPr>
        <w:t>more effective, fair</w:t>
      </w:r>
      <w:r w:rsidR="00A653C3">
        <w:rPr>
          <w:b/>
          <w:lang w:val="en-GB"/>
        </w:rPr>
        <w:t xml:space="preserve">, market </w:t>
      </w:r>
      <w:r w:rsidRPr="009E5284">
        <w:rPr>
          <w:b/>
          <w:lang w:val="en-GB"/>
        </w:rPr>
        <w:t xml:space="preserve">and </w:t>
      </w:r>
      <w:r w:rsidRPr="009E5284" w:rsidR="00E32335">
        <w:rPr>
          <w:b/>
          <w:lang w:val="en-GB"/>
        </w:rPr>
        <w:t>development-oriented</w:t>
      </w:r>
      <w:r w:rsidRPr="009E5284">
        <w:rPr>
          <w:b/>
          <w:lang w:val="en-GB"/>
        </w:rPr>
        <w:t xml:space="preserve"> policy</w:t>
      </w:r>
      <w:r w:rsidRPr="00FA0A71">
        <w:rPr>
          <w:lang w:val="en-GB"/>
        </w:rPr>
        <w:t xml:space="preserve"> supporting competitive position of the EU agriculture and its sustainability. </w:t>
      </w:r>
    </w:p>
    <w:p w:rsidR="0059192D" w:rsidP="00F50517">
      <w:pPr>
        <w:pStyle w:val="Odsekzoznamu"/>
        <w:bidi w:val="0"/>
        <w:ind w:left="426"/>
        <w:jc w:val="both"/>
        <w:rPr>
          <w:lang w:val="en-GB"/>
        </w:rPr>
      </w:pPr>
    </w:p>
    <w:p w:rsidR="009C5638" w:rsidRPr="007B2609" w:rsidP="00F50517">
      <w:pPr>
        <w:pStyle w:val="Odsekzoznamu"/>
        <w:numPr>
          <w:numId w:val="4"/>
        </w:numPr>
        <w:bidi w:val="0"/>
        <w:spacing w:before="120"/>
        <w:ind w:left="426" w:hanging="426"/>
        <w:jc w:val="both"/>
        <w:rPr>
          <w:lang w:val="en-GB"/>
        </w:rPr>
      </w:pPr>
      <w:r w:rsidRPr="00C56962" w:rsidR="00C80B26">
        <w:rPr>
          <w:lang w:val="en-GB"/>
        </w:rPr>
        <w:t xml:space="preserve">In the context of discussion on </w:t>
      </w:r>
      <w:r w:rsidRPr="00C56962" w:rsidR="00C80B26">
        <w:rPr>
          <w:b/>
          <w:lang w:val="en-GB"/>
        </w:rPr>
        <w:t>Multiannual Financial Framework</w:t>
      </w:r>
      <w:r w:rsidRPr="00C56962" w:rsidR="00C80B26">
        <w:rPr>
          <w:lang w:val="en-GB"/>
        </w:rPr>
        <w:t xml:space="preserve">, </w:t>
      </w:r>
      <w:r w:rsidR="00C80B26">
        <w:rPr>
          <w:lang w:val="en-GB"/>
        </w:rPr>
        <w:t>c</w:t>
      </w:r>
      <w:r w:rsidRPr="00C56962">
        <w:rPr>
          <w:lang w:val="en-GB"/>
        </w:rPr>
        <w:t xml:space="preserve">onsistency should be assured between </w:t>
      </w:r>
      <w:r w:rsidR="00C103C6">
        <w:rPr>
          <w:lang w:val="en-GB"/>
        </w:rPr>
        <w:t>EU</w:t>
      </w:r>
      <w:r>
        <w:rPr>
          <w:lang w:val="en-GB"/>
        </w:rPr>
        <w:t xml:space="preserve"> objectives and tasks </w:t>
      </w:r>
      <w:r w:rsidRPr="00C56962">
        <w:rPr>
          <w:lang w:val="en-GB"/>
        </w:rPr>
        <w:t>defined in the EC legislative proposals</w:t>
      </w:r>
      <w:r>
        <w:rPr>
          <w:lang w:val="en-GB"/>
        </w:rPr>
        <w:t xml:space="preserve"> on CAP a</w:t>
      </w:r>
      <w:r>
        <w:rPr>
          <w:lang w:val="en-GB"/>
        </w:rPr>
        <w:t>fter 2013</w:t>
      </w:r>
      <w:r w:rsidRPr="00C56962">
        <w:rPr>
          <w:lang w:val="en-GB"/>
        </w:rPr>
        <w:t xml:space="preserve">. </w:t>
      </w:r>
      <w:r w:rsidR="00C80B26">
        <w:rPr>
          <w:lang w:val="en-GB"/>
        </w:rPr>
        <w:t>S</w:t>
      </w:r>
      <w:r w:rsidRPr="00C56962">
        <w:rPr>
          <w:lang w:val="en-GB"/>
        </w:rPr>
        <w:t>upport should also be given to proposals resulting in faster convergence of direct payments between Member States</w:t>
      </w:r>
      <w:r w:rsidR="00C103C6">
        <w:rPr>
          <w:lang w:val="en-GB"/>
        </w:rPr>
        <w:t xml:space="preserve">, which should not </w:t>
      </w:r>
      <w:r w:rsidRPr="007B2609" w:rsidR="00C103C6">
        <w:rPr>
          <w:lang w:val="en-GB"/>
        </w:rPr>
        <w:t>negatively affect direct payments envelop</w:t>
      </w:r>
      <w:r w:rsidR="00F76DBE">
        <w:rPr>
          <w:lang w:val="en-GB"/>
        </w:rPr>
        <w:t>e</w:t>
      </w:r>
      <w:r w:rsidRPr="007B2609" w:rsidR="00C103C6">
        <w:rPr>
          <w:lang w:val="en-GB"/>
        </w:rPr>
        <w:t xml:space="preserve">s of any </w:t>
      </w:r>
      <w:smartTag w:uri="urn:schemas-microsoft-com:office:smarttags" w:element="place">
        <w:smartTag w:uri="urn:schemas-microsoft-com:office:smarttags" w:element="PlaceName">
          <w:r w:rsidR="00F76DBE">
            <w:rPr>
              <w:lang w:val="en-GB"/>
            </w:rPr>
            <w:t>M</w:t>
          </w:r>
          <w:r w:rsidRPr="007B2609" w:rsidR="00C103C6">
            <w:rPr>
              <w:lang w:val="en-GB"/>
            </w:rPr>
            <w:t>ember</w:t>
          </w:r>
        </w:smartTag>
        <w:r w:rsidRPr="007B2609" w:rsidR="00C103C6">
          <w:rPr>
            <w:lang w:val="en-GB"/>
          </w:rPr>
          <w:t xml:space="preserve"> </w:t>
        </w:r>
        <w:smartTag w:uri="urn:schemas-microsoft-com:office:smarttags" w:element="PlaceType">
          <w:r w:rsidR="00F76DBE">
            <w:rPr>
              <w:lang w:val="en-GB"/>
            </w:rPr>
            <w:t>S</w:t>
          </w:r>
          <w:r w:rsidRPr="007B2609" w:rsidR="00C103C6">
            <w:rPr>
              <w:lang w:val="en-GB"/>
            </w:rPr>
            <w:t>tate</w:t>
          </w:r>
        </w:smartTag>
      </w:smartTag>
      <w:r w:rsidRPr="007B2609" w:rsidR="00C103C6">
        <w:rPr>
          <w:lang w:val="en-GB"/>
        </w:rPr>
        <w:t xml:space="preserve"> with rates below average in 2013</w:t>
      </w:r>
      <w:r w:rsidRPr="007B2609">
        <w:rPr>
          <w:lang w:val="en-GB"/>
        </w:rPr>
        <w:t xml:space="preserve">. </w:t>
      </w:r>
      <w:r w:rsidRPr="007B2609" w:rsidR="00A653C3">
        <w:rPr>
          <w:lang w:val="en-GB"/>
        </w:rPr>
        <w:t>Development ga</w:t>
      </w:r>
      <w:r w:rsidRPr="007B2609" w:rsidR="00A653C3">
        <w:rPr>
          <w:lang w:val="en-GB"/>
        </w:rPr>
        <w:t xml:space="preserve">p of individual Member States together with their past performance (allocation for the period 2007-2013) should be the leading principles in defining objective </w:t>
      </w:r>
      <w:r w:rsidRPr="007B2609" w:rsidR="0001150B">
        <w:rPr>
          <w:lang w:val="en-GB"/>
        </w:rPr>
        <w:t xml:space="preserve">allocation </w:t>
      </w:r>
      <w:r w:rsidRPr="007B2609" w:rsidR="00A653C3">
        <w:rPr>
          <w:lang w:val="en-GB"/>
        </w:rPr>
        <w:t xml:space="preserve">criteria </w:t>
      </w:r>
      <w:r w:rsidRPr="007B2609" w:rsidR="0001150B">
        <w:rPr>
          <w:lang w:val="en-GB"/>
        </w:rPr>
        <w:t>for</w:t>
      </w:r>
      <w:r w:rsidRPr="007B2609" w:rsidR="00A653C3">
        <w:rPr>
          <w:lang w:val="en-GB"/>
        </w:rPr>
        <w:t xml:space="preserve"> rural development support</w:t>
      </w:r>
      <w:r w:rsidRPr="007B2609" w:rsidR="00A764BB">
        <w:rPr>
          <w:lang w:val="en-GB"/>
        </w:rPr>
        <w:t>.</w:t>
      </w:r>
    </w:p>
    <w:p w:rsidR="009C5638" w:rsidRPr="00BC21A6" w:rsidP="00F50517">
      <w:pPr>
        <w:pStyle w:val="Odsekzoznamu"/>
        <w:bidi w:val="0"/>
        <w:ind w:left="426"/>
        <w:jc w:val="both"/>
        <w:rPr>
          <w:sz w:val="16"/>
          <w:szCs w:val="16"/>
          <w:lang w:val="en-GB"/>
        </w:rPr>
      </w:pPr>
    </w:p>
    <w:p w:rsidR="00A53D3F" w:rsidRPr="0099328B" w:rsidP="00F50517">
      <w:pPr>
        <w:pStyle w:val="Odsekzoznamu"/>
        <w:numPr>
          <w:numId w:val="4"/>
        </w:numPr>
        <w:bidi w:val="0"/>
        <w:ind w:left="426" w:hanging="426"/>
        <w:jc w:val="both"/>
        <w:rPr>
          <w:lang w:val="en-GB"/>
        </w:rPr>
      </w:pPr>
      <w:r>
        <w:rPr>
          <w:lang w:val="en-GB"/>
        </w:rPr>
        <w:t xml:space="preserve">Draft legislative proposals require </w:t>
      </w:r>
      <w:r w:rsidRPr="009E5284" w:rsidR="00E32335">
        <w:rPr>
          <w:b/>
          <w:lang w:val="en-GB"/>
        </w:rPr>
        <w:t>more sim</w:t>
      </w:r>
      <w:r w:rsidRPr="009E5284" w:rsidR="00E32335">
        <w:rPr>
          <w:b/>
          <w:lang w:val="en-GB"/>
        </w:rPr>
        <w:t>plified</w:t>
      </w:r>
      <w:r w:rsidR="000756D5">
        <w:rPr>
          <w:b/>
          <w:lang w:val="en-GB"/>
        </w:rPr>
        <w:t>,</w:t>
      </w:r>
      <w:r w:rsidR="00BC21A6">
        <w:rPr>
          <w:b/>
          <w:lang w:val="en-GB"/>
        </w:rPr>
        <w:t xml:space="preserve"> and </w:t>
      </w:r>
      <w:r w:rsidRPr="009E5284" w:rsidR="00E32335">
        <w:rPr>
          <w:b/>
          <w:lang w:val="en-GB"/>
        </w:rPr>
        <w:t xml:space="preserve">cost </w:t>
      </w:r>
      <w:r w:rsidRPr="009E5284" w:rsidR="00E32335">
        <w:rPr>
          <w:rFonts w:hint="default"/>
          <w:b/>
          <w:lang w:val="en-GB"/>
        </w:rPr>
        <w:t>–</w:t>
      </w:r>
      <w:r w:rsidRPr="009E5284" w:rsidR="00E32335">
        <w:rPr>
          <w:rFonts w:hint="default"/>
          <w:b/>
          <w:lang w:val="en-GB"/>
        </w:rPr>
        <w:t xml:space="preserve"> effective</w:t>
      </w:r>
      <w:r w:rsidR="00E32335">
        <w:rPr>
          <w:lang w:val="en-GB"/>
        </w:rPr>
        <w:t xml:space="preserve"> </w:t>
      </w:r>
      <w:r w:rsidR="000756D5">
        <w:rPr>
          <w:lang w:val="en-GB"/>
        </w:rPr>
        <w:t xml:space="preserve">and </w:t>
      </w:r>
      <w:r w:rsidRPr="00F76DBE" w:rsidR="000756D5">
        <w:rPr>
          <w:b/>
          <w:lang w:val="en-GB"/>
        </w:rPr>
        <w:t>non-discriminatory</w:t>
      </w:r>
      <w:r w:rsidR="000756D5">
        <w:rPr>
          <w:lang w:val="en-GB"/>
        </w:rPr>
        <w:t xml:space="preserve"> </w:t>
      </w:r>
      <w:r w:rsidR="00E32335">
        <w:rPr>
          <w:lang w:val="en-GB"/>
        </w:rPr>
        <w:t>solutions</w:t>
      </w:r>
      <w:r>
        <w:rPr>
          <w:lang w:val="en-GB"/>
        </w:rPr>
        <w:t xml:space="preserve">, therefore: </w:t>
      </w:r>
    </w:p>
    <w:p w:rsidR="00BC21A6" w:rsidRPr="00FA0A71" w:rsidP="00F50517">
      <w:pPr>
        <w:pStyle w:val="Odsekzoznamu"/>
        <w:numPr>
          <w:numId w:val="5"/>
        </w:numPr>
        <w:bidi w:val="0"/>
        <w:ind w:left="709" w:hanging="283"/>
        <w:jc w:val="both"/>
        <w:rPr>
          <w:lang w:val="en-GB"/>
        </w:rPr>
      </w:pPr>
      <w:r>
        <w:rPr>
          <w:lang w:val="en-GB"/>
        </w:rPr>
        <w:t>i</w:t>
      </w:r>
      <w:r w:rsidRPr="001A3833">
        <w:rPr>
          <w:lang w:val="en-GB"/>
        </w:rPr>
        <w:t xml:space="preserve">t should be possible </w:t>
      </w:r>
      <w:r w:rsidR="00A653C3">
        <w:rPr>
          <w:lang w:val="en-GB"/>
        </w:rPr>
        <w:t xml:space="preserve">for a </w:t>
      </w:r>
      <w:r w:rsidR="00A764BB">
        <w:rPr>
          <w:lang w:val="en-GB"/>
        </w:rPr>
        <w:t>M</w:t>
      </w:r>
      <w:r w:rsidR="00A653C3">
        <w:rPr>
          <w:lang w:val="en-GB"/>
        </w:rPr>
        <w:t xml:space="preserve">ember </w:t>
      </w:r>
      <w:r w:rsidR="00A764BB">
        <w:rPr>
          <w:lang w:val="en-GB"/>
        </w:rPr>
        <w:t>S</w:t>
      </w:r>
      <w:r w:rsidR="00A653C3">
        <w:rPr>
          <w:lang w:val="en-GB"/>
        </w:rPr>
        <w:t xml:space="preserve">tate </w:t>
      </w:r>
      <w:r w:rsidRPr="001A3833">
        <w:rPr>
          <w:lang w:val="en-GB"/>
        </w:rPr>
        <w:t xml:space="preserve">to maintain </w:t>
      </w:r>
      <w:r w:rsidRPr="00BC21A6">
        <w:rPr>
          <w:u w:val="single"/>
          <w:lang w:val="en-GB"/>
        </w:rPr>
        <w:t>single area payment scheme</w:t>
      </w:r>
      <w:r w:rsidRPr="001A3833">
        <w:rPr>
          <w:lang w:val="en-GB"/>
        </w:rPr>
        <w:t xml:space="preserve"> (SAPS) </w:t>
      </w:r>
      <w:r w:rsidR="00CC55B8">
        <w:rPr>
          <w:lang w:val="en-GB"/>
        </w:rPr>
        <w:t xml:space="preserve">combined with solutions to sensitive sectors </w:t>
      </w:r>
      <w:r w:rsidRPr="001A3833">
        <w:rPr>
          <w:lang w:val="en-GB"/>
        </w:rPr>
        <w:t>as a good, simple and well established alternati</w:t>
      </w:r>
      <w:r w:rsidRPr="001A3833">
        <w:rPr>
          <w:lang w:val="en-GB"/>
        </w:rPr>
        <w:t>ve to the system based on the allocation of payment entitlements</w:t>
      </w:r>
      <w:r>
        <w:rPr>
          <w:lang w:val="en-GB"/>
        </w:rPr>
        <w:t>,</w:t>
      </w:r>
      <w:r w:rsidR="00A653C3">
        <w:rPr>
          <w:lang w:val="en-GB"/>
        </w:rPr>
        <w:t xml:space="preserve"> however, in case of shift from SAPS to a new payment scheme based on entitlements there should be equal</w:t>
      </w:r>
      <w:r w:rsidR="0002577E">
        <w:rPr>
          <w:lang w:val="en-GB"/>
        </w:rPr>
        <w:t xml:space="preserve"> </w:t>
      </w:r>
      <w:r w:rsidR="00A653C3">
        <w:rPr>
          <w:lang w:val="en-GB"/>
        </w:rPr>
        <w:t xml:space="preserve">possibility for </w:t>
      </w:r>
      <w:r w:rsidR="0002577E">
        <w:rPr>
          <w:lang w:val="en-GB"/>
        </w:rPr>
        <w:t xml:space="preserve">all </w:t>
      </w:r>
      <w:r w:rsidR="00136BA1">
        <w:rPr>
          <w:lang w:val="en-GB"/>
        </w:rPr>
        <w:t>M</w:t>
      </w:r>
      <w:r w:rsidR="0002577E">
        <w:rPr>
          <w:lang w:val="en-GB"/>
        </w:rPr>
        <w:t xml:space="preserve">ember </w:t>
      </w:r>
      <w:r w:rsidR="00136BA1">
        <w:rPr>
          <w:lang w:val="en-GB"/>
        </w:rPr>
        <w:t>S</w:t>
      </w:r>
      <w:r w:rsidR="0002577E">
        <w:rPr>
          <w:lang w:val="en-GB"/>
        </w:rPr>
        <w:t xml:space="preserve">tates, </w:t>
      </w:r>
      <w:r w:rsidR="00A653C3">
        <w:rPr>
          <w:lang w:val="en-GB"/>
        </w:rPr>
        <w:t>to differentiate value of entitlements,</w:t>
      </w:r>
    </w:p>
    <w:p w:rsidR="00A53D3F" w:rsidRPr="00FA0A71" w:rsidP="00F50517">
      <w:pPr>
        <w:pStyle w:val="Odsekzoznamu"/>
        <w:numPr>
          <w:numId w:val="5"/>
        </w:numPr>
        <w:bidi w:val="0"/>
        <w:ind w:left="709" w:hanging="283"/>
        <w:jc w:val="both"/>
        <w:rPr>
          <w:lang w:val="en-GB"/>
        </w:rPr>
      </w:pPr>
      <w:r w:rsidRPr="001A3833">
        <w:rPr>
          <w:lang w:val="en-GB"/>
        </w:rPr>
        <w:t>in order to</w:t>
      </w:r>
      <w:r w:rsidRPr="001A3833">
        <w:rPr>
          <w:lang w:val="en-GB"/>
        </w:rPr>
        <w:t xml:space="preserve"> target support to </w:t>
      </w:r>
      <w:r w:rsidRPr="00BC21A6">
        <w:rPr>
          <w:u w:val="single"/>
          <w:lang w:val="en-GB"/>
        </w:rPr>
        <w:t>active farmers</w:t>
      </w:r>
      <w:r w:rsidRPr="001A3833">
        <w:rPr>
          <w:lang w:val="en-GB"/>
        </w:rPr>
        <w:t>, no direct payments shall be granted to land used for non-agricultural activity (e.g. airfields, g</w:t>
      </w:r>
      <w:r w:rsidR="00E32335">
        <w:rPr>
          <w:lang w:val="en-GB"/>
        </w:rPr>
        <w:t>olf courses, football pitches),</w:t>
      </w:r>
    </w:p>
    <w:p w:rsidR="00A53D3F" w:rsidP="00F50517">
      <w:pPr>
        <w:pStyle w:val="Odsekzoznamu"/>
        <w:numPr>
          <w:numId w:val="5"/>
        </w:numPr>
        <w:bidi w:val="0"/>
        <w:ind w:left="709" w:hanging="283"/>
        <w:jc w:val="both"/>
        <w:rPr>
          <w:lang w:val="en-GB"/>
        </w:rPr>
      </w:pPr>
      <w:r w:rsidR="004D5104">
        <w:rPr>
          <w:lang w:val="en-GB"/>
        </w:rPr>
        <w:t xml:space="preserve">due to variety of farm structures within the EU countries </w:t>
      </w:r>
      <w:r w:rsidRPr="001A3833">
        <w:rPr>
          <w:lang w:val="en-GB"/>
        </w:rPr>
        <w:t>such</w:t>
      </w:r>
      <w:r w:rsidR="004D5104">
        <w:rPr>
          <w:lang w:val="en-GB"/>
        </w:rPr>
        <w:t xml:space="preserve"> new elements of the payment s</w:t>
      </w:r>
      <w:r w:rsidR="004D5104">
        <w:rPr>
          <w:lang w:val="en-GB"/>
        </w:rPr>
        <w:t xml:space="preserve">ystem </w:t>
      </w:r>
      <w:r w:rsidRPr="001A3833">
        <w:rPr>
          <w:lang w:val="en-GB"/>
        </w:rPr>
        <w:t xml:space="preserve">as </w:t>
      </w:r>
      <w:r w:rsidR="004D5104">
        <w:rPr>
          <w:lang w:val="en-GB"/>
        </w:rPr>
        <w:t xml:space="preserve">support to </w:t>
      </w:r>
      <w:r w:rsidRPr="00BC21A6">
        <w:rPr>
          <w:u w:val="single"/>
          <w:lang w:val="en-GB"/>
        </w:rPr>
        <w:t xml:space="preserve">young </w:t>
      </w:r>
      <w:r w:rsidRPr="00BC21A6" w:rsidR="004D5104">
        <w:rPr>
          <w:u w:val="single"/>
          <w:lang w:val="en-GB"/>
        </w:rPr>
        <w:t>fa</w:t>
      </w:r>
      <w:r w:rsidRPr="00BC21A6">
        <w:rPr>
          <w:u w:val="single"/>
          <w:lang w:val="en-GB"/>
        </w:rPr>
        <w:t>rmer</w:t>
      </w:r>
      <w:r w:rsidRPr="00BC21A6" w:rsidR="004D5104">
        <w:rPr>
          <w:u w:val="single"/>
          <w:lang w:val="en-GB"/>
        </w:rPr>
        <w:t>s</w:t>
      </w:r>
      <w:r w:rsidR="004D5104">
        <w:rPr>
          <w:lang w:val="en-GB"/>
        </w:rPr>
        <w:t xml:space="preserve"> </w:t>
      </w:r>
      <w:r w:rsidRPr="001A3833">
        <w:rPr>
          <w:lang w:val="en-GB"/>
        </w:rPr>
        <w:t xml:space="preserve"> and </w:t>
      </w:r>
      <w:r w:rsidRPr="00BC21A6">
        <w:rPr>
          <w:u w:val="single"/>
          <w:lang w:val="en-GB"/>
        </w:rPr>
        <w:t>small farmer</w:t>
      </w:r>
      <w:r w:rsidRPr="00BC21A6" w:rsidR="004D5104">
        <w:rPr>
          <w:u w:val="single"/>
          <w:lang w:val="en-GB"/>
        </w:rPr>
        <w:t>s</w:t>
      </w:r>
      <w:r w:rsidRPr="001A3833">
        <w:rPr>
          <w:lang w:val="en-GB"/>
        </w:rPr>
        <w:t xml:space="preserve"> scheme should </w:t>
      </w:r>
      <w:r w:rsidRPr="00FA0A71">
        <w:rPr>
          <w:lang w:val="en-GB"/>
        </w:rPr>
        <w:t xml:space="preserve">be </w:t>
      </w:r>
      <w:r w:rsidR="002736DB">
        <w:rPr>
          <w:lang w:val="en-GB"/>
        </w:rPr>
        <w:t>voluntary for the Member States</w:t>
      </w:r>
      <w:r w:rsidR="00CC55B8">
        <w:rPr>
          <w:lang w:val="en-GB"/>
        </w:rPr>
        <w:t>,</w:t>
      </w:r>
    </w:p>
    <w:p w:rsidR="00CC55B8" w:rsidP="00F50517">
      <w:pPr>
        <w:pStyle w:val="Odsekzoznamu"/>
        <w:numPr>
          <w:numId w:val="5"/>
        </w:numPr>
        <w:bidi w:val="0"/>
        <w:ind w:left="709" w:hanging="283"/>
        <w:jc w:val="both"/>
        <w:rPr>
          <w:lang w:val="en-GB"/>
        </w:rPr>
      </w:pPr>
      <w:r w:rsidRPr="00F76DBE">
        <w:rPr>
          <w:u w:val="single"/>
          <w:lang w:val="en-GB"/>
        </w:rPr>
        <w:t>capping</w:t>
      </w:r>
      <w:r>
        <w:rPr>
          <w:lang w:val="en-GB"/>
        </w:rPr>
        <w:t xml:space="preserve"> of direct payments sh</w:t>
      </w:r>
      <w:r w:rsidR="00F76DBE">
        <w:rPr>
          <w:lang w:val="en-GB"/>
        </w:rPr>
        <w:t>a</w:t>
      </w:r>
      <w:r>
        <w:rPr>
          <w:lang w:val="en-GB"/>
        </w:rPr>
        <w:t xml:space="preserve">ll not affect competitiveness of </w:t>
      </w:r>
      <w:r w:rsidR="007F2FE3">
        <w:rPr>
          <w:lang w:val="en-GB"/>
        </w:rPr>
        <w:t>EU farmers,</w:t>
      </w:r>
    </w:p>
    <w:p w:rsidR="007F2FE3" w:rsidP="00F50517">
      <w:pPr>
        <w:pStyle w:val="Odsekzoznamu"/>
        <w:numPr>
          <w:numId w:val="5"/>
        </w:numPr>
        <w:bidi w:val="0"/>
        <w:ind w:left="709" w:hanging="283"/>
        <w:jc w:val="both"/>
        <w:rPr>
          <w:lang w:val="en-GB"/>
        </w:rPr>
      </w:pPr>
      <w:r w:rsidR="00EE7A3B">
        <w:rPr>
          <w:lang w:val="en-GB"/>
        </w:rPr>
        <w:t xml:space="preserve">equal possibility to set the percentage limit for </w:t>
      </w:r>
      <w:r w:rsidRPr="00F76DBE" w:rsidR="00EE7A3B">
        <w:rPr>
          <w:u w:val="single"/>
          <w:lang w:val="en-GB"/>
        </w:rPr>
        <w:t>coupled support</w:t>
      </w:r>
      <w:r w:rsidR="00EE7A3B">
        <w:rPr>
          <w:lang w:val="en-GB"/>
        </w:rPr>
        <w:t xml:space="preserve"> should be pr</w:t>
      </w:r>
      <w:r w:rsidR="00EE7A3B">
        <w:rPr>
          <w:lang w:val="en-GB"/>
        </w:rPr>
        <w:t xml:space="preserve">ovided for all </w:t>
      </w:r>
      <w:r w:rsidR="00DF3300">
        <w:rPr>
          <w:lang w:val="en-GB"/>
        </w:rPr>
        <w:t>M</w:t>
      </w:r>
      <w:r w:rsidR="00EE7A3B">
        <w:rPr>
          <w:lang w:val="en-GB"/>
        </w:rPr>
        <w:t xml:space="preserve">ember </w:t>
      </w:r>
      <w:r w:rsidR="00DF3300">
        <w:rPr>
          <w:lang w:val="en-GB"/>
        </w:rPr>
        <w:t>S</w:t>
      </w:r>
      <w:r w:rsidR="00EE7A3B">
        <w:rPr>
          <w:lang w:val="en-GB"/>
        </w:rPr>
        <w:t>tates to prevent distortion of competition.</w:t>
      </w:r>
    </w:p>
    <w:p w:rsidR="007F2FE3" w:rsidRPr="007F2FE3" w:rsidP="004A14C7">
      <w:pPr>
        <w:pStyle w:val="Odsekzoznamu"/>
        <w:bidi w:val="0"/>
        <w:spacing w:before="120"/>
        <w:ind w:left="0"/>
        <w:jc w:val="both"/>
        <w:rPr>
          <w:lang w:val="en-GB"/>
        </w:rPr>
      </w:pPr>
    </w:p>
    <w:p w:rsidR="00B83862" w:rsidP="00F50517">
      <w:pPr>
        <w:pStyle w:val="Odsekzoznamu"/>
        <w:numPr>
          <w:numId w:val="4"/>
        </w:numPr>
        <w:bidi w:val="0"/>
        <w:spacing w:before="120"/>
        <w:ind w:left="426" w:hanging="426"/>
        <w:jc w:val="both"/>
        <w:rPr>
          <w:lang w:val="en-GB"/>
        </w:rPr>
      </w:pPr>
      <w:r w:rsidRPr="009E5284" w:rsidR="00A05BF5">
        <w:rPr>
          <w:b/>
          <w:lang w:val="en-GB"/>
        </w:rPr>
        <w:t>Requirements under g</w:t>
      </w:r>
      <w:r w:rsidRPr="009E5284">
        <w:rPr>
          <w:b/>
          <w:lang w:val="en-GB"/>
        </w:rPr>
        <w:t>reening</w:t>
      </w:r>
      <w:r>
        <w:rPr>
          <w:lang w:val="en-GB"/>
        </w:rPr>
        <w:t xml:space="preserve"> should be feasible </w:t>
      </w:r>
      <w:r w:rsidR="00A05BF5">
        <w:rPr>
          <w:lang w:val="en-GB"/>
        </w:rPr>
        <w:t xml:space="preserve">both </w:t>
      </w:r>
      <w:r>
        <w:rPr>
          <w:lang w:val="en-GB"/>
        </w:rPr>
        <w:t xml:space="preserve">for farmers and administration and </w:t>
      </w:r>
      <w:r w:rsidR="00A05BF5">
        <w:rPr>
          <w:lang w:val="en-GB"/>
        </w:rPr>
        <w:t>should create</w:t>
      </w:r>
      <w:r>
        <w:rPr>
          <w:lang w:val="en-GB"/>
        </w:rPr>
        <w:t xml:space="preserve"> real added value for sustainability of agriculture, climate and biodiversity</w:t>
      </w:r>
      <w:r w:rsidR="00A74298">
        <w:rPr>
          <w:lang w:val="en-GB"/>
        </w:rPr>
        <w:t>, therefore</w:t>
      </w:r>
      <w:r>
        <w:rPr>
          <w:lang w:val="en-GB"/>
        </w:rPr>
        <w:t xml:space="preserve">: </w:t>
      </w:r>
    </w:p>
    <w:p w:rsidR="00B83862" w:rsidP="00F50517">
      <w:pPr>
        <w:pStyle w:val="Odsekzoznamu"/>
        <w:numPr>
          <w:numId w:val="5"/>
        </w:numPr>
        <w:bidi w:val="0"/>
        <w:spacing w:before="120"/>
        <w:ind w:left="709" w:hanging="283"/>
        <w:jc w:val="both"/>
        <w:rPr>
          <w:lang w:val="en-GB"/>
        </w:rPr>
      </w:pPr>
      <w:r>
        <w:rPr>
          <w:lang w:val="en-GB"/>
        </w:rPr>
        <w:t xml:space="preserve">share of agricultural land devoted for </w:t>
      </w:r>
      <w:r w:rsidRPr="00BC21A6">
        <w:rPr>
          <w:u w:val="single"/>
          <w:lang w:val="en-GB"/>
        </w:rPr>
        <w:t>ecological focused areas</w:t>
      </w:r>
      <w:r>
        <w:rPr>
          <w:lang w:val="en-GB"/>
        </w:rPr>
        <w:t xml:space="preserve"> </w:t>
      </w:r>
      <w:r w:rsidR="00A74298">
        <w:rPr>
          <w:lang w:val="en-GB"/>
        </w:rPr>
        <w:t xml:space="preserve">should be </w:t>
      </w:r>
      <w:r w:rsidR="008A362A">
        <w:rPr>
          <w:lang w:val="en-GB"/>
        </w:rPr>
        <w:t>revised</w:t>
      </w:r>
      <w:r>
        <w:rPr>
          <w:lang w:val="en-GB"/>
        </w:rPr>
        <w:t xml:space="preserve">. Moreover, these areas </w:t>
      </w:r>
      <w:r w:rsidR="008A362A">
        <w:rPr>
          <w:lang w:val="en-GB"/>
        </w:rPr>
        <w:t xml:space="preserve">could </w:t>
      </w:r>
      <w:r>
        <w:rPr>
          <w:lang w:val="en-GB"/>
        </w:rPr>
        <w:t xml:space="preserve">be </w:t>
      </w:r>
      <w:r w:rsidR="00C52A6C">
        <w:rPr>
          <w:lang w:val="en-GB"/>
        </w:rPr>
        <w:t xml:space="preserve">controlled </w:t>
      </w:r>
      <w:r>
        <w:rPr>
          <w:lang w:val="en-GB"/>
        </w:rPr>
        <w:t xml:space="preserve">at regional </w:t>
      </w:r>
      <w:r w:rsidR="00A653C3">
        <w:rPr>
          <w:lang w:val="en-GB"/>
        </w:rPr>
        <w:t xml:space="preserve">or national </w:t>
      </w:r>
      <w:r w:rsidR="008A362A">
        <w:rPr>
          <w:lang w:val="en-GB"/>
        </w:rPr>
        <w:t xml:space="preserve">as well as </w:t>
      </w:r>
      <w:r>
        <w:rPr>
          <w:lang w:val="en-GB"/>
        </w:rPr>
        <w:t>farm level</w:t>
      </w:r>
      <w:r w:rsidR="00F76DBE">
        <w:rPr>
          <w:lang w:val="en-GB"/>
        </w:rPr>
        <w:t>,</w:t>
      </w:r>
    </w:p>
    <w:p w:rsidR="00B83862" w:rsidP="00F50517">
      <w:pPr>
        <w:pStyle w:val="Odsekzoznamu"/>
        <w:numPr>
          <w:numId w:val="5"/>
        </w:numPr>
        <w:bidi w:val="0"/>
        <w:spacing w:before="120"/>
        <w:ind w:left="709" w:hanging="283"/>
        <w:jc w:val="both"/>
        <w:rPr>
          <w:lang w:val="en-GB"/>
        </w:rPr>
      </w:pPr>
      <w:r>
        <w:rPr>
          <w:lang w:val="en-GB"/>
        </w:rPr>
        <w:t xml:space="preserve">non-compliance with greening obligations should results in </w:t>
      </w:r>
      <w:r w:rsidRPr="00BC21A6">
        <w:rPr>
          <w:u w:val="single"/>
          <w:lang w:val="en-GB"/>
        </w:rPr>
        <w:t>sanctions</w:t>
      </w:r>
      <w:r>
        <w:rPr>
          <w:lang w:val="en-GB"/>
        </w:rPr>
        <w:t xml:space="preserve"> </w:t>
      </w:r>
      <w:r w:rsidR="00C80B26">
        <w:rPr>
          <w:lang w:val="en-GB"/>
        </w:rPr>
        <w:t xml:space="preserve">related to </w:t>
      </w:r>
      <w:r>
        <w:rPr>
          <w:lang w:val="en-GB"/>
        </w:rPr>
        <w:t>g</w:t>
      </w:r>
      <w:r>
        <w:rPr>
          <w:lang w:val="en-GB"/>
        </w:rPr>
        <w:t>reening component of payments only</w:t>
      </w:r>
      <w:r w:rsidR="00F76DBE">
        <w:rPr>
          <w:lang w:val="en-GB"/>
        </w:rPr>
        <w:t>,</w:t>
      </w:r>
    </w:p>
    <w:p w:rsidR="00B83862" w:rsidP="00F50517">
      <w:pPr>
        <w:pStyle w:val="Odsekzoznamu"/>
        <w:numPr>
          <w:numId w:val="5"/>
        </w:numPr>
        <w:bidi w:val="0"/>
        <w:spacing w:before="120"/>
        <w:ind w:left="709" w:hanging="283"/>
        <w:jc w:val="both"/>
        <w:rPr>
          <w:lang w:val="en-GB"/>
        </w:rPr>
      </w:pPr>
      <w:r>
        <w:rPr>
          <w:rFonts w:hint="default"/>
          <w:lang w:val="en-GB"/>
        </w:rPr>
        <w:t>list of “</w:t>
      </w:r>
      <w:r w:rsidRPr="00BC21A6">
        <w:rPr>
          <w:u w:val="single"/>
          <w:lang w:val="en-GB"/>
        </w:rPr>
        <w:t>green by definition</w:t>
      </w:r>
      <w:r>
        <w:rPr>
          <w:rFonts w:hint="default"/>
          <w:lang w:val="en-GB"/>
        </w:rPr>
        <w:t>”</w:t>
      </w:r>
      <w:r>
        <w:rPr>
          <w:rFonts w:hint="default"/>
          <w:lang w:val="en-GB"/>
        </w:rPr>
        <w:t xml:space="preserve"> exemptions should be </w:t>
      </w:r>
      <w:r w:rsidR="00C52A6C">
        <w:rPr>
          <w:lang w:val="en-GB"/>
        </w:rPr>
        <w:t xml:space="preserve">broadened to involve all relevant situations in order to </w:t>
      </w:r>
      <w:r>
        <w:rPr>
          <w:lang w:val="en-GB"/>
        </w:rPr>
        <w:t>keep administrative cost</w:t>
      </w:r>
      <w:r w:rsidR="00C52A6C">
        <w:rPr>
          <w:lang w:val="en-GB"/>
        </w:rPr>
        <w:t>s</w:t>
      </w:r>
      <w:r>
        <w:rPr>
          <w:lang w:val="en-GB"/>
        </w:rPr>
        <w:t xml:space="preserve"> at reasonable level </w:t>
      </w:r>
      <w:r w:rsidR="00F76DBE">
        <w:rPr>
          <w:lang w:val="en-GB"/>
        </w:rPr>
        <w:t>,</w:t>
      </w:r>
    </w:p>
    <w:p w:rsidR="00B83862" w:rsidRPr="007B2609" w:rsidP="00F50517">
      <w:pPr>
        <w:pStyle w:val="Odsekzoznamu"/>
        <w:numPr>
          <w:numId w:val="5"/>
        </w:numPr>
        <w:bidi w:val="0"/>
        <w:spacing w:before="120"/>
        <w:ind w:left="709" w:hanging="283"/>
        <w:jc w:val="both"/>
        <w:rPr>
          <w:lang w:val="en-GB"/>
        </w:rPr>
      </w:pPr>
      <w:r>
        <w:rPr>
          <w:lang w:val="en-GB"/>
        </w:rPr>
        <w:t xml:space="preserve">an </w:t>
      </w:r>
      <w:r w:rsidRPr="007B2609">
        <w:rPr>
          <w:lang w:val="en-GB"/>
        </w:rPr>
        <w:t xml:space="preserve">increase of the area triggering obligation for </w:t>
      </w:r>
      <w:r w:rsidRPr="007B2609">
        <w:rPr>
          <w:u w:val="single"/>
          <w:lang w:val="en-GB"/>
        </w:rPr>
        <w:t>crop diversi</w:t>
      </w:r>
      <w:r w:rsidRPr="007B2609" w:rsidR="009C5638">
        <w:rPr>
          <w:u w:val="single"/>
          <w:lang w:val="en-GB"/>
        </w:rPr>
        <w:t>fi</w:t>
      </w:r>
      <w:r w:rsidRPr="007B2609" w:rsidR="009C5638">
        <w:rPr>
          <w:u w:val="single"/>
          <w:lang w:val="en-GB"/>
        </w:rPr>
        <w:t>cation</w:t>
      </w:r>
      <w:r w:rsidRPr="007B2609">
        <w:rPr>
          <w:lang w:val="en-GB"/>
        </w:rPr>
        <w:t xml:space="preserve"> to </w:t>
      </w:r>
      <w:r w:rsidRPr="007B2609" w:rsidR="004A14C7">
        <w:rPr>
          <w:lang w:val="en-GB"/>
        </w:rPr>
        <w:t xml:space="preserve">20 </w:t>
      </w:r>
      <w:r w:rsidRPr="007B2609">
        <w:rPr>
          <w:lang w:val="en-GB"/>
        </w:rPr>
        <w:t>ha is another factor important for simplification and control of administrative cost of the greening</w:t>
      </w:r>
      <w:r w:rsidR="00F76DBE">
        <w:rPr>
          <w:lang w:val="en-GB"/>
        </w:rPr>
        <w:t>,</w:t>
      </w:r>
      <w:r w:rsidRPr="007B2609">
        <w:rPr>
          <w:lang w:val="en-GB"/>
        </w:rPr>
        <w:t xml:space="preserve"> </w:t>
      </w:r>
    </w:p>
    <w:p w:rsidR="0001150B" w:rsidRPr="007B2609" w:rsidP="00F50517">
      <w:pPr>
        <w:pStyle w:val="Odsekzoznamu"/>
        <w:numPr>
          <w:numId w:val="5"/>
        </w:numPr>
        <w:bidi w:val="0"/>
        <w:spacing w:before="120"/>
        <w:ind w:left="709" w:hanging="283"/>
        <w:jc w:val="both"/>
        <w:rPr>
          <w:lang w:val="en-GB"/>
        </w:rPr>
      </w:pPr>
      <w:r w:rsidRPr="007B2609" w:rsidR="00B83862">
        <w:rPr>
          <w:lang w:val="en-GB"/>
        </w:rPr>
        <w:t xml:space="preserve">obligation for maintaining </w:t>
      </w:r>
      <w:r w:rsidRPr="007B2609" w:rsidR="00B83862">
        <w:rPr>
          <w:u w:val="single"/>
          <w:lang w:val="en-GB"/>
        </w:rPr>
        <w:t>permanent grassland</w:t>
      </w:r>
      <w:r w:rsidRPr="007B2609" w:rsidR="00B83862">
        <w:rPr>
          <w:lang w:val="en-GB"/>
        </w:rPr>
        <w:t xml:space="preserve"> should be applied at regional level, as its application at farm level will not bring addition</w:t>
      </w:r>
      <w:r w:rsidRPr="007B2609" w:rsidR="00B83862">
        <w:rPr>
          <w:lang w:val="en-GB"/>
        </w:rPr>
        <w:t>al environmental benefits</w:t>
      </w:r>
      <w:r w:rsidR="00F76DBE">
        <w:rPr>
          <w:lang w:val="en-GB"/>
        </w:rPr>
        <w:t>,</w:t>
      </w:r>
    </w:p>
    <w:p w:rsidR="00B83862" w:rsidRPr="007B2609" w:rsidP="00F50517">
      <w:pPr>
        <w:pStyle w:val="Odsekzoznamu"/>
        <w:numPr>
          <w:numId w:val="5"/>
        </w:numPr>
        <w:bidi w:val="0"/>
        <w:spacing w:before="120"/>
        <w:ind w:left="709" w:hanging="283"/>
        <w:jc w:val="both"/>
        <w:rPr>
          <w:lang w:val="en-GB"/>
        </w:rPr>
      </w:pPr>
      <w:r w:rsidRPr="007B2609" w:rsidR="0001150B">
        <w:rPr>
          <w:u w:val="single"/>
          <w:lang w:val="en-GB"/>
        </w:rPr>
        <w:t xml:space="preserve">alternative </w:t>
      </w:r>
      <w:r w:rsidRPr="007B2609" w:rsidR="005427DC">
        <w:rPr>
          <w:u w:val="single"/>
          <w:lang w:val="en-GB"/>
        </w:rPr>
        <w:t>solutions</w:t>
      </w:r>
      <w:r w:rsidRPr="007B2609" w:rsidR="0001150B">
        <w:rPr>
          <w:lang w:val="en-GB"/>
        </w:rPr>
        <w:t xml:space="preserve"> </w:t>
      </w:r>
      <w:r w:rsidRPr="007B2609" w:rsidR="005427DC">
        <w:rPr>
          <w:lang w:val="en-GB"/>
        </w:rPr>
        <w:t>for</w:t>
      </w:r>
      <w:r w:rsidRPr="007B2609" w:rsidR="0001150B">
        <w:rPr>
          <w:lang w:val="en-GB"/>
        </w:rPr>
        <w:t xml:space="preserve"> enhancing environmental performance of the CAP should also be considered in the course of further debate</w:t>
      </w:r>
      <w:r w:rsidRPr="007B2609">
        <w:rPr>
          <w:lang w:val="en-GB"/>
        </w:rPr>
        <w:t xml:space="preserve">. </w:t>
      </w:r>
    </w:p>
    <w:p w:rsidR="000E18CA" w:rsidRPr="00C56962" w:rsidP="00F50517">
      <w:pPr>
        <w:pStyle w:val="Odsekzoznamu"/>
        <w:bidi w:val="0"/>
        <w:spacing w:before="120"/>
        <w:ind w:left="426"/>
        <w:jc w:val="both"/>
        <w:rPr>
          <w:lang w:val="en-GB"/>
        </w:rPr>
      </w:pPr>
    </w:p>
    <w:sectPr>
      <w:headerReference w:type="default" r:id="rId4"/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3300">
    <w:pPr>
      <w:pStyle w:val="Footer"/>
      <w:bidi w:val="0"/>
      <w:jc w:val="center"/>
    </w:pPr>
    <w:r>
      <w:fldChar w:fldCharType="begin"/>
    </w:r>
    <w:r>
      <w:instrText>PAGE   \* MERGEFORMAT</w:instrText>
    </w:r>
    <w:r>
      <w:fldChar w:fldCharType="separate"/>
    </w:r>
    <w:r w:rsidR="004A4B77">
      <w:rPr>
        <w:noProof/>
      </w:rPr>
      <w:t>1</w:t>
    </w:r>
    <w:r>
      <w:fldChar w:fldCharType="end"/>
    </w:r>
  </w:p>
  <w:p w:rsidR="00DF3300">
    <w:pPr>
      <w:pStyle w:val="Footer"/>
      <w:bidi w:val="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4AAF" w:rsidRPr="00F47B73" w:rsidP="00CB568E">
    <w:pPr>
      <w:pStyle w:val="Header"/>
      <w:bidi w:val="0"/>
      <w:jc w:val="right"/>
      <w:rPr>
        <w:lang w:val="sk-SK"/>
      </w:rPr>
    </w:pPr>
    <w:r w:rsidR="00F47B73">
      <w:rPr>
        <w:rFonts w:hint="default"/>
        <w:lang w:val="sk-SK"/>
      </w:rPr>
      <w:t>Prí</w:t>
    </w:r>
    <w:r w:rsidR="00F47B73">
      <w:rPr>
        <w:rFonts w:hint="default"/>
        <w:lang w:val="sk-SK"/>
      </w:rPr>
      <w:t xml:space="preserve">loha 4 / strana </w:t>
    </w:r>
    <w:r w:rsidR="00F47B73">
      <w:rPr>
        <w:rStyle w:val="PageNumber"/>
      </w:rPr>
      <w:fldChar w:fldCharType="begin"/>
    </w:r>
    <w:r w:rsidR="00F47B73">
      <w:rPr>
        <w:rStyle w:val="PageNumber"/>
      </w:rPr>
      <w:instrText xml:space="preserve"> PAGE </w:instrText>
    </w:r>
    <w:r w:rsidR="00F47B73">
      <w:rPr>
        <w:rStyle w:val="PageNumber"/>
      </w:rPr>
      <w:fldChar w:fldCharType="separate"/>
    </w:r>
    <w:r w:rsidR="004A4B77">
      <w:rPr>
        <w:rStyle w:val="PageNumber"/>
        <w:noProof/>
      </w:rPr>
      <w:t>1</w:t>
    </w:r>
    <w:r w:rsidR="00F47B73">
      <w:rPr>
        <w:rStyle w:val="PageNumber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6169A"/>
    <w:multiLevelType w:val="hybridMultilevel"/>
    <w:tmpl w:val="9FC4A8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9E2060"/>
    <w:multiLevelType w:val="hybridMultilevel"/>
    <w:tmpl w:val="96BE891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1F0583"/>
    <w:multiLevelType w:val="hybridMultilevel"/>
    <w:tmpl w:val="5998AC2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799E6512"/>
    <w:multiLevelType w:val="hybridMultilevel"/>
    <w:tmpl w:val="3CF02F4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7AAF67EA"/>
    <w:multiLevelType w:val="hybridMultilevel"/>
    <w:tmpl w:val="405426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3A02A0"/>
    <w:rsid w:val="0001150B"/>
    <w:rsid w:val="00012E19"/>
    <w:rsid w:val="00020C14"/>
    <w:rsid w:val="0002577E"/>
    <w:rsid w:val="00026AA7"/>
    <w:rsid w:val="000756D5"/>
    <w:rsid w:val="00082D0C"/>
    <w:rsid w:val="000E18CA"/>
    <w:rsid w:val="00114935"/>
    <w:rsid w:val="00136BA1"/>
    <w:rsid w:val="00137456"/>
    <w:rsid w:val="001666E8"/>
    <w:rsid w:val="00173391"/>
    <w:rsid w:val="001A3833"/>
    <w:rsid w:val="002018E5"/>
    <w:rsid w:val="002031C7"/>
    <w:rsid w:val="002736DB"/>
    <w:rsid w:val="00310A97"/>
    <w:rsid w:val="00391AE5"/>
    <w:rsid w:val="003A02A0"/>
    <w:rsid w:val="003D4887"/>
    <w:rsid w:val="003E4C8D"/>
    <w:rsid w:val="003E72DD"/>
    <w:rsid w:val="004038A9"/>
    <w:rsid w:val="00421A0E"/>
    <w:rsid w:val="004304A9"/>
    <w:rsid w:val="00434997"/>
    <w:rsid w:val="0046450E"/>
    <w:rsid w:val="004A14C7"/>
    <w:rsid w:val="004A4792"/>
    <w:rsid w:val="004A4B77"/>
    <w:rsid w:val="004A7913"/>
    <w:rsid w:val="004D5104"/>
    <w:rsid w:val="004F07DD"/>
    <w:rsid w:val="00505C42"/>
    <w:rsid w:val="005427DC"/>
    <w:rsid w:val="0059192D"/>
    <w:rsid w:val="005933C1"/>
    <w:rsid w:val="0059355E"/>
    <w:rsid w:val="005A13FA"/>
    <w:rsid w:val="005E7633"/>
    <w:rsid w:val="005E7F6F"/>
    <w:rsid w:val="005F6DF9"/>
    <w:rsid w:val="00603788"/>
    <w:rsid w:val="0061702F"/>
    <w:rsid w:val="0062134D"/>
    <w:rsid w:val="0066242A"/>
    <w:rsid w:val="00673E35"/>
    <w:rsid w:val="0068692C"/>
    <w:rsid w:val="006A6B7E"/>
    <w:rsid w:val="006B58E0"/>
    <w:rsid w:val="006D38C5"/>
    <w:rsid w:val="007119BE"/>
    <w:rsid w:val="007802C7"/>
    <w:rsid w:val="00790AEF"/>
    <w:rsid w:val="007B2609"/>
    <w:rsid w:val="007F2FE3"/>
    <w:rsid w:val="008011F4"/>
    <w:rsid w:val="008013B6"/>
    <w:rsid w:val="00803845"/>
    <w:rsid w:val="00816E9F"/>
    <w:rsid w:val="00894AAF"/>
    <w:rsid w:val="008A362A"/>
    <w:rsid w:val="008D5FB2"/>
    <w:rsid w:val="00962772"/>
    <w:rsid w:val="00971574"/>
    <w:rsid w:val="00981590"/>
    <w:rsid w:val="009927E6"/>
    <w:rsid w:val="0099328B"/>
    <w:rsid w:val="009962B6"/>
    <w:rsid w:val="009C5638"/>
    <w:rsid w:val="009D3B64"/>
    <w:rsid w:val="009E1157"/>
    <w:rsid w:val="009E5284"/>
    <w:rsid w:val="00A05BF5"/>
    <w:rsid w:val="00A17C9C"/>
    <w:rsid w:val="00A52A6C"/>
    <w:rsid w:val="00A53D3F"/>
    <w:rsid w:val="00A653C3"/>
    <w:rsid w:val="00A70A01"/>
    <w:rsid w:val="00A74298"/>
    <w:rsid w:val="00A764BB"/>
    <w:rsid w:val="00AE2316"/>
    <w:rsid w:val="00B0689E"/>
    <w:rsid w:val="00B33BEF"/>
    <w:rsid w:val="00B83862"/>
    <w:rsid w:val="00B95B08"/>
    <w:rsid w:val="00BC21A6"/>
    <w:rsid w:val="00C005CC"/>
    <w:rsid w:val="00C103C6"/>
    <w:rsid w:val="00C36041"/>
    <w:rsid w:val="00C42E4C"/>
    <w:rsid w:val="00C52A6C"/>
    <w:rsid w:val="00C56962"/>
    <w:rsid w:val="00C618D5"/>
    <w:rsid w:val="00C620FE"/>
    <w:rsid w:val="00C65F83"/>
    <w:rsid w:val="00C80B26"/>
    <w:rsid w:val="00C918FB"/>
    <w:rsid w:val="00C95C26"/>
    <w:rsid w:val="00CB568E"/>
    <w:rsid w:val="00CC55B8"/>
    <w:rsid w:val="00CE02AD"/>
    <w:rsid w:val="00CE6247"/>
    <w:rsid w:val="00CF11CC"/>
    <w:rsid w:val="00D109A6"/>
    <w:rsid w:val="00D331CA"/>
    <w:rsid w:val="00DA3362"/>
    <w:rsid w:val="00DD3E56"/>
    <w:rsid w:val="00DD6D4D"/>
    <w:rsid w:val="00DF3300"/>
    <w:rsid w:val="00E05AB7"/>
    <w:rsid w:val="00E32335"/>
    <w:rsid w:val="00E74B43"/>
    <w:rsid w:val="00EC27B6"/>
    <w:rsid w:val="00ED0936"/>
    <w:rsid w:val="00ED127F"/>
    <w:rsid w:val="00EE7A3B"/>
    <w:rsid w:val="00F04758"/>
    <w:rsid w:val="00F0488E"/>
    <w:rsid w:val="00F445C2"/>
    <w:rsid w:val="00F47B73"/>
    <w:rsid w:val="00F50517"/>
    <w:rsid w:val="00F5716C"/>
    <w:rsid w:val="00F76DBE"/>
    <w:rsid w:val="00FA0A71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eastAsia="Calibri" w:hAnsi="Calibri" w:cs="Times New Roman"/>
      <w:sz w:val="22"/>
      <w:szCs w:val="22"/>
      <w:rtl w:val="0"/>
      <w:cs w:val="0"/>
      <w:lang w:val="pl-PL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dsekzoznamu">
    <w:name w:val="Odsek zoznamu"/>
    <w:basedOn w:val="Normal"/>
    <w:uiPriority w:val="34"/>
    <w:qFormat/>
    <w:rsid w:val="000E18CA"/>
    <w:pPr>
      <w:ind w:left="720"/>
      <w:contextualSpacing/>
      <w:jc w:val="left"/>
    </w:pPr>
  </w:style>
  <w:style w:type="paragraph" w:styleId="Header">
    <w:name w:val="header"/>
    <w:basedOn w:val="Normal"/>
    <w:rsid w:val="00CB568E"/>
    <w:pPr>
      <w:tabs>
        <w:tab w:val="center" w:pos="4536"/>
        <w:tab w:val="right" w:pos="9072"/>
      </w:tabs>
      <w:jc w:val="left"/>
    </w:pPr>
  </w:style>
  <w:style w:type="paragraph" w:styleId="Footer">
    <w:name w:val="footer"/>
    <w:basedOn w:val="Normal"/>
    <w:link w:val="FooterChar"/>
    <w:uiPriority w:val="99"/>
    <w:rsid w:val="00CB568E"/>
    <w:pPr>
      <w:tabs>
        <w:tab w:val="center" w:pos="4536"/>
        <w:tab w:val="right" w:pos="9072"/>
      </w:tabs>
      <w:jc w:val="left"/>
    </w:pPr>
  </w:style>
  <w:style w:type="paragraph" w:styleId="BalloonText">
    <w:name w:val="Balloon Text"/>
    <w:basedOn w:val="Normal"/>
    <w:semiHidden/>
    <w:rsid w:val="00A05BF5"/>
    <w:pPr>
      <w:jc w:val="left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9C5638"/>
    <w:rPr>
      <w:sz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5638"/>
    <w:pPr>
      <w:jc w:val="left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9C5638"/>
    <w:rPr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5638"/>
    <w:pPr>
      <w:jc w:val="left"/>
    </w:pPr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9C5638"/>
    <w:rPr>
      <w:b/>
      <w:lang w:val="x-none" w:eastAsia="en-US"/>
    </w:rPr>
  </w:style>
  <w:style w:type="character" w:customStyle="1" w:styleId="FooterChar">
    <w:name w:val="Footer Char"/>
    <w:link w:val="Footer"/>
    <w:uiPriority w:val="99"/>
    <w:locked/>
    <w:rsid w:val="00DF3300"/>
    <w:rPr>
      <w:sz w:val="22"/>
      <w:lang w:val="x-none" w:eastAsia="en-US"/>
    </w:rPr>
  </w:style>
  <w:style w:type="character" w:styleId="PageNumber">
    <w:name w:val="page number"/>
    <w:basedOn w:val="DefaultParagraphFont"/>
    <w:rsid w:val="00F47B73"/>
    <w:rPr>
      <w:rFonts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520</Words>
  <Characters>2969</Characters>
  <Application>Microsoft Office Word</Application>
  <DocSecurity>0</DocSecurity>
  <Lines>0</Lines>
  <Paragraphs>0</Paragraphs>
  <ScaleCrop>false</ScaleCrop>
  <Company>MRiRW</Company>
  <LinksUpToDate>false</LinksUpToDate>
  <CharactersWithSpaces>3483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Zakres deklaracji państw V4+</dc:title>
  <dc:creator>Gawlik Beniamin</dc:creator>
  <cp:lastModifiedBy>Gašparíková, Jarmila</cp:lastModifiedBy>
  <cp:revision>2</cp:revision>
  <cp:lastPrinted>2013-01-02T14:06:00Z</cp:lastPrinted>
  <dcterms:created xsi:type="dcterms:W3CDTF">2013-01-10T16:26:00Z</dcterms:created>
  <dcterms:modified xsi:type="dcterms:W3CDTF">2013-01-10T16:26:00Z</dcterms:modified>
</cp:coreProperties>
</file>