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CCF" w:rsidP="00624CCF">
      <w:pPr>
        <w:bidi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624CCF" w:rsidP="00624CCF">
      <w:pPr>
        <w:bidi w:val="0"/>
        <w:rPr>
          <w:rFonts w:ascii="Times New Roman" w:hAnsi="Times New Roman"/>
          <w:b/>
          <w:bCs/>
        </w:rPr>
      </w:pPr>
    </w:p>
    <w:p w:rsidR="00624CCF" w:rsidP="00624CC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3D5AAA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3D5AAA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3D5AAA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624CCF" w:rsidP="003D5AAA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3D5AAA">
            <w:pPr>
              <w:bidi w:val="0"/>
              <w:spacing w:after="0" w:line="240" w:lineRule="auto"/>
              <w:ind w:firstLine="360" w:firstLineChars="30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ED7172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172">
              <w:rPr>
                <w:rFonts w:ascii="Times New Roman" w:hAnsi="Times New Roman"/>
                <w:b/>
                <w:bCs/>
              </w:rPr>
              <w:t>4.2.</w:t>
            </w:r>
            <w:r w:rsidRPr="00ED7172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0F08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="0093691D">
              <w:rPr>
                <w:rFonts w:ascii="Times New Roman" w:hAnsi="Times New Roman"/>
              </w:rPr>
              <w:t xml:space="preserve">Kvalitatívne </w:t>
            </w:r>
            <w:r w:rsidRPr="00A25177">
              <w:rPr>
                <w:rFonts w:ascii="Times New Roman" w:hAnsi="Times New Roman"/>
              </w:rPr>
              <w:t>zhodnotenie pozitívneho sociálneho vplyvu pri podpore úhrad sociálnych d</w:t>
            </w:r>
            <w:r>
              <w:rPr>
                <w:rFonts w:ascii="Times New Roman" w:hAnsi="Times New Roman"/>
              </w:rPr>
              <w:t>opadov útlmu banskej činnosti.</w:t>
            </w:r>
          </w:p>
          <w:p w:rsidR="0093691D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F0F08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V zmysle uznesení vlády SR o útlme banskej činnosti v </w:t>
            </w:r>
            <w:r>
              <w:rPr>
                <w:rFonts w:ascii="Times New Roman" w:hAnsi="Times New Roman"/>
              </w:rPr>
              <w:t>organizácii</w:t>
            </w:r>
            <w:r w:rsidRPr="00A25177">
              <w:rPr>
                <w:rFonts w:ascii="Times New Roman" w:hAnsi="Times New Roman"/>
              </w:rPr>
              <w:t xml:space="preserve"> majú zamestnanci  v pracovnom pomere na dobu neurčitú pri uvoľňovaní z pracovného pomeru z dôvodu útlmu nárok na 5-mesačné odstupné.</w:t>
            </w:r>
          </w:p>
          <w:p w:rsidR="0093691D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F0F08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 xml:space="preserve">Toto odstupné je vyplácané z prostriedkov </w:t>
            </w:r>
            <w:r>
              <w:rPr>
                <w:rFonts w:ascii="Times New Roman" w:hAnsi="Times New Roman"/>
              </w:rPr>
              <w:t>organizácie</w:t>
            </w:r>
            <w:r w:rsidRPr="00A25177">
              <w:rPr>
                <w:rFonts w:ascii="Times New Roman" w:hAnsi="Times New Roman"/>
              </w:rPr>
              <w:t xml:space="preserve"> a násle</w:t>
            </w:r>
            <w:r>
              <w:rPr>
                <w:rFonts w:ascii="Times New Roman" w:hAnsi="Times New Roman"/>
              </w:rPr>
              <w:t>dne preplatené z prostriedkov Ministerstva hospodárstva</w:t>
            </w:r>
            <w:r w:rsidRPr="00A25177">
              <w:rPr>
                <w:rFonts w:ascii="Times New Roman" w:hAnsi="Times New Roman"/>
              </w:rPr>
              <w:t xml:space="preserve"> SR v zmysle príslušných uznesení vlády SR ako sociálny náklad v rámci útlmu. Jedná sa vždy o pracovníkov v produktívnej dobe, ktorí uvoľnením z pracovného pomeru strácajú finančný príjem</w:t>
            </w:r>
            <w:r>
              <w:rPr>
                <w:rFonts w:ascii="Times New Roman" w:hAnsi="Times New Roman"/>
              </w:rPr>
              <w:t xml:space="preserve"> a končia ako nezamestnaní </w:t>
            </w:r>
            <w:r w:rsidRPr="00A25177">
              <w:rPr>
                <w:rFonts w:ascii="Times New Roman" w:hAnsi="Times New Roman"/>
              </w:rPr>
              <w:t>na úrade práce.</w:t>
            </w:r>
          </w:p>
          <w:p w:rsidR="0093691D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F0F08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5-mesačné odstupné má veľký význam pre každého uvoľneného pracovníka, lebo mu zaručuje 5-mesačný odklad od pádu do sociálnej siete štátu. 5 m</w:t>
            </w:r>
            <w:r>
              <w:rPr>
                <w:rFonts w:ascii="Times New Roman" w:hAnsi="Times New Roman"/>
              </w:rPr>
              <w:t>esiacov má bývalý pracovník organizácie</w:t>
            </w:r>
            <w:r w:rsidRPr="00A25177">
              <w:rPr>
                <w:rFonts w:ascii="Times New Roman" w:hAnsi="Times New Roman"/>
              </w:rPr>
              <w:t xml:space="preserve"> zaručený životný štandard ako v dobe, keď pracoval. Veľká väčšina pracovníkov sú zároveň živiteľmi rodín a tým sa tento efekt zvýrazňuje. </w:t>
            </w:r>
          </w:p>
          <w:p w:rsidR="009F0F08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9F0F08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Päť</w:t>
            </w:r>
            <w:r w:rsidRPr="00A25177">
              <w:rPr>
                <w:rFonts w:ascii="Times New Roman" w:hAnsi="Times New Roman"/>
              </w:rPr>
              <w:t xml:space="preserve"> mesiacov sú zachované podmienky:</w:t>
            </w:r>
          </w:p>
          <w:p w:rsidR="009F0F08" w:rsidRPr="00A25177" w:rsidP="0093691D">
            <w:pPr>
              <w:numPr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pri bývaní a súvisiacimi základnými komunálnymi službami,</w:t>
            </w:r>
          </w:p>
          <w:p w:rsidR="009F0F08" w:rsidRPr="00A25177" w:rsidP="0093691D">
            <w:pPr>
              <w:numPr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výživy rodiny a rodinných príslušníkov,</w:t>
            </w:r>
          </w:p>
          <w:p w:rsidR="009F0F08" w:rsidRPr="00A25177" w:rsidP="0093691D">
            <w:pPr>
              <w:numPr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zdravotnej starostlivosti vrátane cenovo dostupných pomôcok pre občanov so zdravotným postihnutím,</w:t>
            </w:r>
          </w:p>
          <w:p w:rsidR="009F0F08" w:rsidRPr="00A25177" w:rsidP="0093691D">
            <w:pPr>
              <w:numPr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doprave,</w:t>
            </w:r>
          </w:p>
          <w:p w:rsidR="009F0F08" w:rsidRPr="00A25177" w:rsidP="0093691D">
            <w:pPr>
              <w:numPr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platením všetkých daní a poplatkov štátu,</w:t>
            </w:r>
          </w:p>
          <w:p w:rsidR="009F0F08" w:rsidRPr="00A25177" w:rsidP="0093691D">
            <w:pPr>
              <w:numPr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aktívnemu prístupu k trhu práce /možnosť rekvalifikácie, školenia a iných foriem hľadania novej práce/</w:t>
            </w:r>
            <w:r>
              <w:rPr>
                <w:rFonts w:ascii="Times New Roman" w:hAnsi="Times New Roman"/>
              </w:rPr>
              <w:t>.</w:t>
            </w:r>
          </w:p>
          <w:p w:rsidR="0093691D" w:rsidP="0093691D">
            <w:pPr>
              <w:bidi w:val="0"/>
              <w:spacing w:after="0" w:line="240" w:lineRule="auto"/>
              <w:ind w:firstLine="360"/>
              <w:rPr>
                <w:rFonts w:ascii="Times New Roman" w:hAnsi="Times New Roman"/>
              </w:rPr>
            </w:pPr>
          </w:p>
          <w:p w:rsidR="009F0F08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Treba si uvedomiť, že všetkým uvoľneným pracovníkom</w:t>
            </w:r>
            <w:r w:rsidRPr="00A251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organizácie </w:t>
            </w:r>
            <w:r w:rsidRPr="00A25177">
              <w:rPr>
                <w:rFonts w:ascii="Times New Roman" w:hAnsi="Times New Roman"/>
              </w:rPr>
              <w:t>odstupné vytvára možno</w:t>
            </w:r>
            <w:r>
              <w:rPr>
                <w:rFonts w:ascii="Times New Roman" w:hAnsi="Times New Roman"/>
              </w:rPr>
              <w:t>sť, aby boli päť</w:t>
            </w:r>
            <w:r w:rsidRPr="00A25177">
              <w:rPr>
                <w:rFonts w:ascii="Times New Roman" w:hAnsi="Times New Roman"/>
              </w:rPr>
              <w:t xml:space="preserve"> mesiacov chránení pred pádom do sociálnej skupiny ľudí, ktorí sú odkázaní len na dávky od štátu, ktoré nezaručujú štandard, v ktorom žili, keď boli zamestnaní.</w:t>
            </w:r>
          </w:p>
          <w:p w:rsidR="0093691D" w:rsidP="0093691D">
            <w:pPr>
              <w:bidi w:val="0"/>
              <w:spacing w:after="0" w:line="240" w:lineRule="auto"/>
              <w:ind w:firstLine="360"/>
              <w:rPr>
                <w:rFonts w:ascii="Times New Roman" w:hAnsi="Times New Roman"/>
              </w:rPr>
            </w:pPr>
          </w:p>
          <w:p w:rsidR="009F0F08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A25177">
              <w:rPr>
                <w:rFonts w:ascii="Times New Roman" w:hAnsi="Times New Roman"/>
              </w:rPr>
              <w:t>Na jedného zamestnaného baníka sú naviazaní ďalší dvaja až traja pracovníci, ktorí zabezpečujú servis ostatných životných potrieb baníka a tento čas /5 mesiacov/ je tak odklad, za ktorý si títo pracovníci musia zmeniť charakter svojich služieb.</w:t>
            </w:r>
          </w:p>
          <w:p w:rsidR="0093691D" w:rsidP="0093691D">
            <w:pPr>
              <w:bidi w:val="0"/>
              <w:spacing w:after="0" w:line="240" w:lineRule="auto"/>
              <w:ind w:firstLine="360"/>
              <w:rPr>
                <w:rFonts w:ascii="Times New Roman" w:hAnsi="Times New Roman"/>
              </w:rPr>
            </w:pPr>
          </w:p>
          <w:p w:rsidR="009F0F08" w:rsidRPr="00A25177" w:rsidP="0093691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Päť</w:t>
            </w:r>
            <w:r w:rsidRPr="00A25177">
              <w:rPr>
                <w:rFonts w:ascii="Times New Roman" w:hAnsi="Times New Roman"/>
              </w:rPr>
              <w:t xml:space="preserve"> mesiacov je aj odklad a možnosť preorientovať prepusteného baníka na iné zamestnanie.</w:t>
            </w:r>
          </w:p>
          <w:p w:rsidR="00624CCF" w:rsidRPr="003D5AAA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Aké sú  vplyvy na zamestnanosť ?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Ktoré skupiny zamestnancov budú ohrozené schválením predkladaného materiálu ?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3E69" w:rsidP="0078619B">
      <w:pPr>
        <w:bidi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Sect="0078619B">
      <w:footerReference w:type="default" r:id="rId4"/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F22"/>
    <w:multiLevelType w:val="hybridMultilevel"/>
    <w:tmpl w:val="F2F06AB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6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624CCF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2787"/>
    <w:rsid w:val="000457DA"/>
    <w:rsid w:val="00050CD7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73C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716EE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0EB5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4880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342"/>
    <w:rsid w:val="00395954"/>
    <w:rsid w:val="00396925"/>
    <w:rsid w:val="00396E19"/>
    <w:rsid w:val="00397131"/>
    <w:rsid w:val="003A0138"/>
    <w:rsid w:val="003A05AA"/>
    <w:rsid w:val="003A061B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5AAA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63BA"/>
    <w:rsid w:val="004C789B"/>
    <w:rsid w:val="004D1916"/>
    <w:rsid w:val="004D5A7E"/>
    <w:rsid w:val="004E05FA"/>
    <w:rsid w:val="004F7808"/>
    <w:rsid w:val="005000B4"/>
    <w:rsid w:val="00500C00"/>
    <w:rsid w:val="00501139"/>
    <w:rsid w:val="005038E8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47825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D27"/>
    <w:rsid w:val="005D6F85"/>
    <w:rsid w:val="005E20EA"/>
    <w:rsid w:val="005E3070"/>
    <w:rsid w:val="005E5741"/>
    <w:rsid w:val="005E6925"/>
    <w:rsid w:val="005E7189"/>
    <w:rsid w:val="005E7269"/>
    <w:rsid w:val="005F1A92"/>
    <w:rsid w:val="005F3DF8"/>
    <w:rsid w:val="005F664A"/>
    <w:rsid w:val="006031C2"/>
    <w:rsid w:val="00605C59"/>
    <w:rsid w:val="006220BB"/>
    <w:rsid w:val="006228E8"/>
    <w:rsid w:val="00623418"/>
    <w:rsid w:val="00624CCF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B7CA8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42870"/>
    <w:rsid w:val="0075242C"/>
    <w:rsid w:val="007524C4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19B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91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0F08"/>
    <w:rsid w:val="009F1786"/>
    <w:rsid w:val="00A06AE8"/>
    <w:rsid w:val="00A12688"/>
    <w:rsid w:val="00A127B2"/>
    <w:rsid w:val="00A14BBE"/>
    <w:rsid w:val="00A15E45"/>
    <w:rsid w:val="00A24E99"/>
    <w:rsid w:val="00A25177"/>
    <w:rsid w:val="00A259AB"/>
    <w:rsid w:val="00A25E3A"/>
    <w:rsid w:val="00A300E9"/>
    <w:rsid w:val="00A32A59"/>
    <w:rsid w:val="00A410B8"/>
    <w:rsid w:val="00A4397D"/>
    <w:rsid w:val="00A43B44"/>
    <w:rsid w:val="00A43C14"/>
    <w:rsid w:val="00A4435C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878AD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8DE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193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468A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DBE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4BBB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64FE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E69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540C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D7172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C57D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rsid w:val="00624CCF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24CC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624CCF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624CC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624CC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57DBE"/>
    <w:rPr>
      <w:rFonts w:cs="Times New Roman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93691D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474</Words>
  <Characters>2702</Characters>
  <Application>Microsoft Office Word</Application>
  <DocSecurity>0</DocSecurity>
  <Lines>0</Lines>
  <Paragraphs>0</Paragraphs>
  <ScaleCrop>false</ScaleCrop>
  <Company>UVSR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grosjarova</dc:creator>
  <cp:lastModifiedBy>Talapkova Denisa</cp:lastModifiedBy>
  <cp:revision>3</cp:revision>
  <cp:lastPrinted>2012-10-19T09:32:00Z</cp:lastPrinted>
  <dcterms:created xsi:type="dcterms:W3CDTF">2012-11-28T11:03:00Z</dcterms:created>
  <dcterms:modified xsi:type="dcterms:W3CDTF">2012-11-28T12:14:00Z</dcterms:modified>
</cp:coreProperties>
</file>