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55817" w:rsidP="00955817">
      <w:pPr>
        <w:pStyle w:val="Title"/>
        <w:bidi w:val="0"/>
        <w:rPr>
          <w:rFonts w:ascii="Arial" w:hAnsi="Arial" w:cs="Arial"/>
        </w:rPr>
      </w:pPr>
      <w:r>
        <w:rPr>
          <w:rFonts w:ascii="Arial" w:hAnsi="Arial" w:cs="Arial"/>
        </w:rPr>
        <w:t>NÁRODNÁ RADA SLOVENSKEJ REPUBLIKY</w:t>
      </w:r>
    </w:p>
    <w:p w:rsidR="00955817" w:rsidP="00955817">
      <w:pPr>
        <w:bidi w:val="0"/>
        <w:jc w:val="center"/>
        <w:rPr>
          <w:rFonts w:ascii="Arial" w:hAnsi="Arial" w:cs="Arial"/>
          <w:b/>
          <w:bCs/>
          <w:sz w:val="28"/>
        </w:rPr>
      </w:pPr>
      <w:r>
        <w:rPr>
          <w:rFonts w:ascii="Arial" w:hAnsi="Arial" w:cs="Arial"/>
          <w:b/>
          <w:bCs/>
          <w:sz w:val="28"/>
        </w:rPr>
        <w:t>VI. volebné obdobie</w:t>
      </w:r>
    </w:p>
    <w:p w:rsidR="00955817" w:rsidP="00955817">
      <w:pPr>
        <w:bidi w:val="0"/>
        <w:jc w:val="center"/>
        <w:rPr>
          <w:rFonts w:ascii="Arial" w:hAnsi="Arial" w:cs="Arial"/>
          <w:b/>
          <w:bCs/>
          <w:sz w:val="28"/>
        </w:rPr>
      </w:pPr>
    </w:p>
    <w:p w:rsidR="00955817" w:rsidP="00955817">
      <w:pPr>
        <w:bidi w:val="0"/>
        <w:jc w:val="center"/>
        <w:rPr>
          <w:rFonts w:ascii="Arial" w:hAnsi="Arial" w:cs="Arial"/>
          <w:b/>
          <w:bCs/>
          <w:sz w:val="28"/>
        </w:rPr>
      </w:pPr>
    </w:p>
    <w:p w:rsidR="00955817" w:rsidP="00955817">
      <w:pPr>
        <w:bidi w:val="0"/>
        <w:jc w:val="both"/>
        <w:rPr>
          <w:rFonts w:ascii="Arial" w:hAnsi="Arial" w:cs="Arial"/>
        </w:rPr>
      </w:pPr>
    </w:p>
    <w:p w:rsidR="00955817" w:rsidP="00955817">
      <w:pPr>
        <w:bidi w:val="0"/>
        <w:jc w:val="both"/>
        <w:rPr>
          <w:rFonts w:ascii="Arial" w:hAnsi="Arial" w:cs="Arial"/>
        </w:rPr>
      </w:pPr>
      <w:r>
        <w:rPr>
          <w:rFonts w:ascii="Arial" w:hAnsi="Arial" w:cs="Arial"/>
        </w:rPr>
        <w:t>CRD-2287/2012</w:t>
      </w:r>
    </w:p>
    <w:p w:rsidR="00955817" w:rsidP="00955817">
      <w:pPr>
        <w:bidi w:val="0"/>
        <w:jc w:val="both"/>
        <w:rPr>
          <w:rFonts w:ascii="Arial" w:hAnsi="Arial" w:cs="Arial"/>
        </w:rPr>
      </w:pPr>
    </w:p>
    <w:p w:rsidR="00955817" w:rsidP="00955817">
      <w:pPr>
        <w:bidi w:val="0"/>
        <w:jc w:val="center"/>
        <w:rPr>
          <w:rFonts w:ascii="Arial" w:hAnsi="Arial" w:cs="Arial"/>
          <w:b/>
          <w:bCs/>
          <w:sz w:val="32"/>
          <w:szCs w:val="32"/>
        </w:rPr>
      </w:pPr>
    </w:p>
    <w:p w:rsidR="00955817" w:rsidP="00955817">
      <w:pPr>
        <w:bidi w:val="0"/>
        <w:jc w:val="center"/>
        <w:rPr>
          <w:rFonts w:ascii="Arial" w:hAnsi="Arial" w:cs="Arial"/>
          <w:b/>
          <w:bCs/>
          <w:sz w:val="32"/>
          <w:szCs w:val="32"/>
        </w:rPr>
      </w:pPr>
    </w:p>
    <w:p w:rsidR="00955817" w:rsidP="00955817">
      <w:pPr>
        <w:bidi w:val="0"/>
        <w:jc w:val="center"/>
        <w:rPr>
          <w:rFonts w:ascii="Arial" w:hAnsi="Arial" w:cs="Arial"/>
          <w:b/>
          <w:bCs/>
          <w:sz w:val="32"/>
          <w:szCs w:val="32"/>
        </w:rPr>
      </w:pPr>
    </w:p>
    <w:p w:rsidR="00955817" w:rsidP="00955817">
      <w:pPr>
        <w:bidi w:val="0"/>
        <w:jc w:val="center"/>
        <w:rPr>
          <w:rFonts w:ascii="Arial" w:hAnsi="Arial" w:cs="Arial"/>
          <w:b/>
          <w:bCs/>
          <w:sz w:val="32"/>
          <w:szCs w:val="32"/>
        </w:rPr>
      </w:pPr>
      <w:r>
        <w:rPr>
          <w:rFonts w:ascii="Arial" w:hAnsi="Arial" w:cs="Arial"/>
          <w:b/>
          <w:bCs/>
          <w:sz w:val="32"/>
          <w:szCs w:val="32"/>
        </w:rPr>
        <w:t>289a</w:t>
      </w:r>
    </w:p>
    <w:p w:rsidR="00955817" w:rsidP="00955817">
      <w:pPr>
        <w:bidi w:val="0"/>
        <w:jc w:val="center"/>
        <w:rPr>
          <w:rFonts w:ascii="Arial" w:hAnsi="Arial" w:cs="Arial"/>
          <w:b/>
          <w:bCs/>
          <w:sz w:val="28"/>
        </w:rPr>
      </w:pPr>
    </w:p>
    <w:p w:rsidR="00955817" w:rsidP="00955817">
      <w:pPr>
        <w:bidi w:val="0"/>
        <w:jc w:val="center"/>
        <w:rPr>
          <w:rFonts w:ascii="Arial" w:hAnsi="Arial" w:cs="Arial"/>
          <w:b/>
          <w:bCs/>
          <w:sz w:val="28"/>
        </w:rPr>
      </w:pPr>
      <w:r>
        <w:rPr>
          <w:rFonts w:ascii="Arial" w:hAnsi="Arial" w:cs="Arial"/>
          <w:b/>
          <w:bCs/>
          <w:sz w:val="28"/>
        </w:rPr>
        <w:t>S p o l o č n á     s p r á v a</w:t>
      </w:r>
    </w:p>
    <w:p w:rsidR="00955817" w:rsidP="00955817">
      <w:pPr>
        <w:bidi w:val="0"/>
        <w:jc w:val="center"/>
        <w:rPr>
          <w:rFonts w:ascii="Arial" w:hAnsi="Arial" w:cs="Arial"/>
          <w:b/>
          <w:bCs/>
          <w:sz w:val="28"/>
        </w:rPr>
      </w:pPr>
    </w:p>
    <w:p w:rsidR="00955817" w:rsidP="00955817">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w:t>
      </w:r>
      <w:r>
        <w:rPr>
          <w:rFonts w:ascii="Arial" w:hAnsi="Arial" w:cs="Arial"/>
          <w:b/>
        </w:rPr>
        <w:t xml:space="preserve">zákona o obchodovaní s emisnými kvótami a o zmene a doplnení niektorých zákonov </w:t>
      </w:r>
      <w:r>
        <w:rPr>
          <w:rFonts w:ascii="Arial" w:hAnsi="Arial" w:cs="Arial"/>
          <w:b/>
          <w:bCs/>
        </w:rPr>
        <w:t>(tlač 289) vo výboroch Národnej rady Slovenskej republiky v druhom čítaní</w:t>
      </w:r>
    </w:p>
    <w:p w:rsidR="00955817" w:rsidP="00955817">
      <w:pPr>
        <w:bidi w:val="0"/>
        <w:jc w:val="both"/>
        <w:rPr>
          <w:rFonts w:ascii="Arial" w:hAnsi="Arial" w:cs="Arial"/>
          <w:b/>
          <w:bCs/>
        </w:rPr>
      </w:pPr>
    </w:p>
    <w:p w:rsidR="00955817" w:rsidP="00955817">
      <w:pPr>
        <w:bidi w:val="0"/>
        <w:jc w:val="both"/>
        <w:rPr>
          <w:rFonts w:ascii="Arial" w:hAnsi="Arial" w:cs="Arial"/>
          <w:b/>
          <w:bCs/>
        </w:rPr>
      </w:pPr>
    </w:p>
    <w:p w:rsidR="00955817" w:rsidP="00955817">
      <w:pPr>
        <w:bidi w:val="0"/>
        <w:jc w:val="both"/>
        <w:rPr>
          <w:rFonts w:ascii="Arial" w:hAnsi="Arial" w:cs="Arial"/>
        </w:rPr>
      </w:pPr>
    </w:p>
    <w:p w:rsidR="00955817" w:rsidP="00955817">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55817" w:rsidP="00955817">
      <w:pPr>
        <w:bidi w:val="0"/>
        <w:jc w:val="both"/>
        <w:rPr>
          <w:rFonts w:ascii="Arial" w:hAnsi="Arial" w:cs="Arial"/>
        </w:rPr>
      </w:pPr>
    </w:p>
    <w:p w:rsidR="00955817" w:rsidP="00955817">
      <w:pPr>
        <w:bidi w:val="0"/>
        <w:jc w:val="both"/>
        <w:rPr>
          <w:rFonts w:ascii="Arial" w:hAnsi="Arial" w:cs="Arial"/>
        </w:rPr>
      </w:pPr>
    </w:p>
    <w:p w:rsidR="00955817" w:rsidP="00955817">
      <w:pPr>
        <w:bidi w:val="0"/>
        <w:jc w:val="center"/>
        <w:rPr>
          <w:rFonts w:ascii="Arial" w:hAnsi="Arial" w:cs="Arial"/>
          <w:b/>
          <w:bCs/>
        </w:rPr>
      </w:pPr>
      <w:r>
        <w:rPr>
          <w:rFonts w:ascii="Arial" w:hAnsi="Arial" w:cs="Arial"/>
          <w:b/>
          <w:bCs/>
        </w:rPr>
        <w:t>I.</w:t>
      </w:r>
    </w:p>
    <w:p w:rsidR="00955817" w:rsidP="00955817">
      <w:pPr>
        <w:bidi w:val="0"/>
        <w:jc w:val="both"/>
        <w:rPr>
          <w:rFonts w:ascii="Arial" w:hAnsi="Arial" w:cs="Arial"/>
        </w:rPr>
      </w:pPr>
    </w:p>
    <w:p w:rsidR="00955817" w:rsidP="00955817">
      <w:pPr>
        <w:bidi w:val="0"/>
        <w:jc w:val="both"/>
        <w:rPr>
          <w:rFonts w:ascii="Arial" w:hAnsi="Arial" w:cs="Arial"/>
        </w:rPr>
      </w:pPr>
      <w:r>
        <w:rPr>
          <w:rFonts w:ascii="Arial" w:hAnsi="Arial" w:cs="Arial"/>
        </w:rPr>
        <w:tab/>
      </w:r>
    </w:p>
    <w:p w:rsidR="00955817" w:rsidP="00955817">
      <w:pPr>
        <w:pStyle w:val="BodyText"/>
        <w:bidi w:val="0"/>
        <w:rPr>
          <w:rFonts w:ascii="Arial" w:hAnsi="Arial" w:cs="Arial"/>
        </w:rPr>
      </w:pPr>
      <w:r>
        <w:rPr>
          <w:rFonts w:ascii="Arial" w:hAnsi="Arial" w:cs="Arial"/>
        </w:rPr>
        <w:tab/>
        <w:t>Národná rada Slovenskej rep</w:t>
      </w:r>
      <w:r w:rsidR="00797A6E">
        <w:rPr>
          <w:rFonts w:ascii="Arial" w:hAnsi="Arial" w:cs="Arial"/>
        </w:rPr>
        <w:t>ubliky uznesením č. 345 z 27. novembra</w:t>
      </w:r>
      <w:r>
        <w:rPr>
          <w:rFonts w:ascii="Arial" w:hAnsi="Arial" w:cs="Arial"/>
        </w:rPr>
        <w:t xml:space="preserve"> 2012 pridelila vládny návrh zákona </w:t>
      </w:r>
      <w:r w:rsidRPr="00955817">
        <w:rPr>
          <w:rFonts w:ascii="Arial" w:hAnsi="Arial" w:cs="Arial"/>
        </w:rPr>
        <w:t xml:space="preserve">o obchodovaní s emisnými kvótami a o zmene a doplnení niektorých zákonov </w:t>
      </w:r>
      <w:r w:rsidRPr="00955817">
        <w:rPr>
          <w:rFonts w:ascii="Arial" w:hAnsi="Arial" w:cs="Arial"/>
          <w:bCs/>
        </w:rPr>
        <w:t>(tlač 289)</w:t>
      </w:r>
      <w:r>
        <w:rPr>
          <w:rFonts w:ascii="Arial" w:hAnsi="Arial" w:cs="Arial"/>
          <w:b/>
          <w:bCs/>
        </w:rPr>
        <w:t xml:space="preserve">  </w:t>
      </w:r>
      <w:r>
        <w:rPr>
          <w:rFonts w:ascii="Arial" w:hAnsi="Arial" w:cs="Arial"/>
        </w:rPr>
        <w:t xml:space="preserve"> na prerokovanie týmto výborom:</w:t>
      </w:r>
    </w:p>
    <w:p w:rsidR="00955817" w:rsidP="00955817">
      <w:pPr>
        <w:pStyle w:val="BodyText"/>
        <w:bidi w:val="0"/>
        <w:rPr>
          <w:rFonts w:ascii="Arial" w:hAnsi="Arial" w:cs="Arial"/>
        </w:rPr>
      </w:pPr>
    </w:p>
    <w:p w:rsidR="00955817" w:rsidP="00955817">
      <w:pPr>
        <w:pStyle w:val="BodyText"/>
        <w:bidi w:val="0"/>
        <w:rPr>
          <w:rFonts w:ascii="Arial" w:hAnsi="Arial" w:cs="Arial"/>
          <w:b/>
          <w:bCs/>
        </w:rPr>
      </w:pPr>
      <w:r>
        <w:rPr>
          <w:rFonts w:ascii="Arial" w:hAnsi="Arial" w:cs="Arial"/>
          <w:b/>
          <w:bCs/>
        </w:rPr>
        <w:tab/>
        <w:t xml:space="preserve">Ústavnoprávnemu výboru Národnej rady Slovenskej republiky </w:t>
      </w:r>
    </w:p>
    <w:p w:rsidR="00955817" w:rsidP="00955817">
      <w:pPr>
        <w:pStyle w:val="BodyText"/>
        <w:bidi w:val="0"/>
        <w:ind w:left="708"/>
        <w:rPr>
          <w:rFonts w:ascii="Arial" w:hAnsi="Arial" w:cs="Arial"/>
          <w:b/>
          <w:bCs/>
        </w:rPr>
      </w:pPr>
      <w:r>
        <w:rPr>
          <w:rFonts w:ascii="Arial" w:hAnsi="Arial" w:cs="Arial"/>
          <w:b/>
          <w:bCs/>
        </w:rPr>
        <w:t>Výboru Národnej rady Slovenskej republiky pre hospodárske záležitosti a</w:t>
      </w:r>
    </w:p>
    <w:p w:rsidR="00955817" w:rsidP="00955817">
      <w:pPr>
        <w:pStyle w:val="BodyText"/>
        <w:bidi w:val="0"/>
        <w:ind w:left="708"/>
        <w:rPr>
          <w:rFonts w:ascii="Arial" w:hAnsi="Arial" w:cs="Arial"/>
          <w:b/>
        </w:rPr>
      </w:pPr>
      <w:r>
        <w:rPr>
          <w:rFonts w:ascii="Arial" w:hAnsi="Arial" w:cs="Arial"/>
          <w:b/>
        </w:rPr>
        <w:t xml:space="preserve">Výboru Národnej rady Slovenskej republiky pre pôdohospodárstvo a životné prostredie </w:t>
      </w:r>
    </w:p>
    <w:p w:rsidR="00955817" w:rsidP="00955817">
      <w:pPr>
        <w:pStyle w:val="BodyText"/>
        <w:bidi w:val="0"/>
        <w:rPr>
          <w:rFonts w:ascii="Arial" w:hAnsi="Arial" w:cs="Arial"/>
          <w:b/>
          <w:bCs/>
        </w:rPr>
      </w:pPr>
    </w:p>
    <w:p w:rsidR="00955817" w:rsidP="00955817">
      <w:pPr>
        <w:pStyle w:val="BodyText"/>
        <w:bidi w:val="0"/>
        <w:ind w:left="708"/>
        <w:rPr>
          <w:rFonts w:ascii="Arial" w:hAnsi="Arial" w:cs="Arial"/>
          <w:b/>
        </w:rPr>
      </w:pPr>
    </w:p>
    <w:p w:rsidR="00955817" w:rsidP="00955817">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955817" w:rsidP="00955817">
      <w:pPr>
        <w:pStyle w:val="BodyText"/>
        <w:bidi w:val="0"/>
        <w:rPr>
          <w:rFonts w:ascii="Arial" w:hAnsi="Arial" w:cs="Arial"/>
        </w:rPr>
      </w:pPr>
    </w:p>
    <w:p w:rsidR="00955817" w:rsidRPr="00797A6E" w:rsidP="00797A6E">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955817" w:rsidP="00955817">
      <w:pPr>
        <w:pStyle w:val="BodyText"/>
        <w:bidi w:val="0"/>
        <w:jc w:val="center"/>
        <w:rPr>
          <w:rFonts w:ascii="Arial" w:hAnsi="Arial" w:cs="Arial"/>
          <w:b/>
          <w:bCs/>
        </w:rPr>
      </w:pPr>
    </w:p>
    <w:p w:rsidR="00955817" w:rsidP="00955817">
      <w:pPr>
        <w:pStyle w:val="BodyText"/>
        <w:bidi w:val="0"/>
        <w:jc w:val="center"/>
        <w:rPr>
          <w:rFonts w:ascii="Arial" w:hAnsi="Arial" w:cs="Arial"/>
          <w:b/>
          <w:bCs/>
        </w:rPr>
      </w:pPr>
      <w:r>
        <w:rPr>
          <w:rFonts w:ascii="Arial" w:hAnsi="Arial" w:cs="Arial"/>
          <w:b/>
          <w:bCs/>
        </w:rPr>
        <w:t>II.</w:t>
      </w:r>
    </w:p>
    <w:p w:rsidR="00955817" w:rsidP="00955817">
      <w:pPr>
        <w:pStyle w:val="BodyText"/>
        <w:bidi w:val="0"/>
        <w:rPr>
          <w:rFonts w:ascii="Arial" w:hAnsi="Arial" w:cs="Arial"/>
        </w:rPr>
      </w:pPr>
    </w:p>
    <w:p w:rsidR="00955817" w:rsidP="00955817">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955817" w:rsidP="00955817">
      <w:pPr>
        <w:pStyle w:val="BodyText"/>
        <w:bidi w:val="0"/>
        <w:rPr>
          <w:rFonts w:ascii="Arial" w:hAnsi="Arial" w:cs="Arial"/>
        </w:rPr>
      </w:pPr>
    </w:p>
    <w:p w:rsidR="00955817" w:rsidP="00955817">
      <w:pPr>
        <w:pStyle w:val="BodyText"/>
        <w:bidi w:val="0"/>
        <w:rPr>
          <w:rFonts w:ascii="Arial" w:hAnsi="Arial" w:cs="Arial"/>
        </w:rPr>
      </w:pPr>
    </w:p>
    <w:p w:rsidR="00955817" w:rsidP="00955817">
      <w:pPr>
        <w:pStyle w:val="BodyText"/>
        <w:bidi w:val="0"/>
        <w:jc w:val="center"/>
        <w:rPr>
          <w:rFonts w:ascii="Arial" w:hAnsi="Arial" w:cs="Arial"/>
          <w:b/>
          <w:bCs/>
        </w:rPr>
      </w:pPr>
      <w:r>
        <w:rPr>
          <w:rFonts w:ascii="Arial" w:hAnsi="Arial" w:cs="Arial"/>
          <w:b/>
          <w:bCs/>
        </w:rPr>
        <w:t>III.</w:t>
      </w:r>
    </w:p>
    <w:p w:rsidR="00955817" w:rsidP="00955817">
      <w:pPr>
        <w:pStyle w:val="BodyText"/>
        <w:bidi w:val="0"/>
        <w:jc w:val="center"/>
        <w:rPr>
          <w:rFonts w:ascii="Arial" w:hAnsi="Arial" w:cs="Arial"/>
          <w:b/>
          <w:bCs/>
        </w:rPr>
      </w:pPr>
    </w:p>
    <w:p w:rsidR="00955817" w:rsidP="00955817">
      <w:pPr>
        <w:pStyle w:val="BodyText"/>
        <w:bidi w:val="0"/>
        <w:rPr>
          <w:rFonts w:ascii="Arial" w:hAnsi="Arial" w:cs="Arial"/>
          <w:b/>
          <w:bCs/>
        </w:rPr>
      </w:pPr>
    </w:p>
    <w:p w:rsidR="00955817" w:rsidP="00955817">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955817" w:rsidP="00955817">
      <w:pPr>
        <w:pStyle w:val="BodyText"/>
        <w:bidi w:val="0"/>
        <w:rPr>
          <w:rFonts w:ascii="Arial" w:hAnsi="Arial" w:cs="Arial"/>
        </w:rPr>
      </w:pPr>
    </w:p>
    <w:p w:rsidR="00955817" w:rsidP="00955817">
      <w:pPr>
        <w:pStyle w:val="BodyText"/>
        <w:bidi w:val="0"/>
        <w:rPr>
          <w:rFonts w:ascii="Arial" w:hAnsi="Arial" w:cs="Arial"/>
          <w:b/>
        </w:rPr>
      </w:pPr>
      <w:r>
        <w:rPr>
          <w:rFonts w:ascii="Arial" w:hAnsi="Arial" w:cs="Arial"/>
        </w:rPr>
        <w:tab/>
        <w:t xml:space="preserve">Ústavnoprávny   výbor    Národnej   rady  Slovenskej   republiky  </w:t>
      </w:r>
      <w:r w:rsidR="00FC6985">
        <w:rPr>
          <w:rFonts w:ascii="Arial" w:hAnsi="Arial" w:cs="Arial"/>
        </w:rPr>
        <w:t xml:space="preserve"> uznesením č. 155</w:t>
      </w:r>
      <w:r>
        <w:rPr>
          <w:rFonts w:ascii="Arial" w:hAnsi="Arial" w:cs="Arial"/>
        </w:rPr>
        <w:t xml:space="preserve"> z</w:t>
      </w:r>
      <w:r w:rsidR="00FC6985">
        <w:rPr>
          <w:rFonts w:ascii="Arial" w:hAnsi="Arial" w:cs="Arial"/>
        </w:rPr>
        <w:t> 28. novembra</w:t>
      </w:r>
      <w:r>
        <w:rPr>
          <w:rFonts w:ascii="Arial" w:hAnsi="Arial" w:cs="Arial"/>
        </w:rPr>
        <w:t xml:space="preserve">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w:t>
      </w:r>
      <w:r w:rsidR="00FC6985">
        <w:rPr>
          <w:rFonts w:ascii="Arial" w:hAnsi="Arial" w:cs="Arial"/>
          <w:b/>
        </w:rPr>
        <w:t>.</w:t>
      </w:r>
      <w:r>
        <w:rPr>
          <w:rFonts w:ascii="Arial" w:hAnsi="Arial" w:cs="Arial"/>
          <w:b/>
        </w:rPr>
        <w:t xml:space="preserve"> </w:t>
      </w:r>
    </w:p>
    <w:p w:rsidR="00955817" w:rsidP="00955817">
      <w:pPr>
        <w:pStyle w:val="BodyText"/>
        <w:bidi w:val="0"/>
        <w:rPr>
          <w:rFonts w:ascii="Arial" w:hAnsi="Arial" w:cs="Arial"/>
          <w:b/>
        </w:rPr>
      </w:pPr>
    </w:p>
    <w:p w:rsidR="00955817" w:rsidRPr="00955817" w:rsidP="00955817">
      <w:pPr>
        <w:pStyle w:val="BodyText"/>
        <w:bidi w:val="0"/>
        <w:rPr>
          <w:rFonts w:ascii="Arial" w:hAnsi="Arial" w:cs="Arial"/>
          <w:b/>
        </w:rPr>
      </w:pPr>
      <w:r>
        <w:rPr>
          <w:rFonts w:ascii="Arial" w:hAnsi="Arial" w:cs="Arial"/>
          <w:b/>
        </w:rPr>
        <w:tab/>
      </w:r>
      <w:r w:rsidRPr="00955817">
        <w:rPr>
          <w:rFonts w:ascii="Arial" w:hAnsi="Arial" w:cs="Arial"/>
        </w:rPr>
        <w:t>Výbor Národnej rad</w:t>
      </w:r>
      <w:r>
        <w:rPr>
          <w:rFonts w:ascii="Arial" w:hAnsi="Arial" w:cs="Arial"/>
        </w:rPr>
        <w:t>y Slovenskej republiky pre hospodár</w:t>
      </w:r>
      <w:r w:rsidR="00FC6985">
        <w:rPr>
          <w:rFonts w:ascii="Arial" w:hAnsi="Arial" w:cs="Arial"/>
        </w:rPr>
        <w:t>ske záležitosti uznesením č. 100</w:t>
      </w:r>
      <w:r>
        <w:rPr>
          <w:rFonts w:ascii="Arial" w:hAnsi="Arial" w:cs="Arial"/>
        </w:rPr>
        <w:t xml:space="preserve"> z</w:t>
      </w:r>
      <w:r w:rsidR="00FC6985">
        <w:rPr>
          <w:rFonts w:ascii="Arial" w:hAnsi="Arial" w:cs="Arial"/>
        </w:rPr>
        <w:t> 28. novembra</w:t>
      </w:r>
      <w:r>
        <w:rPr>
          <w:rFonts w:ascii="Arial" w:hAnsi="Arial" w:cs="Arial"/>
        </w:rPr>
        <w:t xml:space="preserve">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w:t>
      </w:r>
      <w:r w:rsidR="00FC6985">
        <w:rPr>
          <w:rFonts w:ascii="Arial" w:hAnsi="Arial" w:cs="Arial"/>
          <w:b/>
        </w:rPr>
        <w:t>.</w:t>
      </w:r>
    </w:p>
    <w:p w:rsidR="00955817" w:rsidP="00955817">
      <w:pPr>
        <w:pStyle w:val="BodyText"/>
        <w:bidi w:val="0"/>
        <w:rPr>
          <w:rFonts w:ascii="Arial" w:hAnsi="Arial" w:cs="Arial"/>
          <w:b/>
        </w:rPr>
      </w:pPr>
    </w:p>
    <w:p w:rsidR="00955817" w:rsidP="00955817">
      <w:pPr>
        <w:bidi w:val="0"/>
        <w:ind w:firstLine="708"/>
        <w:jc w:val="both"/>
        <w:rPr>
          <w:rFonts w:ascii="Arial" w:hAnsi="Arial" w:cs="Arial"/>
          <w:b/>
        </w:rPr>
      </w:pPr>
      <w:r>
        <w:rPr>
          <w:rFonts w:ascii="Arial" w:hAnsi="Arial" w:cs="Arial"/>
        </w:rPr>
        <w:t>Výbor  Národnej rady Slovenskej republiky pre pôdohospodárstvo a živ</w:t>
      </w:r>
      <w:r w:rsidR="00797A6E">
        <w:rPr>
          <w:rFonts w:ascii="Arial" w:hAnsi="Arial" w:cs="Arial"/>
        </w:rPr>
        <w:t>otné prostredie uznesením č. 91</w:t>
      </w:r>
      <w:r>
        <w:rPr>
          <w:rFonts w:ascii="Arial" w:hAnsi="Arial" w:cs="Arial"/>
        </w:rPr>
        <w:t xml:space="preserve"> z</w:t>
      </w:r>
      <w:r w:rsidR="00797A6E">
        <w:rPr>
          <w:rFonts w:ascii="Arial" w:hAnsi="Arial" w:cs="Arial"/>
        </w:rPr>
        <w:t> 28. novembra</w:t>
      </w:r>
      <w:r w:rsidR="00FC6985">
        <w:rPr>
          <w:rFonts w:ascii="Arial" w:hAnsi="Arial" w:cs="Arial"/>
        </w:rPr>
        <w:t xml:space="preserve"> </w:t>
      </w:r>
      <w:r>
        <w:rPr>
          <w:rFonts w:ascii="Arial" w:hAnsi="Arial" w:cs="Arial"/>
        </w:rPr>
        <w:t xml:space="preserve">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955817" w:rsidP="00955817">
      <w:pPr>
        <w:pStyle w:val="BodyText"/>
        <w:bidi w:val="0"/>
        <w:rPr>
          <w:rFonts w:ascii="Arial" w:hAnsi="Arial" w:cs="Arial"/>
          <w:b/>
        </w:rPr>
      </w:pPr>
    </w:p>
    <w:p w:rsidR="00955817" w:rsidP="00955817">
      <w:pPr>
        <w:pStyle w:val="BodyText"/>
        <w:bidi w:val="0"/>
        <w:rPr>
          <w:rFonts w:ascii="Arial" w:hAnsi="Arial" w:cs="Arial"/>
        </w:rPr>
      </w:pPr>
    </w:p>
    <w:p w:rsidR="00955817" w:rsidP="00955817">
      <w:pPr>
        <w:pStyle w:val="BodyText"/>
        <w:bidi w:val="0"/>
        <w:jc w:val="center"/>
        <w:rPr>
          <w:rFonts w:ascii="Arial" w:hAnsi="Arial" w:cs="Arial"/>
          <w:b/>
          <w:bCs/>
        </w:rPr>
      </w:pPr>
      <w:r>
        <w:rPr>
          <w:rFonts w:ascii="Arial" w:hAnsi="Arial" w:cs="Arial"/>
          <w:b/>
          <w:bCs/>
        </w:rPr>
        <w:t>IV.</w:t>
      </w:r>
    </w:p>
    <w:p w:rsidR="00955817" w:rsidP="00955817">
      <w:pPr>
        <w:pStyle w:val="BodyText"/>
        <w:bidi w:val="0"/>
        <w:rPr>
          <w:rFonts w:ascii="Arial" w:hAnsi="Arial" w:cs="Arial"/>
        </w:rPr>
      </w:pPr>
    </w:p>
    <w:p w:rsidR="00955817" w:rsidP="00955817">
      <w:pPr>
        <w:pStyle w:val="BodyText"/>
        <w:bidi w:val="0"/>
        <w:rPr>
          <w:rFonts w:ascii="Arial" w:hAnsi="Arial" w:cs="Arial"/>
        </w:rPr>
      </w:pPr>
      <w:r>
        <w:rPr>
          <w:rFonts w:ascii="Arial" w:hAnsi="Arial" w:cs="Arial"/>
        </w:rPr>
        <w:tab/>
      </w:r>
    </w:p>
    <w:p w:rsidR="00955817" w:rsidP="00955817">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955817" w:rsidP="00797A6E">
      <w:pPr>
        <w:pStyle w:val="BodyText"/>
        <w:bidi w:val="0"/>
        <w:rPr>
          <w:rFonts w:ascii="Arial" w:hAnsi="Arial" w:cs="Arial"/>
          <w:b/>
          <w:bCs/>
        </w:rPr>
      </w:pPr>
    </w:p>
    <w:p w:rsidR="00797A6E" w:rsidRPr="00C22FA6" w:rsidP="00797A6E">
      <w:pPr>
        <w:pStyle w:val="PlainText"/>
        <w:numPr>
          <w:numId w:val="2"/>
        </w:numPr>
        <w:tabs>
          <w:tab w:val="num" w:pos="284"/>
        </w:tabs>
        <w:bidi w:val="0"/>
        <w:ind w:left="284" w:hanging="284"/>
        <w:rPr>
          <w:rFonts w:ascii="Arial" w:hAnsi="Arial" w:cs="Arial"/>
          <w:sz w:val="24"/>
          <w:szCs w:val="24"/>
        </w:rPr>
      </w:pPr>
      <w:r w:rsidRPr="00C22FA6">
        <w:rPr>
          <w:rFonts w:ascii="Arial" w:hAnsi="Arial" w:cs="Arial"/>
          <w:sz w:val="24"/>
          <w:szCs w:val="24"/>
        </w:rPr>
        <w:t xml:space="preserve">K čl. I § 6 ods. 3 </w:t>
      </w:r>
    </w:p>
    <w:p w:rsidR="00797A6E" w:rsidRPr="00C22FA6" w:rsidP="00797A6E">
      <w:pPr>
        <w:pStyle w:val="PlainText"/>
        <w:bidi w:val="0"/>
        <w:rPr>
          <w:rFonts w:ascii="Arial" w:hAnsi="Arial" w:cs="Arial"/>
          <w:sz w:val="24"/>
          <w:szCs w:val="24"/>
        </w:rPr>
      </w:pPr>
      <w:r w:rsidRPr="00C22FA6">
        <w:rPr>
          <w:rFonts w:ascii="Arial" w:hAnsi="Arial" w:cs="Arial"/>
          <w:sz w:val="24"/>
          <w:szCs w:val="24"/>
        </w:rPr>
        <w:t>§ 6 ods. 3 znie:</w:t>
      </w:r>
    </w:p>
    <w:p w:rsidR="00797A6E" w:rsidRPr="00C22FA6" w:rsidP="00797A6E">
      <w:pPr>
        <w:bidi w:val="0"/>
        <w:ind w:firstLine="360"/>
        <w:jc w:val="both"/>
        <w:rPr>
          <w:rFonts w:ascii="Arial" w:hAnsi="Arial" w:cs="Arial"/>
          <w:szCs w:val="20"/>
        </w:rPr>
      </w:pPr>
      <w:r w:rsidRPr="00C22FA6">
        <w:rPr>
          <w:rFonts w:ascii="Arial" w:hAnsi="Arial" w:cs="Arial"/>
        </w:rPr>
        <w:t>„(3) Obvodný úrad životného prostredia zmení povolenie na vypúšťanie skleníkových plynov, ak sa zmenili podmienky, na ktorých základe bolo vydané povolenie.“.</w:t>
      </w:r>
    </w:p>
    <w:p w:rsidR="00797A6E" w:rsidP="00797A6E">
      <w:pPr>
        <w:bidi w:val="0"/>
        <w:ind w:firstLine="360"/>
        <w:jc w:val="both"/>
        <w:rPr>
          <w:rFonts w:ascii="Arial" w:hAnsi="Arial" w:cs="Arial"/>
        </w:rPr>
      </w:pPr>
    </w:p>
    <w:p w:rsidR="00797A6E" w:rsidRPr="00C22FA6" w:rsidP="00797A6E">
      <w:pPr>
        <w:bidi w:val="0"/>
        <w:ind w:left="3969"/>
        <w:jc w:val="both"/>
        <w:rPr>
          <w:rFonts w:ascii="Arial" w:hAnsi="Arial" w:cs="Arial"/>
        </w:rPr>
      </w:pPr>
      <w:r>
        <w:rPr>
          <w:rFonts w:ascii="Arial" w:hAnsi="Arial" w:cs="Arial"/>
        </w:rPr>
        <w:t>Ide o legislatívno-technickú úpravu z dôvodu vypustenia písmena b).</w:t>
      </w:r>
    </w:p>
    <w:p w:rsidR="00797A6E" w:rsidP="00797A6E">
      <w:pPr>
        <w:bidi w:val="0"/>
        <w:ind w:left="4253"/>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RPr="00C22FA6" w:rsidP="00797A6E">
      <w:pPr>
        <w:pStyle w:val="PlainText"/>
        <w:bidi w:val="0"/>
        <w:rPr>
          <w:rFonts w:ascii="Arial" w:hAnsi="Arial" w:cs="Arial"/>
          <w:b/>
          <w:sz w:val="24"/>
          <w:szCs w:val="24"/>
        </w:rPr>
      </w:pPr>
    </w:p>
    <w:p w:rsidR="00797A6E" w:rsidRPr="00C22FA6" w:rsidP="00797A6E">
      <w:pPr>
        <w:pStyle w:val="PlainText"/>
        <w:numPr>
          <w:numId w:val="2"/>
        </w:numPr>
        <w:tabs>
          <w:tab w:val="num" w:pos="284"/>
        </w:tabs>
        <w:bidi w:val="0"/>
        <w:ind w:left="284" w:hanging="284"/>
        <w:rPr>
          <w:rFonts w:ascii="Arial" w:hAnsi="Arial" w:cs="Arial"/>
          <w:b/>
          <w:sz w:val="24"/>
          <w:szCs w:val="24"/>
        </w:rPr>
      </w:pPr>
      <w:r w:rsidRPr="00C22FA6">
        <w:rPr>
          <w:rFonts w:ascii="Arial" w:hAnsi="Arial" w:cs="Arial"/>
          <w:sz w:val="24"/>
          <w:szCs w:val="24"/>
        </w:rPr>
        <w:t>K Čl. I § 6  ods. 5</w:t>
      </w:r>
    </w:p>
    <w:p w:rsidR="00797A6E" w:rsidRPr="00C22FA6" w:rsidP="00797A6E">
      <w:pPr>
        <w:pStyle w:val="PlainText"/>
        <w:bidi w:val="0"/>
        <w:jc w:val="both"/>
        <w:rPr>
          <w:rFonts w:ascii="Arial" w:hAnsi="Arial" w:cs="Arial"/>
          <w:b/>
          <w:sz w:val="24"/>
          <w:szCs w:val="24"/>
        </w:rPr>
      </w:pPr>
      <w:r w:rsidRPr="00C22FA6">
        <w:rPr>
          <w:rFonts w:ascii="Arial" w:hAnsi="Arial" w:cs="Arial"/>
          <w:sz w:val="24"/>
          <w:szCs w:val="24"/>
        </w:rPr>
        <w:t>V § 6 ods. 5 sa vypúšťajú slová  „a pre kvóty znečisťujúcich látok je správca registra systému.“.</w:t>
      </w:r>
    </w:p>
    <w:p w:rsidR="00797A6E" w:rsidP="00797A6E">
      <w:pPr>
        <w:bidi w:val="0"/>
        <w:jc w:val="both"/>
        <w:rPr>
          <w:rFonts w:ascii="Arial" w:hAnsi="Arial" w:cs="Arial"/>
        </w:rPr>
      </w:pPr>
    </w:p>
    <w:p w:rsidR="00797A6E" w:rsidRPr="00C22FA6" w:rsidP="00797A6E">
      <w:pPr>
        <w:bidi w:val="0"/>
        <w:ind w:left="3969"/>
        <w:jc w:val="both"/>
        <w:rPr>
          <w:rFonts w:ascii="Arial" w:hAnsi="Arial" w:cs="Arial"/>
        </w:rPr>
      </w:pPr>
      <w:r>
        <w:rPr>
          <w:rFonts w:ascii="Arial" w:hAnsi="Arial" w:cs="Arial"/>
        </w:rPr>
        <w:t>Ide o legislatívno-technickú úpravu a zosúladene s ustanovením § 26 ods. 1 písm. r) zákona, kde je ustanovená kompetencia Ministerstva životného prostredia SR spravovať register systému obchodovania.</w:t>
      </w:r>
      <w:r w:rsidRPr="00C22FA6">
        <w:rPr>
          <w:rFonts w:ascii="Arial" w:hAnsi="Arial" w:cs="Arial"/>
        </w:rPr>
        <w:t xml:space="preserve"> </w:t>
      </w:r>
    </w:p>
    <w:p w:rsidR="00797A6E" w:rsidP="00797A6E">
      <w:pPr>
        <w:bidi w:val="0"/>
        <w:jc w:val="center"/>
        <w:rPr>
          <w:rFonts w:ascii="Arial" w:hAnsi="Arial" w:cs="Arial"/>
          <w:b/>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rPr>
          <w:rFonts w:ascii="Arial" w:hAnsi="Arial" w:cs="Arial"/>
          <w:szCs w:val="24"/>
        </w:rPr>
      </w:pPr>
    </w:p>
    <w:p w:rsidR="00797A6E" w:rsidP="00797A6E">
      <w:pPr>
        <w:pStyle w:val="PlainText"/>
        <w:bidi w:val="0"/>
        <w:rPr>
          <w:rFonts w:ascii="Arial" w:hAnsi="Arial" w:cs="Arial"/>
          <w:szCs w:val="24"/>
        </w:rPr>
      </w:pPr>
    </w:p>
    <w:p w:rsidR="00797A6E" w:rsidRPr="00C22FA6" w:rsidP="00797A6E">
      <w:pPr>
        <w:pStyle w:val="PlainText"/>
        <w:bidi w:val="0"/>
        <w:rPr>
          <w:rFonts w:ascii="Arial" w:hAnsi="Arial" w:cs="Arial"/>
          <w:szCs w:val="24"/>
        </w:rPr>
      </w:pPr>
    </w:p>
    <w:p w:rsidR="00797A6E" w:rsidRPr="00C22FA6" w:rsidP="00797A6E">
      <w:pPr>
        <w:pStyle w:val="PlainText"/>
        <w:numPr>
          <w:numId w:val="2"/>
        </w:numPr>
        <w:tabs>
          <w:tab w:val="num" w:pos="284"/>
        </w:tabs>
        <w:bidi w:val="0"/>
        <w:ind w:left="284" w:hanging="284"/>
        <w:rPr>
          <w:rFonts w:ascii="Arial" w:hAnsi="Arial" w:cs="Arial"/>
          <w:sz w:val="24"/>
          <w:szCs w:val="24"/>
        </w:rPr>
      </w:pPr>
      <w:r w:rsidRPr="00C22FA6">
        <w:rPr>
          <w:rFonts w:ascii="Arial" w:hAnsi="Arial" w:cs="Arial"/>
          <w:sz w:val="24"/>
          <w:szCs w:val="24"/>
        </w:rPr>
        <w:t>K Čl. I § 10 ods.  1</w:t>
      </w:r>
    </w:p>
    <w:p w:rsidR="00797A6E" w:rsidRPr="00C22FA6" w:rsidP="00797A6E">
      <w:pPr>
        <w:pStyle w:val="PlainText"/>
        <w:bidi w:val="0"/>
        <w:rPr>
          <w:rFonts w:ascii="Arial" w:hAnsi="Arial" w:cs="Arial"/>
          <w:sz w:val="24"/>
          <w:szCs w:val="24"/>
        </w:rPr>
      </w:pPr>
      <w:r w:rsidRPr="00C22FA6">
        <w:rPr>
          <w:rFonts w:ascii="Arial" w:hAnsi="Arial" w:cs="Arial"/>
          <w:sz w:val="24"/>
          <w:szCs w:val="24"/>
        </w:rPr>
        <w:t>V § 10 ods. 1 sa vypúšťajú  slová “spôsobom a”.</w:t>
      </w:r>
    </w:p>
    <w:p w:rsidR="00797A6E" w:rsidRPr="00C22FA6" w:rsidP="00797A6E">
      <w:pPr>
        <w:pStyle w:val="PlainText"/>
        <w:bidi w:val="0"/>
        <w:rPr>
          <w:rFonts w:ascii="Arial" w:hAnsi="Arial" w:cs="Arial"/>
          <w:sz w:val="24"/>
          <w:szCs w:val="24"/>
        </w:rPr>
      </w:pPr>
    </w:p>
    <w:p w:rsidR="00797A6E" w:rsidP="00797A6E">
      <w:pPr>
        <w:bidi w:val="0"/>
        <w:ind w:left="3969"/>
        <w:jc w:val="both"/>
        <w:rPr>
          <w:rFonts w:ascii="Arial" w:hAnsi="Arial" w:cs="Arial"/>
        </w:rPr>
      </w:pPr>
      <w:r>
        <w:rPr>
          <w:rFonts w:ascii="Arial" w:hAnsi="Arial" w:cs="Arial"/>
        </w:rPr>
        <w:t>Spôsob zapisovania bezodplatných kvót je nadbytočné pri zapisovaní množstva bezodplatných kvót povinným účastníkom schém obchodovania.</w:t>
      </w:r>
    </w:p>
    <w:p w:rsidR="00797A6E" w:rsidP="00797A6E">
      <w:pPr>
        <w:bidi w:val="0"/>
        <w:ind w:left="4395"/>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ind w:left="4395"/>
        <w:jc w:val="both"/>
        <w:rPr>
          <w:rFonts w:ascii="Arial" w:hAnsi="Arial" w:cs="Arial"/>
        </w:rPr>
      </w:pPr>
    </w:p>
    <w:p w:rsidR="00797A6E" w:rsidP="00797A6E">
      <w:pPr>
        <w:bidi w:val="0"/>
        <w:ind w:left="4395"/>
        <w:jc w:val="both"/>
        <w:rPr>
          <w:rFonts w:ascii="Arial" w:hAnsi="Arial" w:cs="Arial"/>
        </w:rPr>
      </w:pPr>
    </w:p>
    <w:p w:rsidR="00797A6E" w:rsidRPr="00C22FA6" w:rsidP="00797A6E">
      <w:pPr>
        <w:bidi w:val="0"/>
        <w:ind w:left="4395"/>
        <w:jc w:val="both"/>
        <w:rPr>
          <w:rFonts w:ascii="Arial" w:hAnsi="Arial" w:cs="Arial"/>
        </w:rPr>
      </w:pPr>
    </w:p>
    <w:p w:rsidR="00797A6E" w:rsidRPr="00C22FA6" w:rsidP="00797A6E">
      <w:pPr>
        <w:numPr>
          <w:numId w:val="2"/>
        </w:numPr>
        <w:bidi w:val="0"/>
        <w:jc w:val="both"/>
        <w:rPr>
          <w:rFonts w:ascii="Arial" w:hAnsi="Arial" w:cs="Arial"/>
        </w:rPr>
      </w:pPr>
      <w:r w:rsidRPr="00C22FA6">
        <w:rPr>
          <w:rFonts w:ascii="Arial" w:hAnsi="Arial" w:cs="Arial"/>
        </w:rPr>
        <w:t>K Čl. I § 10 ods. 2</w:t>
      </w:r>
    </w:p>
    <w:p w:rsidR="00797A6E" w:rsidRPr="00C22FA6" w:rsidP="00797A6E">
      <w:pPr>
        <w:bidi w:val="0"/>
        <w:jc w:val="both"/>
        <w:rPr>
          <w:rFonts w:ascii="Arial" w:hAnsi="Arial" w:cs="Arial"/>
        </w:rPr>
      </w:pPr>
      <w:r w:rsidRPr="00C22FA6">
        <w:rPr>
          <w:rFonts w:ascii="Arial" w:hAnsi="Arial" w:cs="Arial"/>
        </w:rPr>
        <w:t xml:space="preserve">V § 10 odsek 2 sa na konci pripája táto veta: „Ak prevádzkovateľ nenahlási ministerstvu údaje podľa § 21 ods. 5 písm. b) až d), čím dôjde k neoprávnenému prideleniu bezodplatných kvót, je prevádzkovateľ povinný vrátiť neoprávnene pridelené bezodplatné kvóty najneskôr do 31. decembra príslušného kalendárneho roka, v ktorom mu boli bezodplatné kvóty neoprávnene pridelené.“ </w:t>
      </w:r>
    </w:p>
    <w:p w:rsidR="00797A6E" w:rsidRPr="00C22FA6" w:rsidP="00797A6E">
      <w:pPr>
        <w:bidi w:val="0"/>
        <w:jc w:val="both"/>
        <w:rPr>
          <w:rFonts w:ascii="Arial" w:hAnsi="Arial" w:cs="Arial"/>
        </w:rPr>
      </w:pPr>
    </w:p>
    <w:p w:rsidR="00797A6E" w:rsidRPr="00C22FA6" w:rsidP="00797A6E">
      <w:pPr>
        <w:bidi w:val="0"/>
        <w:ind w:left="3969"/>
        <w:jc w:val="both"/>
        <w:rPr>
          <w:rFonts w:ascii="Arial" w:hAnsi="Arial" w:cs="Arial"/>
        </w:rPr>
      </w:pPr>
      <w:r w:rsidRPr="00C22FA6">
        <w:rPr>
          <w:rFonts w:ascii="Arial" w:hAnsi="Arial" w:cs="Arial"/>
        </w:rPr>
        <w:t>Ide o právomoc členského štátu žiadať o prevádzkovateľa už pridelené emisné kvóty v prípade ak prevádzkovateľ nenahlási skutočnosti, ktoré vedú k zmene výšky bezodplatnej alokácie.</w:t>
      </w:r>
    </w:p>
    <w:p w:rsidR="00797A6E" w:rsidP="00797A6E">
      <w:pPr>
        <w:bidi w:val="0"/>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jc w:val="both"/>
        <w:rPr>
          <w:rFonts w:ascii="Arial" w:hAnsi="Arial" w:cs="Arial"/>
        </w:rPr>
      </w:pPr>
    </w:p>
    <w:p w:rsidR="00797A6E" w:rsidRPr="00C22FA6" w:rsidP="00797A6E">
      <w:pPr>
        <w:bidi w:val="0"/>
        <w:jc w:val="both"/>
        <w:rPr>
          <w:rFonts w:ascii="Arial" w:hAnsi="Arial" w:cs="Arial"/>
        </w:rPr>
      </w:pPr>
    </w:p>
    <w:p w:rsidR="00797A6E" w:rsidRPr="00C22FA6" w:rsidP="00797A6E">
      <w:pPr>
        <w:numPr>
          <w:numId w:val="2"/>
        </w:numPr>
        <w:bidi w:val="0"/>
        <w:jc w:val="both"/>
        <w:rPr>
          <w:rFonts w:ascii="Arial" w:hAnsi="Arial" w:cs="Arial"/>
        </w:rPr>
      </w:pPr>
      <w:r w:rsidRPr="00C22FA6">
        <w:rPr>
          <w:rFonts w:ascii="Arial" w:hAnsi="Arial" w:cs="Arial"/>
        </w:rPr>
        <w:t xml:space="preserve">K Čl. I § 10 ods. 8 </w:t>
      </w:r>
    </w:p>
    <w:p w:rsidR="00797A6E" w:rsidRPr="00C22FA6" w:rsidP="00797A6E">
      <w:pPr>
        <w:bidi w:val="0"/>
        <w:jc w:val="both"/>
        <w:rPr>
          <w:rFonts w:ascii="Arial" w:hAnsi="Arial" w:cs="Arial"/>
        </w:rPr>
      </w:pPr>
      <w:r w:rsidRPr="00C22FA6">
        <w:rPr>
          <w:rFonts w:ascii="Arial" w:hAnsi="Arial" w:cs="Arial"/>
        </w:rPr>
        <w:t xml:space="preserve">V § 10 odsek 8 sa vypúšťa veta: „Tieto kvóty sa pripíšu na účet rezervy Únie.“ </w:t>
      </w:r>
    </w:p>
    <w:p w:rsidR="00797A6E" w:rsidRPr="00C22FA6" w:rsidP="00797A6E">
      <w:pPr>
        <w:bidi w:val="0"/>
        <w:jc w:val="both"/>
        <w:rPr>
          <w:rFonts w:ascii="Arial" w:hAnsi="Arial" w:cs="Arial"/>
        </w:rPr>
      </w:pPr>
    </w:p>
    <w:p w:rsidR="00797A6E" w:rsidRPr="00C22FA6" w:rsidP="00797A6E">
      <w:pPr>
        <w:bidi w:val="0"/>
        <w:ind w:left="3969"/>
        <w:jc w:val="both"/>
        <w:rPr>
          <w:rFonts w:ascii="Arial" w:hAnsi="Arial" w:cs="Arial"/>
        </w:rPr>
      </w:pPr>
      <w:r w:rsidRPr="00C22FA6">
        <w:rPr>
          <w:rFonts w:ascii="Arial" w:hAnsi="Arial" w:cs="Arial"/>
        </w:rPr>
        <w:t xml:space="preserve">Ide o zosúladenie textácie s praktickým spôsobom toku kvót v softvéri EUTL, ktoré sa po vyradení prevádzky pripíšu na EÚ účet pre bezodplatné alokácie emisných kvót (EUAs). </w:t>
      </w:r>
    </w:p>
    <w:p w:rsidR="00797A6E" w:rsidP="00797A6E">
      <w:pPr>
        <w:bidi w:val="0"/>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jc w:val="both"/>
        <w:rPr>
          <w:rFonts w:ascii="Arial" w:hAnsi="Arial" w:cs="Arial"/>
        </w:rPr>
      </w:pPr>
    </w:p>
    <w:p w:rsidR="00797A6E" w:rsidRPr="00C22FA6" w:rsidP="00797A6E">
      <w:pPr>
        <w:bidi w:val="0"/>
        <w:jc w:val="both"/>
        <w:rPr>
          <w:rFonts w:ascii="Arial" w:hAnsi="Arial" w:cs="Arial"/>
        </w:rPr>
      </w:pPr>
    </w:p>
    <w:p w:rsidR="00797A6E" w:rsidRPr="00C22FA6" w:rsidP="00797A6E">
      <w:pPr>
        <w:numPr>
          <w:numId w:val="2"/>
        </w:numPr>
        <w:bidi w:val="0"/>
        <w:jc w:val="both"/>
        <w:rPr>
          <w:rFonts w:ascii="Arial" w:hAnsi="Arial" w:cs="Arial"/>
          <w:i/>
        </w:rPr>
      </w:pPr>
      <w:r w:rsidRPr="00C22FA6">
        <w:rPr>
          <w:rFonts w:ascii="Arial" w:hAnsi="Arial" w:cs="Arial"/>
        </w:rPr>
        <w:t>K Čl. I § 11 ods. 3 písm. d)</w:t>
      </w:r>
    </w:p>
    <w:p w:rsidR="00797A6E" w:rsidRPr="00C22FA6" w:rsidP="00797A6E">
      <w:pPr>
        <w:bidi w:val="0"/>
        <w:jc w:val="both"/>
        <w:rPr>
          <w:rFonts w:ascii="Arial" w:hAnsi="Arial" w:cs="Arial"/>
        </w:rPr>
      </w:pPr>
      <w:r w:rsidRPr="00C22FA6">
        <w:rPr>
          <w:rFonts w:ascii="Arial" w:hAnsi="Arial" w:cs="Arial"/>
        </w:rPr>
        <w:t xml:space="preserve">V § 11 ods. 3 písm. d) sa slovo „obmedzené“ nahrádza slovom „zakázané“.  </w:t>
      </w:r>
    </w:p>
    <w:p w:rsidR="00797A6E" w:rsidRPr="00C22FA6" w:rsidP="00797A6E">
      <w:pPr>
        <w:bidi w:val="0"/>
        <w:jc w:val="both"/>
        <w:rPr>
          <w:rFonts w:ascii="Arial" w:hAnsi="Arial" w:cs="Arial"/>
        </w:rPr>
      </w:pPr>
    </w:p>
    <w:p w:rsidR="00797A6E" w:rsidRPr="00C22FA6" w:rsidP="00797A6E">
      <w:pPr>
        <w:bidi w:val="0"/>
        <w:ind w:left="3969"/>
        <w:jc w:val="both"/>
        <w:rPr>
          <w:rFonts w:ascii="Arial" w:hAnsi="Arial" w:cs="Arial"/>
        </w:rPr>
      </w:pPr>
      <w:r w:rsidRPr="00C22FA6">
        <w:rPr>
          <w:rFonts w:ascii="Arial" w:hAnsi="Arial" w:cs="Arial"/>
        </w:rPr>
        <w:t>Ide o zosúladenie textácie so znením čl. 1 Nariadenia Komisie (EÚ) č. 550/2011 zo dňa 7. júna 2011, ktorý</w:t>
      </w:r>
      <w:r>
        <w:rPr>
          <w:rFonts w:ascii="Arial" w:hAnsi="Arial" w:cs="Arial"/>
        </w:rPr>
        <w:t xml:space="preserve">m sa podľa smernice Európskeho </w:t>
      </w:r>
      <w:r w:rsidRPr="00C22FA6">
        <w:rPr>
          <w:rFonts w:ascii="Arial" w:hAnsi="Arial" w:cs="Arial"/>
        </w:rPr>
        <w:t>parlamentu a Rady 2003/87/ES stanovujú určité obmedzenia vzťahujúce sa na využívanie medzinárodných kreditov z projektov priemyselných plynov (Ú. v. EÚ L 149, 8.6.2011),  podľa ktorého sa zakazuje využívanie medzinárodných kreditov z projektov zahŕňajúcich zneškodňovanie trifluórmetánu (HFC-23) a oxidu dusného (N2O) z výroby kyseliny adipovej.</w:t>
      </w:r>
    </w:p>
    <w:p w:rsidR="00797A6E" w:rsidP="00797A6E">
      <w:pPr>
        <w:bidi w:val="0"/>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jc w:val="both"/>
        <w:rPr>
          <w:rFonts w:ascii="Arial" w:hAnsi="Arial" w:cs="Arial"/>
        </w:rPr>
      </w:pPr>
    </w:p>
    <w:p w:rsidR="00797A6E" w:rsidRPr="00C22FA6" w:rsidP="00797A6E">
      <w:pPr>
        <w:bidi w:val="0"/>
        <w:jc w:val="both"/>
        <w:rPr>
          <w:rFonts w:ascii="Arial" w:hAnsi="Arial" w:cs="Arial"/>
        </w:rPr>
      </w:pPr>
    </w:p>
    <w:p w:rsidR="00797A6E" w:rsidRPr="00C22FA6" w:rsidP="00797A6E">
      <w:pPr>
        <w:numPr>
          <w:numId w:val="2"/>
        </w:numPr>
        <w:bidi w:val="0"/>
        <w:jc w:val="both"/>
        <w:rPr>
          <w:rFonts w:ascii="Arial" w:hAnsi="Arial" w:cs="Arial"/>
        </w:rPr>
      </w:pPr>
      <w:r w:rsidRPr="00C22FA6">
        <w:rPr>
          <w:rFonts w:ascii="Arial" w:hAnsi="Arial" w:cs="Arial"/>
        </w:rPr>
        <w:t>K Čl. I § 18</w:t>
      </w:r>
    </w:p>
    <w:p w:rsidR="00797A6E" w:rsidRPr="00C22FA6" w:rsidP="00797A6E">
      <w:pPr>
        <w:bidi w:val="0"/>
        <w:jc w:val="both"/>
        <w:rPr>
          <w:rFonts w:ascii="Arial" w:hAnsi="Arial" w:cs="Arial"/>
        </w:rPr>
      </w:pPr>
      <w:r w:rsidRPr="00C22FA6">
        <w:rPr>
          <w:rFonts w:ascii="Arial" w:hAnsi="Arial" w:cs="Arial"/>
        </w:rPr>
        <w:t>§ 18 sa dopĺňa odsekom 10, ktorý znie:</w:t>
      </w:r>
    </w:p>
    <w:p w:rsidR="00797A6E" w:rsidRPr="00C22FA6" w:rsidP="00797A6E">
      <w:pPr>
        <w:bidi w:val="0"/>
        <w:jc w:val="both"/>
        <w:rPr>
          <w:rFonts w:ascii="Arial" w:hAnsi="Arial" w:cs="Arial"/>
        </w:rPr>
      </w:pPr>
      <w:r w:rsidRPr="00C22FA6">
        <w:rPr>
          <w:rFonts w:ascii="Arial" w:hAnsi="Arial" w:cs="Arial"/>
        </w:rPr>
        <w:t>„(10) Ministerstvo môže v odôvodnených prípadoch meniť výšku percentuálnej distribúcie použiteľného výnosu z dražieb kvót na účely podľa odsekov 6 a 7.“.</w:t>
      </w:r>
    </w:p>
    <w:p w:rsidR="00797A6E" w:rsidRPr="00C22FA6" w:rsidP="00797A6E">
      <w:pPr>
        <w:bidi w:val="0"/>
        <w:jc w:val="both"/>
        <w:rPr>
          <w:rFonts w:ascii="Arial" w:hAnsi="Arial" w:cs="Arial"/>
        </w:rPr>
      </w:pPr>
    </w:p>
    <w:p w:rsidR="00797A6E" w:rsidP="00797A6E">
      <w:pPr>
        <w:bidi w:val="0"/>
        <w:ind w:left="3969"/>
        <w:jc w:val="both"/>
        <w:rPr>
          <w:rFonts w:ascii="Arial" w:hAnsi="Arial" w:cs="Arial"/>
        </w:rPr>
      </w:pPr>
      <w:r w:rsidRPr="00C22FA6">
        <w:rPr>
          <w:rFonts w:ascii="Arial" w:hAnsi="Arial" w:cs="Arial"/>
        </w:rPr>
        <w:t>Dôvodom doplnenia je zachovanie flexibility pri zmene percentuálnej distribúcie použiteľného výnosu z dražieb kvót.</w:t>
      </w:r>
    </w:p>
    <w:p w:rsidR="00797A6E" w:rsidP="00797A6E">
      <w:pPr>
        <w:bidi w:val="0"/>
        <w:ind w:left="3969"/>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RPr="00C22FA6" w:rsidP="00797A6E">
      <w:pPr>
        <w:bidi w:val="0"/>
        <w:ind w:left="3969"/>
        <w:jc w:val="both"/>
        <w:rPr>
          <w:rFonts w:ascii="Arial" w:hAnsi="Arial" w:cs="Arial"/>
        </w:rPr>
      </w:pPr>
      <w:r w:rsidRPr="00C22FA6">
        <w:rPr>
          <w:rFonts w:ascii="Arial" w:hAnsi="Arial" w:cs="Arial"/>
        </w:rPr>
        <w:t xml:space="preserve"> </w:t>
      </w:r>
    </w:p>
    <w:p w:rsidR="00797A6E" w:rsidRPr="00C22FA6" w:rsidP="00797A6E">
      <w:pPr>
        <w:bidi w:val="0"/>
        <w:jc w:val="both"/>
        <w:rPr>
          <w:rFonts w:ascii="Arial" w:hAnsi="Arial" w:cs="Arial"/>
          <w:i/>
        </w:rPr>
      </w:pPr>
    </w:p>
    <w:p w:rsidR="00797A6E" w:rsidRPr="00C22FA6" w:rsidP="00797A6E">
      <w:pPr>
        <w:pStyle w:val="PlainText"/>
        <w:numPr>
          <w:numId w:val="2"/>
        </w:numPr>
        <w:tabs>
          <w:tab w:val="num" w:pos="284"/>
        </w:tabs>
        <w:bidi w:val="0"/>
        <w:ind w:left="284" w:hanging="284"/>
        <w:rPr>
          <w:rFonts w:ascii="Arial" w:hAnsi="Arial" w:cs="Arial"/>
          <w:sz w:val="24"/>
          <w:szCs w:val="24"/>
        </w:rPr>
      </w:pPr>
      <w:r w:rsidRPr="00C22FA6">
        <w:rPr>
          <w:rFonts w:ascii="Arial" w:hAnsi="Arial" w:cs="Arial"/>
          <w:sz w:val="24"/>
          <w:szCs w:val="24"/>
        </w:rPr>
        <w:t xml:space="preserve">K Čl. I § 19 ods. </w:t>
      </w:r>
      <w:smartTag w:uri="urn:schemas-microsoft-com:office:smarttags" w:element="metricconverter">
        <w:smartTagPr>
          <w:attr w:name="ProductID" w:val="6 a"/>
        </w:smartTagPr>
        <w:r w:rsidRPr="00C22FA6">
          <w:rPr>
            <w:rFonts w:ascii="Arial" w:hAnsi="Arial" w:cs="Arial"/>
            <w:sz w:val="24"/>
            <w:szCs w:val="24"/>
          </w:rPr>
          <w:t>6 a</w:t>
        </w:r>
      </w:smartTag>
      <w:r w:rsidRPr="00C22FA6">
        <w:rPr>
          <w:rFonts w:ascii="Arial" w:hAnsi="Arial" w:cs="Arial"/>
          <w:sz w:val="24"/>
          <w:szCs w:val="24"/>
        </w:rPr>
        <w:t xml:space="preserve"> 8 a § 30 ods. 2</w:t>
      </w:r>
    </w:p>
    <w:p w:rsidR="00797A6E" w:rsidRPr="00C22FA6" w:rsidP="00797A6E">
      <w:pPr>
        <w:pStyle w:val="PlainText"/>
        <w:bidi w:val="0"/>
        <w:rPr>
          <w:rFonts w:ascii="Arial" w:hAnsi="Arial" w:cs="Arial"/>
          <w:sz w:val="24"/>
          <w:szCs w:val="24"/>
        </w:rPr>
      </w:pPr>
      <w:r w:rsidRPr="00C22FA6">
        <w:rPr>
          <w:rFonts w:ascii="Arial" w:hAnsi="Arial" w:cs="Arial"/>
          <w:sz w:val="24"/>
          <w:szCs w:val="24"/>
        </w:rPr>
        <w:t xml:space="preserve">V § 19 ods. </w:t>
      </w:r>
      <w:smartTag w:uri="urn:schemas-microsoft-com:office:smarttags" w:element="metricconverter">
        <w:smartTagPr>
          <w:attr w:name="ProductID" w:val="6 a"/>
        </w:smartTagPr>
        <w:r w:rsidRPr="00C22FA6">
          <w:rPr>
            <w:rFonts w:ascii="Arial" w:hAnsi="Arial" w:cs="Arial"/>
            <w:sz w:val="24"/>
            <w:szCs w:val="24"/>
          </w:rPr>
          <w:t>6 a</w:t>
        </w:r>
      </w:smartTag>
      <w:r w:rsidRPr="00C22FA6">
        <w:rPr>
          <w:rFonts w:ascii="Arial" w:hAnsi="Arial" w:cs="Arial"/>
          <w:sz w:val="24"/>
          <w:szCs w:val="24"/>
        </w:rPr>
        <w:t xml:space="preserve"> 8 a § 30 ods. 2  sa slová “§ 27 ods. </w:t>
      </w:r>
      <w:smartTag w:uri="urn:schemas-microsoft-com:office:smarttags" w:element="metricconverter">
        <w:smartTagPr>
          <w:attr w:name="ProductID" w:val="2”"/>
        </w:smartTagPr>
        <w:r w:rsidRPr="00C22FA6">
          <w:rPr>
            <w:rFonts w:ascii="Arial" w:hAnsi="Arial" w:cs="Arial"/>
            <w:sz w:val="24"/>
            <w:szCs w:val="24"/>
          </w:rPr>
          <w:t>2”</w:t>
        </w:r>
      </w:smartTag>
      <w:r w:rsidRPr="00C22FA6">
        <w:rPr>
          <w:rFonts w:ascii="Arial" w:hAnsi="Arial" w:cs="Arial"/>
          <w:sz w:val="24"/>
          <w:szCs w:val="24"/>
        </w:rPr>
        <w:t xml:space="preserve"> nahrádzajú slovami “§ 27 ods. </w:t>
      </w:r>
      <w:smartTag w:uri="urn:schemas-microsoft-com:office:smarttags" w:element="metricconverter">
        <w:smartTagPr>
          <w:attr w:name="ProductID" w:val="1”"/>
        </w:smartTagPr>
        <w:r w:rsidRPr="00C22FA6">
          <w:rPr>
            <w:rFonts w:ascii="Arial" w:hAnsi="Arial" w:cs="Arial"/>
            <w:sz w:val="24"/>
            <w:szCs w:val="24"/>
          </w:rPr>
          <w:t>1”</w:t>
        </w:r>
      </w:smartTag>
      <w:r w:rsidRPr="00C22FA6">
        <w:rPr>
          <w:rFonts w:ascii="Arial" w:hAnsi="Arial" w:cs="Arial"/>
          <w:sz w:val="24"/>
          <w:szCs w:val="24"/>
        </w:rPr>
        <w:t>.</w:t>
      </w:r>
    </w:p>
    <w:p w:rsidR="00797A6E" w:rsidP="00797A6E">
      <w:pPr>
        <w:pStyle w:val="PlainText"/>
        <w:bidi w:val="0"/>
        <w:ind w:left="3969"/>
        <w:jc w:val="both"/>
        <w:rPr>
          <w:rFonts w:ascii="Arial" w:hAnsi="Arial" w:cs="Arial"/>
          <w:i/>
          <w:sz w:val="24"/>
          <w:szCs w:val="24"/>
        </w:rPr>
      </w:pPr>
      <w:r>
        <w:rPr>
          <w:rFonts w:ascii="Arial" w:hAnsi="Arial" w:cs="Arial"/>
          <w:sz w:val="24"/>
          <w:szCs w:val="24"/>
        </w:rPr>
        <w:t>Ide o zosúladenie vnútorného odkazu s úpravou obsiahnutou v § 27.</w:t>
      </w:r>
      <w:r w:rsidRPr="00C22FA6">
        <w:rPr>
          <w:rFonts w:ascii="Arial" w:hAnsi="Arial" w:cs="Arial"/>
          <w:i/>
          <w:sz w:val="24"/>
          <w:szCs w:val="24"/>
        </w:rPr>
        <w:t xml:space="preserve">   </w:t>
      </w:r>
    </w:p>
    <w:p w:rsidR="00797A6E" w:rsidRPr="00E04BC3" w:rsidP="00797A6E">
      <w:pPr>
        <w:pStyle w:val="PlainText"/>
        <w:bidi w:val="0"/>
        <w:ind w:left="3969"/>
        <w:jc w:val="both"/>
        <w:rPr>
          <w:rFonts w:ascii="Arial" w:hAnsi="Arial" w:cs="Arial"/>
          <w:i/>
          <w:sz w:val="24"/>
          <w:szCs w:val="24"/>
        </w:rPr>
      </w:pPr>
      <w:r w:rsidRPr="00C22FA6">
        <w:rPr>
          <w:rFonts w:ascii="Arial" w:hAnsi="Arial" w:cs="Arial"/>
          <w:i/>
          <w:sz w:val="24"/>
          <w:szCs w:val="24"/>
        </w:rPr>
        <w:t xml:space="preserve">                                                                 </w:t>
      </w:r>
      <w:r w:rsidRPr="00C22FA6">
        <w:rPr>
          <w:rFonts w:ascii="Arial" w:hAnsi="Arial" w:cs="Arial"/>
          <w:sz w:val="24"/>
          <w:szCs w:val="24"/>
        </w:rPr>
        <w:t xml:space="preserve">                                                                                                                    </w:t>
      </w:r>
      <w:r>
        <w:rPr>
          <w:rFonts w:ascii="Arial" w:hAnsi="Arial" w:cs="Arial"/>
          <w:sz w:val="24"/>
          <w:szCs w:val="24"/>
        </w:rPr>
        <w:t xml:space="preserve">                        </w:t>
      </w: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rPr>
          <w:rFonts w:ascii="Arial" w:hAnsi="Arial" w:cs="Arial"/>
          <w:sz w:val="24"/>
          <w:szCs w:val="24"/>
        </w:rPr>
      </w:pPr>
    </w:p>
    <w:p w:rsidR="00797A6E" w:rsidRPr="00C22FA6" w:rsidP="00797A6E">
      <w:pPr>
        <w:pStyle w:val="PlainText"/>
        <w:bidi w:val="0"/>
        <w:rPr>
          <w:rFonts w:ascii="Arial" w:hAnsi="Arial" w:cs="Arial"/>
          <w:sz w:val="24"/>
          <w:szCs w:val="24"/>
        </w:rPr>
      </w:pPr>
    </w:p>
    <w:p w:rsidR="00797A6E" w:rsidRPr="00C22FA6" w:rsidP="00797A6E">
      <w:pPr>
        <w:pStyle w:val="PlainText"/>
        <w:numPr>
          <w:numId w:val="2"/>
        </w:numPr>
        <w:bidi w:val="0"/>
        <w:rPr>
          <w:rFonts w:ascii="Arial" w:hAnsi="Arial" w:cs="Arial"/>
          <w:sz w:val="24"/>
          <w:szCs w:val="24"/>
        </w:rPr>
      </w:pPr>
      <w:r w:rsidRPr="00C22FA6">
        <w:rPr>
          <w:rFonts w:ascii="Arial" w:hAnsi="Arial" w:cs="Arial"/>
          <w:sz w:val="24"/>
          <w:szCs w:val="24"/>
        </w:rPr>
        <w:t xml:space="preserve">K Čl. I § 19 </w:t>
      </w:r>
    </w:p>
    <w:p w:rsidR="00797A6E" w:rsidRPr="00C22FA6" w:rsidP="00797A6E">
      <w:pPr>
        <w:pStyle w:val="PlainText"/>
        <w:bidi w:val="0"/>
        <w:rPr>
          <w:rFonts w:ascii="Arial" w:hAnsi="Arial" w:cs="Arial"/>
          <w:sz w:val="24"/>
          <w:szCs w:val="24"/>
        </w:rPr>
      </w:pPr>
      <w:r w:rsidRPr="00C22FA6">
        <w:rPr>
          <w:rFonts w:ascii="Arial" w:hAnsi="Arial" w:cs="Arial"/>
          <w:sz w:val="24"/>
          <w:szCs w:val="24"/>
        </w:rPr>
        <w:t>§ 19 sa dopĺňa odsekom 9, ktorý znie:</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„(9) Ak prevádzkovateľ nevráti do 31. decembra neoprávnene pridelené kvóty  podľa § 10 ods. 2, ministerstvo uloží prevádzkovateľovi pokutu vo výške 100 eur za každú neoprávnene pridelenú kvótu.“.</w:t>
      </w:r>
    </w:p>
    <w:p w:rsidR="00797A6E" w:rsidRPr="00C22FA6" w:rsidP="00797A6E">
      <w:pPr>
        <w:pStyle w:val="PlainText"/>
        <w:bidi w:val="0"/>
        <w:jc w:val="both"/>
        <w:rPr>
          <w:rFonts w:ascii="Arial" w:hAnsi="Arial" w:cs="Arial"/>
          <w:sz w:val="24"/>
          <w:szCs w:val="24"/>
        </w:rPr>
      </w:pPr>
    </w:p>
    <w:p w:rsidR="00797A6E" w:rsidRPr="00C22FA6" w:rsidP="00797A6E">
      <w:pPr>
        <w:pStyle w:val="PlainText"/>
        <w:bidi w:val="0"/>
        <w:ind w:left="3969"/>
        <w:jc w:val="both"/>
        <w:rPr>
          <w:rFonts w:ascii="Arial" w:hAnsi="Arial" w:cs="Arial"/>
          <w:sz w:val="24"/>
          <w:szCs w:val="24"/>
        </w:rPr>
      </w:pPr>
      <w:r w:rsidRPr="00C22FA6">
        <w:rPr>
          <w:rFonts w:ascii="Arial" w:hAnsi="Arial" w:cs="Arial"/>
          <w:sz w:val="24"/>
          <w:szCs w:val="24"/>
        </w:rPr>
        <w:t>Ide o právomoc členského štátu uložiť pokutu v prípade ak prevádzkovateľ nenahlási skutočnosti, ktoré vedú k zmene výšky bezodplatnej alokácie.</w:t>
      </w:r>
    </w:p>
    <w:p w:rsidR="00797A6E" w:rsidP="00797A6E">
      <w:pPr>
        <w:pStyle w:val="PlainText"/>
        <w:bidi w:val="0"/>
        <w:rPr>
          <w:rFonts w:ascii="Arial" w:hAnsi="Arial" w:cs="Arial"/>
          <w:sz w:val="24"/>
          <w:szCs w:val="24"/>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rPr>
          <w:rFonts w:ascii="Arial" w:hAnsi="Arial" w:cs="Arial"/>
          <w:sz w:val="24"/>
          <w:szCs w:val="24"/>
        </w:rPr>
      </w:pPr>
    </w:p>
    <w:p w:rsidR="00797A6E" w:rsidRPr="00C22FA6" w:rsidP="00797A6E">
      <w:pPr>
        <w:pStyle w:val="PlainText"/>
        <w:bidi w:val="0"/>
        <w:rPr>
          <w:rFonts w:ascii="Arial" w:hAnsi="Arial" w:cs="Arial"/>
          <w:sz w:val="24"/>
          <w:szCs w:val="24"/>
        </w:rPr>
      </w:pPr>
    </w:p>
    <w:p w:rsidR="00797A6E" w:rsidRPr="00C22FA6" w:rsidP="00797A6E">
      <w:pPr>
        <w:pStyle w:val="PlainText"/>
        <w:numPr>
          <w:numId w:val="2"/>
        </w:numPr>
        <w:bidi w:val="0"/>
        <w:rPr>
          <w:rFonts w:ascii="Arial" w:hAnsi="Arial" w:cs="Arial"/>
          <w:sz w:val="24"/>
          <w:szCs w:val="24"/>
        </w:rPr>
      </w:pPr>
      <w:r w:rsidRPr="00C22FA6">
        <w:rPr>
          <w:rFonts w:ascii="Arial" w:hAnsi="Arial" w:cs="Arial"/>
          <w:sz w:val="24"/>
          <w:szCs w:val="24"/>
        </w:rPr>
        <w:t>K Čl. I § 20 ods. 4, 5, 7 a 8</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V § 20 ods. 4, 5, 7 a 8 sa slová „vnútroštátny správca“ nahrádzajú slovom „register“</w:t>
      </w:r>
    </w:p>
    <w:p w:rsidR="00797A6E" w:rsidRPr="00C22FA6" w:rsidP="00797A6E">
      <w:pPr>
        <w:pStyle w:val="PlainText"/>
        <w:bidi w:val="0"/>
        <w:jc w:val="both"/>
        <w:rPr>
          <w:rFonts w:ascii="Arial" w:hAnsi="Arial" w:cs="Arial"/>
          <w:sz w:val="24"/>
          <w:szCs w:val="24"/>
        </w:rPr>
      </w:pPr>
    </w:p>
    <w:p w:rsidR="00797A6E" w:rsidRPr="00C22FA6" w:rsidP="00797A6E">
      <w:pPr>
        <w:pStyle w:val="PlainText"/>
        <w:bidi w:val="0"/>
        <w:ind w:left="3969"/>
        <w:jc w:val="both"/>
        <w:rPr>
          <w:rFonts w:ascii="Arial" w:hAnsi="Arial" w:cs="Arial"/>
          <w:sz w:val="24"/>
          <w:szCs w:val="24"/>
        </w:rPr>
      </w:pPr>
      <w:r w:rsidRPr="00C22FA6">
        <w:rPr>
          <w:rFonts w:ascii="Arial" w:hAnsi="Arial" w:cs="Arial"/>
          <w:sz w:val="24"/>
          <w:szCs w:val="24"/>
        </w:rPr>
        <w:t>Ide o zosúladenie textácie s praktickým spôsobom zrušenia kvót v softvéri EUTL, pri ktorom neruší kvóty vnútroštátny správca členského štátu ale ide o automatizovanú operáciu priamo na úrovni registra Únie.</w:t>
      </w:r>
    </w:p>
    <w:p w:rsidR="00797A6E" w:rsidP="00797A6E">
      <w:pPr>
        <w:pStyle w:val="PlainText"/>
        <w:bidi w:val="0"/>
        <w:ind w:left="4395"/>
        <w:jc w:val="both"/>
        <w:rPr>
          <w:rFonts w:ascii="Arial" w:hAnsi="Arial" w:cs="Arial"/>
          <w:sz w:val="24"/>
          <w:szCs w:val="24"/>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ind w:left="4395"/>
        <w:jc w:val="both"/>
        <w:rPr>
          <w:rFonts w:ascii="Arial" w:hAnsi="Arial" w:cs="Arial"/>
          <w:sz w:val="24"/>
          <w:szCs w:val="24"/>
        </w:rPr>
      </w:pPr>
    </w:p>
    <w:p w:rsidR="00797A6E" w:rsidRPr="00C22FA6" w:rsidP="00797A6E">
      <w:pPr>
        <w:pStyle w:val="PlainText"/>
        <w:bidi w:val="0"/>
        <w:ind w:left="4395"/>
        <w:jc w:val="both"/>
        <w:rPr>
          <w:rFonts w:ascii="Arial" w:hAnsi="Arial" w:cs="Arial"/>
          <w:sz w:val="24"/>
          <w:szCs w:val="24"/>
        </w:rPr>
      </w:pPr>
    </w:p>
    <w:p w:rsidR="00797A6E" w:rsidRPr="00C22FA6" w:rsidP="00797A6E">
      <w:pPr>
        <w:pStyle w:val="PlainText"/>
        <w:numPr>
          <w:numId w:val="2"/>
        </w:numPr>
        <w:bidi w:val="0"/>
        <w:jc w:val="both"/>
        <w:rPr>
          <w:rFonts w:ascii="Arial" w:hAnsi="Arial" w:cs="Arial"/>
          <w:sz w:val="24"/>
          <w:szCs w:val="24"/>
        </w:rPr>
      </w:pPr>
      <w:r w:rsidRPr="00C22FA6">
        <w:rPr>
          <w:rFonts w:ascii="Arial" w:hAnsi="Arial" w:cs="Arial"/>
          <w:sz w:val="24"/>
          <w:szCs w:val="24"/>
        </w:rPr>
        <w:t>K Čl. I § 26 ods. 2</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V § 26 sa odsek 2 dopĺňa písmenom c), ktoré znie:</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 xml:space="preserve">„c) podmienky a náležitosti skúšky, ktorá preukáže potrebnú úroveň vedomostí o technológiách  v príslušných  kategóriách priemyselných činností a v druhoch prevádzok uvedených v prílohe č. 1 ako aj o spôsobe stanovenia výšky bezodplatnej alokácie.“. </w:t>
      </w:r>
    </w:p>
    <w:p w:rsidR="00797A6E" w:rsidRPr="00C22FA6" w:rsidP="00797A6E">
      <w:pPr>
        <w:pStyle w:val="PlainText"/>
        <w:bidi w:val="0"/>
        <w:jc w:val="both"/>
        <w:rPr>
          <w:rFonts w:ascii="Arial" w:hAnsi="Arial" w:cs="Arial"/>
          <w:sz w:val="24"/>
          <w:szCs w:val="24"/>
        </w:rPr>
      </w:pPr>
    </w:p>
    <w:p w:rsidR="00797A6E" w:rsidP="00797A6E">
      <w:pPr>
        <w:pStyle w:val="PlainText"/>
        <w:bidi w:val="0"/>
        <w:ind w:left="3969"/>
        <w:jc w:val="both"/>
        <w:rPr>
          <w:rFonts w:ascii="Arial" w:hAnsi="Arial" w:cs="Arial"/>
          <w:sz w:val="24"/>
          <w:szCs w:val="24"/>
        </w:rPr>
      </w:pPr>
      <w:r w:rsidRPr="00C22FA6">
        <w:rPr>
          <w:rFonts w:ascii="Arial" w:hAnsi="Arial" w:cs="Arial"/>
          <w:sz w:val="24"/>
          <w:szCs w:val="24"/>
        </w:rPr>
        <w:t>Ide o doplnenie ustanovenia, na základe ktorého sa vydáv všeobecne záväzný právny predpis, ktorý ministerstvu pri prechode na jednotný európsky akreditačný systém overovateľov oprávnených na overovanie emisných správ skleníkových plynov zabezpečí možnosť osobitného preskúšania.</w:t>
      </w:r>
    </w:p>
    <w:p w:rsidR="00797A6E" w:rsidP="00797A6E">
      <w:pPr>
        <w:pStyle w:val="PlainText"/>
        <w:bidi w:val="0"/>
        <w:ind w:left="3969"/>
        <w:jc w:val="both"/>
        <w:rPr>
          <w:rFonts w:ascii="Arial" w:hAnsi="Arial" w:cs="Arial"/>
          <w:sz w:val="24"/>
          <w:szCs w:val="24"/>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ind w:left="3969"/>
        <w:jc w:val="both"/>
        <w:rPr>
          <w:rFonts w:ascii="Arial" w:hAnsi="Arial" w:cs="Arial"/>
          <w:sz w:val="24"/>
          <w:szCs w:val="24"/>
        </w:rPr>
      </w:pPr>
    </w:p>
    <w:p w:rsidR="00797A6E" w:rsidRPr="00C22FA6" w:rsidP="00797A6E">
      <w:pPr>
        <w:pStyle w:val="PlainText"/>
        <w:bidi w:val="0"/>
        <w:ind w:left="3969"/>
        <w:jc w:val="both"/>
        <w:rPr>
          <w:rFonts w:ascii="Arial" w:hAnsi="Arial" w:cs="Arial"/>
          <w:sz w:val="24"/>
          <w:szCs w:val="24"/>
        </w:rPr>
      </w:pPr>
    </w:p>
    <w:p w:rsidR="00797A6E" w:rsidRPr="00C22FA6" w:rsidP="00797A6E">
      <w:pPr>
        <w:pStyle w:val="PlainText"/>
        <w:bidi w:val="0"/>
        <w:jc w:val="both"/>
        <w:rPr>
          <w:rFonts w:ascii="Arial" w:hAnsi="Arial" w:cs="Arial"/>
          <w:sz w:val="24"/>
          <w:szCs w:val="24"/>
        </w:rPr>
      </w:pPr>
    </w:p>
    <w:p w:rsidR="00797A6E" w:rsidRPr="00C22FA6" w:rsidP="00797A6E">
      <w:pPr>
        <w:pStyle w:val="PlainText"/>
        <w:numPr>
          <w:numId w:val="2"/>
        </w:numPr>
        <w:bidi w:val="0"/>
        <w:jc w:val="both"/>
        <w:rPr>
          <w:rFonts w:ascii="Arial" w:hAnsi="Arial" w:cs="Arial"/>
          <w:sz w:val="24"/>
          <w:szCs w:val="24"/>
        </w:rPr>
      </w:pPr>
      <w:r w:rsidRPr="00C22FA6">
        <w:rPr>
          <w:rFonts w:ascii="Arial" w:hAnsi="Arial" w:cs="Arial"/>
          <w:sz w:val="24"/>
          <w:szCs w:val="24"/>
        </w:rPr>
        <w:t>K Čl. I § 27 ods. 1 písmeno i)</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V § 27 ods. 1 písmeno i) sa slová „správcovi registra“ nahrádzajú slovami „vnútroštátnemu správcovi.“</w:t>
      </w:r>
    </w:p>
    <w:p w:rsidR="00797A6E" w:rsidRPr="00C22FA6" w:rsidP="00797A6E">
      <w:pPr>
        <w:pStyle w:val="PlainText"/>
        <w:bidi w:val="0"/>
        <w:jc w:val="both"/>
        <w:rPr>
          <w:rFonts w:ascii="Arial" w:hAnsi="Arial" w:cs="Arial"/>
          <w:sz w:val="24"/>
          <w:szCs w:val="24"/>
        </w:rPr>
      </w:pPr>
    </w:p>
    <w:p w:rsidR="00797A6E" w:rsidP="00797A6E">
      <w:pPr>
        <w:pStyle w:val="PlainText"/>
        <w:bidi w:val="0"/>
        <w:ind w:left="3969"/>
        <w:jc w:val="both"/>
        <w:rPr>
          <w:rFonts w:ascii="Arial" w:hAnsi="Arial" w:cs="Arial"/>
          <w:sz w:val="24"/>
          <w:szCs w:val="24"/>
        </w:rPr>
      </w:pPr>
      <w:r w:rsidRPr="00C22FA6">
        <w:rPr>
          <w:rFonts w:ascii="Arial" w:hAnsi="Arial" w:cs="Arial"/>
          <w:sz w:val="24"/>
          <w:szCs w:val="24"/>
        </w:rPr>
        <w:t>Ide o zosúladenie textácie z dôvodu zámeny kompetentných subjektov na predloženie potvrdenia o správnosti správy o overených emisiách skleníkových plynov.</w:t>
      </w:r>
    </w:p>
    <w:p w:rsidR="00797A6E" w:rsidP="00797A6E">
      <w:pPr>
        <w:pStyle w:val="PlainText"/>
        <w:bidi w:val="0"/>
        <w:ind w:left="3969"/>
        <w:jc w:val="both"/>
        <w:rPr>
          <w:rFonts w:ascii="Arial" w:hAnsi="Arial" w:cs="Arial"/>
          <w:sz w:val="24"/>
          <w:szCs w:val="24"/>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ind w:left="3969"/>
        <w:jc w:val="both"/>
        <w:rPr>
          <w:rFonts w:ascii="Arial" w:hAnsi="Arial" w:cs="Arial"/>
          <w:sz w:val="24"/>
          <w:szCs w:val="24"/>
        </w:rPr>
      </w:pPr>
    </w:p>
    <w:p w:rsidR="00797A6E" w:rsidRPr="00C22FA6" w:rsidP="00797A6E">
      <w:pPr>
        <w:pStyle w:val="PlainText"/>
        <w:bidi w:val="0"/>
        <w:ind w:left="3969"/>
        <w:jc w:val="both"/>
        <w:rPr>
          <w:rFonts w:ascii="Arial" w:hAnsi="Arial" w:cs="Arial"/>
          <w:sz w:val="24"/>
          <w:szCs w:val="24"/>
        </w:rPr>
      </w:pPr>
    </w:p>
    <w:p w:rsidR="00797A6E" w:rsidRPr="00C22FA6" w:rsidP="00797A6E">
      <w:pPr>
        <w:pStyle w:val="PlainText"/>
        <w:bidi w:val="0"/>
        <w:rPr>
          <w:rFonts w:ascii="Arial" w:hAnsi="Arial" w:cs="Arial"/>
          <w:sz w:val="24"/>
          <w:szCs w:val="24"/>
        </w:rPr>
      </w:pPr>
    </w:p>
    <w:p w:rsidR="00797A6E" w:rsidRPr="00C22FA6" w:rsidP="00797A6E">
      <w:pPr>
        <w:pStyle w:val="PlainText"/>
        <w:numPr>
          <w:numId w:val="2"/>
        </w:numPr>
        <w:tabs>
          <w:tab w:val="num" w:pos="284"/>
        </w:tabs>
        <w:bidi w:val="0"/>
        <w:ind w:left="284" w:hanging="284"/>
        <w:rPr>
          <w:rFonts w:ascii="Arial" w:hAnsi="Arial" w:cs="Arial"/>
          <w:sz w:val="24"/>
          <w:szCs w:val="24"/>
          <w:u w:val="single"/>
        </w:rPr>
      </w:pPr>
      <w:r w:rsidRPr="00C22FA6">
        <w:rPr>
          <w:rFonts w:ascii="Arial" w:hAnsi="Arial" w:cs="Arial"/>
          <w:sz w:val="24"/>
          <w:szCs w:val="24"/>
        </w:rPr>
        <w:t>K Čl. I § 35</w:t>
      </w:r>
    </w:p>
    <w:p w:rsidR="00797A6E" w:rsidRPr="00C22FA6" w:rsidP="00797A6E">
      <w:pPr>
        <w:pStyle w:val="PlainText"/>
        <w:bidi w:val="0"/>
        <w:ind w:left="284"/>
        <w:rPr>
          <w:rFonts w:ascii="Arial" w:hAnsi="Arial" w:cs="Arial"/>
          <w:sz w:val="24"/>
          <w:szCs w:val="24"/>
        </w:rPr>
      </w:pPr>
      <w:r w:rsidRPr="00C22FA6">
        <w:rPr>
          <w:rFonts w:ascii="Arial" w:hAnsi="Arial" w:cs="Arial"/>
          <w:sz w:val="24"/>
          <w:szCs w:val="24"/>
        </w:rPr>
        <w:t>V § 35 ods. 1 písm. c)  sa na začiatku textu vkladá slovo “od”.</w:t>
      </w:r>
    </w:p>
    <w:p w:rsidR="00797A6E" w:rsidRPr="00C22FA6" w:rsidP="00797A6E">
      <w:pPr>
        <w:pStyle w:val="PlainText"/>
        <w:bidi w:val="0"/>
        <w:ind w:left="284"/>
        <w:rPr>
          <w:rFonts w:ascii="Arial" w:hAnsi="Arial" w:cs="Arial"/>
          <w:sz w:val="24"/>
          <w:szCs w:val="24"/>
        </w:rPr>
      </w:pPr>
    </w:p>
    <w:p w:rsidR="00797A6E" w:rsidRPr="00C22FA6" w:rsidP="00797A6E">
      <w:pPr>
        <w:pStyle w:val="PlainText"/>
        <w:bidi w:val="0"/>
        <w:rPr>
          <w:rFonts w:ascii="Arial" w:hAnsi="Arial" w:cs="Arial"/>
          <w:sz w:val="24"/>
          <w:szCs w:val="24"/>
        </w:rPr>
      </w:pPr>
      <w:r w:rsidRPr="00C22FA6">
        <w:rPr>
          <w:rFonts w:ascii="Arial" w:hAnsi="Arial" w:cs="Arial"/>
          <w:sz w:val="24"/>
          <w:szCs w:val="24"/>
        </w:rPr>
        <w:t xml:space="preserve">                                         </w:t>
      </w:r>
      <w:r>
        <w:rPr>
          <w:rFonts w:ascii="Arial" w:hAnsi="Arial" w:cs="Arial"/>
          <w:sz w:val="24"/>
          <w:szCs w:val="24"/>
        </w:rPr>
        <w:t xml:space="preserve">                    </w:t>
      </w:r>
      <w:r w:rsidRPr="00C22FA6">
        <w:rPr>
          <w:rFonts w:ascii="Arial" w:hAnsi="Arial" w:cs="Arial"/>
          <w:sz w:val="24"/>
          <w:szCs w:val="24"/>
        </w:rPr>
        <w:t>Ide o legislatívno-technickú úpravu.</w:t>
      </w:r>
    </w:p>
    <w:p w:rsidR="00797A6E" w:rsidP="00797A6E">
      <w:pPr>
        <w:pStyle w:val="PlainText"/>
        <w:bidi w:val="0"/>
        <w:rPr>
          <w:rFonts w:ascii="Arial" w:hAnsi="Arial" w:cs="Arial"/>
          <w:sz w:val="24"/>
          <w:szCs w:val="24"/>
          <w:u w:val="single"/>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rPr>
          <w:rFonts w:ascii="Arial" w:hAnsi="Arial" w:cs="Arial"/>
          <w:sz w:val="24"/>
          <w:szCs w:val="24"/>
          <w:u w:val="single"/>
        </w:rPr>
      </w:pPr>
    </w:p>
    <w:p w:rsidR="00797A6E" w:rsidRPr="00C22FA6" w:rsidP="00797A6E">
      <w:pPr>
        <w:pStyle w:val="PlainText"/>
        <w:bidi w:val="0"/>
        <w:rPr>
          <w:rFonts w:ascii="Arial" w:hAnsi="Arial" w:cs="Arial"/>
          <w:sz w:val="24"/>
          <w:szCs w:val="24"/>
          <w:u w:val="single"/>
        </w:rPr>
      </w:pPr>
    </w:p>
    <w:p w:rsidR="00797A6E" w:rsidRPr="00C22FA6" w:rsidP="00797A6E">
      <w:pPr>
        <w:pStyle w:val="PlainText"/>
        <w:numPr>
          <w:numId w:val="2"/>
        </w:numPr>
        <w:tabs>
          <w:tab w:val="num" w:pos="284"/>
        </w:tabs>
        <w:bidi w:val="0"/>
        <w:ind w:left="284" w:hanging="284"/>
        <w:rPr>
          <w:rFonts w:ascii="Arial" w:hAnsi="Arial" w:cs="Arial"/>
          <w:sz w:val="24"/>
          <w:szCs w:val="24"/>
        </w:rPr>
      </w:pPr>
      <w:r w:rsidRPr="00C22FA6">
        <w:rPr>
          <w:rFonts w:ascii="Arial" w:hAnsi="Arial" w:cs="Arial"/>
          <w:sz w:val="24"/>
          <w:szCs w:val="24"/>
        </w:rPr>
        <w:t>K Čl. I § 35</w:t>
      </w:r>
    </w:p>
    <w:p w:rsidR="00797A6E" w:rsidRPr="00C22FA6" w:rsidP="00797A6E">
      <w:pPr>
        <w:pStyle w:val="PlainText"/>
        <w:bidi w:val="0"/>
        <w:rPr>
          <w:rFonts w:ascii="Arial" w:hAnsi="Arial" w:cs="Arial"/>
          <w:sz w:val="24"/>
          <w:szCs w:val="24"/>
        </w:rPr>
      </w:pPr>
      <w:r w:rsidRPr="00C22FA6">
        <w:rPr>
          <w:rFonts w:ascii="Arial" w:hAnsi="Arial" w:cs="Arial"/>
          <w:sz w:val="24"/>
          <w:szCs w:val="24"/>
        </w:rPr>
        <w:t xml:space="preserve">§ 35 sa dopĺňa odsekom 3, ktorý znie: </w:t>
      </w:r>
    </w:p>
    <w:p w:rsidR="00797A6E" w:rsidRPr="00C22FA6" w:rsidP="00797A6E">
      <w:pPr>
        <w:bidi w:val="0"/>
        <w:jc w:val="both"/>
        <w:rPr>
          <w:rFonts w:ascii="Arial" w:hAnsi="Arial" w:cs="Arial"/>
        </w:rPr>
      </w:pPr>
      <w:r w:rsidRPr="00C22FA6">
        <w:rPr>
          <w:rFonts w:ascii="Arial" w:hAnsi="Arial" w:cs="Arial"/>
        </w:rPr>
        <w:t>„(3)  Národné emisné stropy, kritéria ich hodnotenia a celkové množstvo kvót oxidov síry vyjadrených ako oxid siričitý ustanovené doterajším predpisom platia aj po nadobudnutí účinnosti tohto zákona.”.</w:t>
      </w:r>
    </w:p>
    <w:p w:rsidR="00797A6E" w:rsidRPr="00C22FA6" w:rsidP="00797A6E">
      <w:pPr>
        <w:bidi w:val="0"/>
        <w:rPr>
          <w:rFonts w:ascii="Arial" w:hAnsi="Arial" w:cs="Arial"/>
        </w:rPr>
      </w:pPr>
    </w:p>
    <w:p w:rsidR="00797A6E" w:rsidP="00797A6E">
      <w:pPr>
        <w:bidi w:val="0"/>
        <w:ind w:left="3969"/>
        <w:jc w:val="both"/>
        <w:rPr>
          <w:rFonts w:ascii="Arial" w:hAnsi="Arial" w:cs="Arial"/>
        </w:rPr>
      </w:pPr>
      <w:r w:rsidRPr="00C22FA6">
        <w:rPr>
          <w:rFonts w:ascii="Arial" w:hAnsi="Arial" w:cs="Arial"/>
        </w:rPr>
        <w:t>Dopĺňa sa precho</w:t>
      </w:r>
      <w:r>
        <w:rPr>
          <w:rFonts w:ascii="Arial" w:hAnsi="Arial" w:cs="Arial"/>
        </w:rPr>
        <w:t xml:space="preserve">dné ustanovenie z toho dôvodu, </w:t>
      </w:r>
      <w:r w:rsidRPr="00C22FA6">
        <w:rPr>
          <w:rFonts w:ascii="Arial" w:hAnsi="Arial" w:cs="Arial"/>
        </w:rPr>
        <w:t xml:space="preserve">že novým zákonom o obchodovaní s emisnými kvótami sa zrušuje vyhláška Ministerstva životného prostredia Slovenskej republiky č. 131/2006 Z. z., ktorou sa ustanovujú národné emisné stropy a celkové množstvo kvót znečisťujúcich látok v znení neskorších predpisov, ktorá ustanovuje celkové množstvá kvót oxidov síry vyjadrených ako oxid siričitý na roky 2012 až 2014, s ktorými sa môže obchodovať. Tieto množstvá kvót ustanovené na roky 2012 až 2014 sú stále aktuálne a na roky 2012 a 2013 boli už rozdelené povinným účastníkom systému obchodovania. Kvóty pridelené na rok 2012 sa zúčtovávajú v roku 2013. Taktiež mohli byť už pridelené aj kvóty na rok 2014. Z uvedeného dôvodu je potrebné zachovať kvóty ustanovené doterajším právnym predpisom aj po účinnosti tohto zákona. </w:t>
      </w:r>
    </w:p>
    <w:p w:rsidR="00797A6E" w:rsidP="00797A6E">
      <w:pPr>
        <w:bidi w:val="0"/>
        <w:ind w:left="3969"/>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jc w:val="both"/>
        <w:rPr>
          <w:rFonts w:ascii="Arial" w:hAnsi="Arial" w:cs="Arial"/>
        </w:rPr>
      </w:pPr>
    </w:p>
    <w:p w:rsidR="00797A6E" w:rsidP="00797A6E">
      <w:pPr>
        <w:bidi w:val="0"/>
        <w:jc w:val="both"/>
        <w:rPr>
          <w:rFonts w:ascii="Arial" w:hAnsi="Arial" w:cs="Arial"/>
        </w:rPr>
      </w:pPr>
    </w:p>
    <w:p w:rsidR="00797A6E" w:rsidRPr="00C22FA6" w:rsidP="00797A6E">
      <w:pPr>
        <w:bidi w:val="0"/>
        <w:jc w:val="both"/>
        <w:rPr>
          <w:rFonts w:ascii="Arial" w:hAnsi="Arial" w:cs="Arial"/>
        </w:rPr>
      </w:pPr>
    </w:p>
    <w:p w:rsidR="00797A6E" w:rsidRPr="00C22FA6" w:rsidP="00797A6E">
      <w:pPr>
        <w:pStyle w:val="PlainText"/>
        <w:numPr>
          <w:numId w:val="2"/>
        </w:numPr>
        <w:tabs>
          <w:tab w:val="num" w:pos="284"/>
        </w:tabs>
        <w:bidi w:val="0"/>
        <w:jc w:val="both"/>
        <w:rPr>
          <w:rFonts w:ascii="Arial" w:hAnsi="Arial" w:cs="Arial"/>
          <w:sz w:val="24"/>
          <w:szCs w:val="24"/>
        </w:rPr>
      </w:pPr>
      <w:r w:rsidRPr="00C22FA6">
        <w:rPr>
          <w:rFonts w:ascii="Arial" w:hAnsi="Arial" w:cs="Arial"/>
          <w:sz w:val="24"/>
          <w:szCs w:val="24"/>
        </w:rPr>
        <w:t>K Čl. I Príloha č. 1</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V prílohe č. 1 šiestom bode sa slová “tabuľke  A” nahrádzajú slovami “tabuľke D”.</w:t>
      </w:r>
    </w:p>
    <w:p w:rsidR="00797A6E" w:rsidRPr="00C22FA6" w:rsidP="00797A6E">
      <w:pPr>
        <w:bidi w:val="0"/>
        <w:jc w:val="both"/>
        <w:rPr>
          <w:rFonts w:ascii="Arial" w:hAnsi="Arial" w:cs="Arial"/>
        </w:rPr>
      </w:pPr>
      <w:r w:rsidRPr="00C22FA6">
        <w:rPr>
          <w:rFonts w:ascii="Arial" w:hAnsi="Arial" w:cs="Arial"/>
        </w:rPr>
        <w:t xml:space="preserve">                                                              </w:t>
      </w:r>
    </w:p>
    <w:p w:rsidR="00797A6E" w:rsidRPr="00C22FA6" w:rsidP="00797A6E">
      <w:pPr>
        <w:bidi w:val="0"/>
        <w:ind w:left="3969"/>
        <w:jc w:val="both"/>
        <w:rPr>
          <w:rFonts w:ascii="Arial" w:hAnsi="Arial" w:cs="Arial"/>
          <w:u w:val="single"/>
        </w:rPr>
      </w:pPr>
      <w:r>
        <w:rPr>
          <w:rFonts w:ascii="Arial" w:hAnsi="Arial" w:cs="Arial"/>
        </w:rPr>
        <w:t>Ide o legislatívno-technickú opravu označenia tabuľky z dôvodu, že kategórie činností leteckej dopravy sú uvedené v tabuľke D.</w:t>
      </w:r>
      <w:r w:rsidRPr="00C22FA6">
        <w:rPr>
          <w:rFonts w:ascii="Arial" w:hAnsi="Arial" w:cs="Arial"/>
        </w:rPr>
        <w:t xml:space="preserve">                                   </w:t>
      </w:r>
      <w:r>
        <w:rPr>
          <w:rFonts w:ascii="Arial" w:hAnsi="Arial" w:cs="Arial"/>
        </w:rPr>
        <w:t xml:space="preserve">                            </w:t>
      </w:r>
    </w:p>
    <w:p w:rsidR="00797A6E" w:rsidP="00797A6E">
      <w:pPr>
        <w:pStyle w:val="PlainText"/>
        <w:bidi w:val="0"/>
        <w:rPr>
          <w:rFonts w:ascii="Arial" w:hAnsi="Arial" w:cs="Arial"/>
          <w:b/>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pStyle w:val="PlainText"/>
        <w:bidi w:val="0"/>
        <w:rPr>
          <w:rFonts w:ascii="Arial" w:hAnsi="Arial" w:cs="Arial"/>
          <w:b/>
        </w:rPr>
      </w:pPr>
    </w:p>
    <w:p w:rsidR="00797A6E" w:rsidRPr="00C22FA6" w:rsidP="00797A6E">
      <w:pPr>
        <w:pStyle w:val="PlainText"/>
        <w:bidi w:val="0"/>
        <w:rPr>
          <w:rFonts w:ascii="Arial" w:hAnsi="Arial" w:cs="Arial"/>
          <w:b/>
        </w:rPr>
      </w:pPr>
    </w:p>
    <w:p w:rsidR="00797A6E" w:rsidRPr="00C22FA6" w:rsidP="00797A6E">
      <w:pPr>
        <w:pStyle w:val="PlainText"/>
        <w:bidi w:val="0"/>
        <w:jc w:val="both"/>
        <w:rPr>
          <w:rFonts w:ascii="Arial" w:hAnsi="Arial" w:cs="Arial"/>
          <w:sz w:val="24"/>
          <w:szCs w:val="24"/>
        </w:rPr>
      </w:pPr>
      <w:r w:rsidRPr="00C22FA6">
        <w:rPr>
          <w:rFonts w:ascii="Arial" w:hAnsi="Arial" w:cs="Arial"/>
          <w:b/>
          <w:sz w:val="24"/>
          <w:szCs w:val="24"/>
        </w:rPr>
        <w:t xml:space="preserve">16. </w:t>
      </w:r>
      <w:r w:rsidRPr="00C22FA6">
        <w:rPr>
          <w:rFonts w:ascii="Arial" w:hAnsi="Arial" w:cs="Arial"/>
          <w:sz w:val="24"/>
          <w:szCs w:val="24"/>
        </w:rPr>
        <w:t>K Čl. IV</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Doterajší text Čl. IV sa označuje ako odsek 1 a dopĺňa sa odsekom 2, ktorý znie:</w:t>
      </w:r>
    </w:p>
    <w:p w:rsidR="00797A6E" w:rsidRPr="00C22FA6" w:rsidP="00797A6E">
      <w:pPr>
        <w:pStyle w:val="PlainText"/>
        <w:bidi w:val="0"/>
        <w:jc w:val="both"/>
        <w:rPr>
          <w:rFonts w:ascii="Arial" w:hAnsi="Arial" w:cs="Arial"/>
          <w:sz w:val="24"/>
          <w:szCs w:val="24"/>
        </w:rPr>
      </w:pPr>
      <w:r w:rsidRPr="00C22FA6">
        <w:rPr>
          <w:rFonts w:ascii="Arial" w:hAnsi="Arial" w:cs="Arial"/>
          <w:sz w:val="24"/>
          <w:szCs w:val="24"/>
        </w:rPr>
        <w:t xml:space="preserve">“(2) </w:t>
      </w:r>
      <w:r w:rsidRPr="00C22FA6">
        <w:rPr>
          <w:rFonts w:ascii="Arial" w:hAnsi="Arial" w:cs="Arial"/>
          <w:color w:val="000000"/>
          <w:sz w:val="24"/>
          <w:szCs w:val="24"/>
        </w:rPr>
        <w:t xml:space="preserve">Ustanovenia uvedené v čl. I </w:t>
      </w:r>
      <w:r w:rsidRPr="00C22FA6">
        <w:rPr>
          <w:rFonts w:ascii="Arial" w:hAnsi="Arial" w:cs="Arial"/>
          <w:sz w:val="24"/>
          <w:szCs w:val="24"/>
        </w:rPr>
        <w:t>§ 24 ods. 1 písmeno b), § 24 ods. 4 až 12 a § 24 ods. 15 až 19</w:t>
      </w:r>
      <w:r w:rsidRPr="00C22FA6">
        <w:rPr>
          <w:rFonts w:ascii="Arial" w:hAnsi="Arial" w:cs="Arial"/>
          <w:color w:val="000000"/>
          <w:sz w:val="24"/>
          <w:szCs w:val="24"/>
        </w:rPr>
        <w:t xml:space="preserve"> strácajú účinnosť 1. januára 2014.”</w:t>
      </w:r>
    </w:p>
    <w:p w:rsidR="00797A6E" w:rsidRPr="00C22FA6" w:rsidP="00797A6E">
      <w:pPr>
        <w:tabs>
          <w:tab w:val="left" w:pos="426"/>
        </w:tabs>
        <w:bidi w:val="0"/>
        <w:spacing w:line="360" w:lineRule="auto"/>
        <w:jc w:val="center"/>
        <w:rPr>
          <w:rFonts w:ascii="Arial" w:hAnsi="Arial" w:cs="Arial"/>
          <w:b/>
          <w:szCs w:val="20"/>
        </w:rPr>
      </w:pPr>
    </w:p>
    <w:p w:rsidR="00797A6E" w:rsidP="00797A6E">
      <w:pPr>
        <w:bidi w:val="0"/>
        <w:ind w:left="3969"/>
        <w:jc w:val="both"/>
        <w:rPr>
          <w:rFonts w:ascii="Arial" w:hAnsi="Arial" w:cs="Arial"/>
        </w:rPr>
      </w:pPr>
      <w:r w:rsidRPr="00C22FA6">
        <w:rPr>
          <w:rFonts w:ascii="Arial" w:hAnsi="Arial" w:cs="Arial"/>
        </w:rPr>
        <w:t>Dopĺňa sa ustanovenie o strate účinnosti, ktorým sa zabezpečí prechod na jednotný európsky akreditačný systém overovateľov oprávnených na overovanie emisných správ skleníkových plynov.</w:t>
      </w:r>
    </w:p>
    <w:p w:rsidR="00797A6E" w:rsidP="00797A6E">
      <w:pPr>
        <w:bidi w:val="0"/>
        <w:ind w:left="3969"/>
        <w:jc w:val="both"/>
        <w:rPr>
          <w:rFonts w:ascii="Arial" w:hAnsi="Arial" w:cs="Arial"/>
        </w:rPr>
      </w:pPr>
    </w:p>
    <w:p w:rsidR="00797A6E" w:rsidP="00797A6E">
      <w:pPr>
        <w:bidi w:val="0"/>
        <w:jc w:val="center"/>
        <w:rPr>
          <w:rFonts w:ascii="Arial" w:hAnsi="Arial" w:cs="Arial"/>
          <w:b/>
        </w:rPr>
      </w:pPr>
      <w:r w:rsidRPr="00797A6E">
        <w:rPr>
          <w:rFonts w:ascii="Arial" w:hAnsi="Arial" w:cs="Arial"/>
          <w:b/>
        </w:rPr>
        <w:t>Výbor Národnej rady Slovenskej republiky pre pôdohospodárstvo a životné prostredie</w:t>
      </w:r>
    </w:p>
    <w:p w:rsidR="00797A6E" w:rsidP="00797A6E">
      <w:pPr>
        <w:bidi w:val="0"/>
        <w:jc w:val="center"/>
        <w:rPr>
          <w:rFonts w:ascii="Arial" w:hAnsi="Arial" w:cs="Arial"/>
          <w:b/>
        </w:rPr>
      </w:pPr>
    </w:p>
    <w:p w:rsidR="00797A6E" w:rsidRPr="00797A6E" w:rsidP="00797A6E">
      <w:pPr>
        <w:bidi w:val="0"/>
        <w:jc w:val="center"/>
        <w:rPr>
          <w:rFonts w:ascii="Arial" w:hAnsi="Arial" w:cs="Arial"/>
          <w:b/>
        </w:rPr>
      </w:pPr>
      <w:r>
        <w:rPr>
          <w:rFonts w:ascii="Arial" w:hAnsi="Arial" w:cs="Arial"/>
          <w:b/>
        </w:rPr>
        <w:t>Gestorský výbor odporúča schváliť</w:t>
      </w:r>
    </w:p>
    <w:p w:rsidR="00797A6E" w:rsidP="00797A6E">
      <w:pPr>
        <w:bidi w:val="0"/>
        <w:ind w:left="3969"/>
        <w:jc w:val="both"/>
        <w:rPr>
          <w:rFonts w:ascii="Arial" w:hAnsi="Arial" w:cs="Arial"/>
        </w:rPr>
      </w:pPr>
    </w:p>
    <w:p w:rsidR="00797A6E" w:rsidP="00797A6E">
      <w:pPr>
        <w:tabs>
          <w:tab w:val="left" w:pos="709"/>
          <w:tab w:val="left" w:pos="1049"/>
        </w:tabs>
        <w:bidi w:val="0"/>
        <w:jc w:val="both"/>
        <w:rPr>
          <w:rFonts w:ascii="Arial" w:hAnsi="Arial" w:cs="Arial"/>
        </w:rPr>
      </w:pPr>
    </w:p>
    <w:p w:rsidR="00797A6E" w:rsidP="00797A6E">
      <w:pPr>
        <w:pStyle w:val="BodyText"/>
        <w:bidi w:val="0"/>
        <w:rPr>
          <w:rFonts w:ascii="Arial" w:hAnsi="Arial" w:cs="Arial"/>
          <w:b/>
          <w:bCs/>
        </w:rPr>
      </w:pPr>
    </w:p>
    <w:p w:rsidR="00797A6E" w:rsidP="00955817">
      <w:pPr>
        <w:pStyle w:val="BodyText"/>
        <w:bidi w:val="0"/>
        <w:jc w:val="center"/>
        <w:rPr>
          <w:rFonts w:ascii="Arial" w:hAnsi="Arial" w:cs="Arial"/>
          <w:b/>
          <w:bCs/>
        </w:rPr>
      </w:pPr>
    </w:p>
    <w:p w:rsidR="00955817" w:rsidP="00955817">
      <w:pPr>
        <w:pStyle w:val="BodyText"/>
        <w:bidi w:val="0"/>
        <w:jc w:val="center"/>
        <w:rPr>
          <w:rFonts w:ascii="Arial" w:hAnsi="Arial" w:cs="Arial"/>
          <w:b/>
          <w:bCs/>
        </w:rPr>
      </w:pPr>
      <w:r>
        <w:rPr>
          <w:rFonts w:ascii="Arial" w:hAnsi="Arial" w:cs="Arial"/>
          <w:b/>
          <w:bCs/>
        </w:rPr>
        <w:t>V.</w:t>
      </w:r>
    </w:p>
    <w:p w:rsidR="00955817" w:rsidP="00955817">
      <w:pPr>
        <w:pStyle w:val="BodyText"/>
        <w:bidi w:val="0"/>
        <w:jc w:val="center"/>
        <w:rPr>
          <w:rFonts w:ascii="Arial" w:hAnsi="Arial" w:cs="Arial"/>
          <w:b/>
          <w:bCs/>
        </w:rPr>
      </w:pPr>
    </w:p>
    <w:p w:rsidR="00955817" w:rsidP="00955817">
      <w:pPr>
        <w:pStyle w:val="BodyText"/>
        <w:bidi w:val="0"/>
        <w:ind w:firstLine="708"/>
        <w:rPr>
          <w:rFonts w:ascii="Arial" w:hAnsi="Arial" w:cs="Arial"/>
        </w:rPr>
      </w:pPr>
      <w:r>
        <w:rPr>
          <w:rFonts w:ascii="Arial" w:hAnsi="Arial" w:cs="Arial"/>
        </w:rPr>
        <w:t>Gestorský výbor odporúča hlasovať o bodoch spoločnej správy  nasledovne:</w:t>
      </w:r>
    </w:p>
    <w:p w:rsidR="00955817" w:rsidP="00955817">
      <w:pPr>
        <w:pStyle w:val="BodyText"/>
        <w:bidi w:val="0"/>
        <w:rPr>
          <w:rFonts w:ascii="Arial" w:hAnsi="Arial" w:cs="Arial"/>
        </w:rPr>
      </w:pPr>
    </w:p>
    <w:p w:rsidR="00955817" w:rsidP="00955817">
      <w:pPr>
        <w:pStyle w:val="BodyText"/>
        <w:bidi w:val="0"/>
        <w:rPr>
          <w:rFonts w:ascii="Arial" w:hAnsi="Arial" w:cs="Arial"/>
          <w:b/>
        </w:rPr>
      </w:pPr>
      <w:r>
        <w:rPr>
          <w:rFonts w:ascii="Arial" w:hAnsi="Arial" w:cs="Arial"/>
        </w:rPr>
        <w:tab/>
      </w:r>
      <w:r w:rsidR="00797A6E">
        <w:rPr>
          <w:rFonts w:ascii="Arial" w:hAnsi="Arial" w:cs="Arial"/>
        </w:rPr>
        <w:t>O bodoch spoločnej správy č. 1 až 16</w:t>
      </w:r>
      <w:r>
        <w:rPr>
          <w:rFonts w:ascii="Arial" w:hAnsi="Arial" w:cs="Arial"/>
        </w:rPr>
        <w:t xml:space="preserve"> hlasovať spoločne s návrhom gestorského výboru uvedené body </w:t>
      </w:r>
      <w:r>
        <w:rPr>
          <w:rFonts w:ascii="Arial" w:hAnsi="Arial" w:cs="Arial"/>
          <w:b/>
        </w:rPr>
        <w:t>schváliť.</w:t>
      </w:r>
    </w:p>
    <w:p w:rsidR="00955817" w:rsidP="00955817">
      <w:pPr>
        <w:pStyle w:val="BodyText"/>
        <w:bidi w:val="0"/>
        <w:rPr>
          <w:rFonts w:ascii="Arial" w:hAnsi="Arial" w:cs="Arial"/>
          <w:b/>
        </w:rPr>
      </w:pPr>
    </w:p>
    <w:p w:rsidR="00955817" w:rsidP="00955817">
      <w:pPr>
        <w:pStyle w:val="BodyText"/>
        <w:bidi w:val="0"/>
        <w:rPr>
          <w:rFonts w:ascii="Arial" w:hAnsi="Arial" w:cs="Arial"/>
        </w:rPr>
      </w:pPr>
      <w:r>
        <w:rPr>
          <w:rFonts w:ascii="Arial" w:hAnsi="Arial" w:cs="Arial"/>
        </w:rPr>
        <w:tab/>
      </w:r>
    </w:p>
    <w:p w:rsidR="00955817" w:rsidP="00955817">
      <w:pPr>
        <w:pStyle w:val="BodyText"/>
        <w:bidi w:val="0"/>
        <w:jc w:val="center"/>
        <w:rPr>
          <w:rFonts w:ascii="Arial" w:hAnsi="Arial" w:cs="Arial"/>
          <w:b/>
          <w:bCs/>
        </w:rPr>
      </w:pPr>
    </w:p>
    <w:p w:rsidR="00955817" w:rsidP="00955817">
      <w:pPr>
        <w:pStyle w:val="BodyText"/>
        <w:bidi w:val="0"/>
        <w:jc w:val="center"/>
        <w:rPr>
          <w:rFonts w:ascii="Arial" w:hAnsi="Arial" w:cs="Arial"/>
          <w:b/>
          <w:bCs/>
        </w:rPr>
      </w:pPr>
      <w:r>
        <w:rPr>
          <w:rFonts w:ascii="Arial" w:hAnsi="Arial" w:cs="Arial"/>
          <w:b/>
          <w:bCs/>
        </w:rPr>
        <w:t>VI.</w:t>
      </w:r>
    </w:p>
    <w:p w:rsidR="00955817" w:rsidP="00955817">
      <w:pPr>
        <w:pStyle w:val="BodyText"/>
        <w:bidi w:val="0"/>
        <w:jc w:val="center"/>
        <w:rPr>
          <w:rFonts w:ascii="Arial" w:hAnsi="Arial" w:cs="Arial"/>
          <w:b/>
          <w:bCs/>
        </w:rPr>
      </w:pPr>
    </w:p>
    <w:p w:rsidR="00955817" w:rsidP="00955817">
      <w:pPr>
        <w:pStyle w:val="BodyText"/>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 </w:t>
      </w:r>
      <w:r w:rsidRPr="00955817">
        <w:rPr>
          <w:rFonts w:ascii="Arial" w:hAnsi="Arial" w:cs="Arial"/>
        </w:rPr>
        <w:t xml:space="preserve">o obchodovaní s emisnými kvótami a o zmene a doplnení niektorých zákonov </w:t>
      </w:r>
      <w:r w:rsidRPr="00955817">
        <w:rPr>
          <w:rFonts w:ascii="Arial" w:hAnsi="Arial" w:cs="Arial"/>
          <w:bCs/>
        </w:rPr>
        <w:t>(tlač 289)</w:t>
      </w:r>
      <w:r>
        <w:rPr>
          <w:rFonts w:ascii="Arial" w:hAnsi="Arial" w:cs="Arial"/>
          <w:b/>
          <w:bCs/>
        </w:rPr>
        <w:t xml:space="preserve">  </w:t>
      </w:r>
      <w:r>
        <w:rPr>
          <w:rFonts w:ascii="Arial" w:hAnsi="Arial" w:cs="Arial"/>
        </w:rPr>
        <w:t xml:space="preserve"> </w:t>
      </w:r>
      <w:r>
        <w:rPr>
          <w:rFonts w:ascii="Arial" w:hAnsi="Arial" w:cs="Arial"/>
          <w:b/>
          <w:bCs/>
        </w:rPr>
        <w:t>schváliť.</w:t>
      </w:r>
    </w:p>
    <w:p w:rsidR="00955817" w:rsidP="00955817">
      <w:pPr>
        <w:pStyle w:val="BodyText"/>
        <w:bidi w:val="0"/>
        <w:rPr>
          <w:rFonts w:ascii="Arial" w:hAnsi="Arial" w:cs="Arial"/>
        </w:rPr>
      </w:pPr>
    </w:p>
    <w:p w:rsidR="00955817" w:rsidP="00955817">
      <w:pPr>
        <w:pStyle w:val="BodyText"/>
        <w:bidi w:val="0"/>
        <w:rPr>
          <w:rFonts w:ascii="Arial" w:hAnsi="Arial" w:cs="Arial"/>
        </w:rPr>
      </w:pPr>
      <w:r>
        <w:rPr>
          <w:rFonts w:ascii="Arial" w:hAnsi="Arial" w:cs="Arial"/>
        </w:rPr>
        <w:tab/>
        <w:t xml:space="preserve">Spoločná správa výborov Národnej rady Slovenskej republiky o prerokovaní vládneho návrhu zákona </w:t>
      </w:r>
      <w:r w:rsidRPr="00955817">
        <w:rPr>
          <w:rFonts w:ascii="Arial" w:hAnsi="Arial" w:cs="Arial"/>
        </w:rPr>
        <w:t xml:space="preserve">o obchodovaní s emisnými kvótami a o zmene a doplnení niektorých zákonov </w:t>
      </w:r>
      <w:r w:rsidRPr="00955817">
        <w:rPr>
          <w:rFonts w:ascii="Arial" w:hAnsi="Arial" w:cs="Arial"/>
          <w:bCs/>
        </w:rPr>
        <w:t>(tlač 289)</w:t>
      </w:r>
      <w:r>
        <w:rPr>
          <w:rFonts w:ascii="Arial" w:hAnsi="Arial" w:cs="Arial"/>
          <w:b/>
          <w:bCs/>
        </w:rPr>
        <w:t xml:space="preserve"> </w:t>
      </w:r>
      <w:r>
        <w:rPr>
          <w:rFonts w:ascii="Arial" w:hAnsi="Arial" w:cs="Arial"/>
        </w:rPr>
        <w:t>vo výboroch Národnej rady Slovenskej republiky v druhom čítaní bola schválená uznesením Výboru Národnej rady Slovenskej republiky pre  pôdohospodárstv</w:t>
      </w:r>
      <w:r w:rsidR="00797A6E">
        <w:rPr>
          <w:rFonts w:ascii="Arial" w:hAnsi="Arial" w:cs="Arial"/>
        </w:rPr>
        <w:t xml:space="preserve">o a  životné  prostredie  č. 92 </w:t>
      </w:r>
      <w:r>
        <w:rPr>
          <w:rFonts w:ascii="Arial" w:hAnsi="Arial" w:cs="Arial"/>
        </w:rPr>
        <w:t xml:space="preserve"> z</w:t>
      </w:r>
      <w:r w:rsidR="00797A6E">
        <w:rPr>
          <w:rFonts w:ascii="Arial" w:hAnsi="Arial" w:cs="Arial"/>
        </w:rPr>
        <w:t> 28.</w:t>
      </w:r>
      <w:r>
        <w:rPr>
          <w:rFonts w:ascii="Arial" w:hAnsi="Arial" w:cs="Arial"/>
        </w:rPr>
        <w:t xml:space="preserve"> novembra 2012.   </w:t>
      </w:r>
    </w:p>
    <w:p w:rsidR="00955817" w:rsidP="00955817">
      <w:pPr>
        <w:pStyle w:val="BodyText"/>
        <w:bidi w:val="0"/>
        <w:rPr>
          <w:rFonts w:ascii="Arial" w:hAnsi="Arial" w:cs="Arial"/>
        </w:rPr>
      </w:pPr>
    </w:p>
    <w:p w:rsidR="00955817" w:rsidP="00955817">
      <w:pPr>
        <w:pStyle w:val="BodyText"/>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955817" w:rsidP="00955817">
      <w:pPr>
        <w:pStyle w:val="BodyText"/>
        <w:bidi w:val="0"/>
        <w:rPr>
          <w:rFonts w:ascii="Arial" w:hAnsi="Arial" w:cs="Arial"/>
        </w:rPr>
      </w:pPr>
    </w:p>
    <w:p w:rsidR="00955817" w:rsidP="00955817">
      <w:pPr>
        <w:bidi w:val="0"/>
        <w:rPr>
          <w:rFonts w:ascii="Arial" w:hAnsi="Arial" w:cs="Arial"/>
        </w:rPr>
      </w:pPr>
    </w:p>
    <w:p w:rsidR="00DB28F4">
      <w:pPr>
        <w:bidi w:val="0"/>
        <w:rPr>
          <w:rFonts w:ascii="Times New Roman" w:hAnsi="Times New Roman"/>
        </w:rPr>
      </w:pPr>
    </w:p>
    <w:p w:rsidR="00362210" w:rsidRPr="00FF30AB" w:rsidP="00362210">
      <w:pPr>
        <w:bidi w:val="0"/>
        <w:jc w:val="center"/>
        <w:rPr>
          <w:rFonts w:ascii="Arial" w:hAnsi="Arial" w:cs="Arial"/>
        </w:rPr>
      </w:pPr>
      <w:r>
        <w:rPr>
          <w:rFonts w:ascii="Arial" w:hAnsi="Arial" w:cs="Arial"/>
        </w:rPr>
        <w:t xml:space="preserve">Mikuláš   </w:t>
      </w:r>
      <w:r>
        <w:rPr>
          <w:rFonts w:ascii="Arial" w:hAnsi="Arial" w:cs="Arial"/>
          <w:b/>
        </w:rPr>
        <w:t>H u b a</w:t>
      </w:r>
      <w:r w:rsidR="00FF30AB">
        <w:rPr>
          <w:rFonts w:ascii="Arial" w:hAnsi="Arial" w:cs="Arial"/>
          <w:b/>
        </w:rPr>
        <w:t xml:space="preserve">   </w:t>
      </w:r>
      <w:r w:rsidR="00FF30AB">
        <w:rPr>
          <w:rFonts w:ascii="Arial" w:hAnsi="Arial" w:cs="Arial"/>
        </w:rPr>
        <w:t>v. r.</w:t>
      </w:r>
    </w:p>
    <w:p w:rsidR="00362210" w:rsidRPr="00362210" w:rsidP="00362210">
      <w:pPr>
        <w:bidi w:val="0"/>
        <w:jc w:val="center"/>
        <w:rPr>
          <w:rFonts w:ascii="Arial" w:hAnsi="Arial" w:cs="Arial"/>
        </w:rPr>
      </w:pPr>
      <w:r>
        <w:rPr>
          <w:rFonts w:ascii="Arial" w:hAnsi="Arial" w:cs="Arial"/>
        </w:rPr>
        <w:t xml:space="preserve">predseda výboru  </w:t>
      </w:r>
    </w:p>
    <w:sectPr w:rsidSect="00DB1D1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1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F30AB">
      <w:rPr>
        <w:rFonts w:ascii="Times New Roman" w:hAnsi="Times New Roman"/>
        <w:noProof/>
      </w:rPr>
      <w:t>8</w:t>
    </w:r>
    <w:r>
      <w:rPr>
        <w:rFonts w:ascii="Times New Roman" w:hAnsi="Times New Roman"/>
      </w:rPr>
      <w:fldChar w:fldCharType="end"/>
    </w:r>
  </w:p>
  <w:p w:rsidR="00DB1D1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542A1"/>
    <w:multiLevelType w:val="hybridMultilevel"/>
    <w:tmpl w:val="1FAA1646"/>
    <w:lvl w:ilvl="0">
      <w:start w:val="1"/>
      <w:numFmt w:val="decimal"/>
      <w:lvlText w:val="%1."/>
      <w:lvlJc w:val="left"/>
      <w:pPr>
        <w:tabs>
          <w:tab w:val="num" w:pos="360"/>
        </w:tabs>
        <w:ind w:left="36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AB51A79"/>
    <w:multiLevelType w:val="hybridMultilevel"/>
    <w:tmpl w:val="CC5C5A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55817"/>
    <w:rsid w:val="002B4832"/>
    <w:rsid w:val="00362210"/>
    <w:rsid w:val="003B535A"/>
    <w:rsid w:val="00565A78"/>
    <w:rsid w:val="00797A6E"/>
    <w:rsid w:val="008072B4"/>
    <w:rsid w:val="00955817"/>
    <w:rsid w:val="00A1333B"/>
    <w:rsid w:val="00AF1C8A"/>
    <w:rsid w:val="00B3709D"/>
    <w:rsid w:val="00C15FB4"/>
    <w:rsid w:val="00C22FA6"/>
    <w:rsid w:val="00C300A5"/>
    <w:rsid w:val="00C607C6"/>
    <w:rsid w:val="00DB1D14"/>
    <w:rsid w:val="00DB28F4"/>
    <w:rsid w:val="00E04BC3"/>
    <w:rsid w:val="00E90D4B"/>
    <w:rsid w:val="00FC6985"/>
    <w:rsid w:val="00FF30A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1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left"/>
    </w:pPr>
    <w:rPr>
      <w:rFonts w:asciiTheme="majorHAnsi" w:eastAsiaTheme="majorEastAsia" w:hAnsiTheme="majorHAnsi"/>
    </w:rPr>
  </w:style>
  <w:style w:type="paragraph" w:styleId="Title">
    <w:name w:val="Title"/>
    <w:basedOn w:val="Normal"/>
    <w:link w:val="NzovChar"/>
    <w:uiPriority w:val="10"/>
    <w:qFormat/>
    <w:rsid w:val="00955817"/>
    <w:pPr>
      <w:jc w:val="center"/>
    </w:pPr>
    <w:rPr>
      <w:b/>
      <w:bCs/>
      <w:sz w:val="28"/>
    </w:rPr>
  </w:style>
  <w:style w:type="character" w:customStyle="1" w:styleId="NzovChar">
    <w:name w:val="Názov Char"/>
    <w:basedOn w:val="DefaultParagraphFont"/>
    <w:link w:val="Title"/>
    <w:uiPriority w:val="10"/>
    <w:locked/>
    <w:rsid w:val="00955817"/>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semiHidden/>
    <w:unhideWhenUsed/>
    <w:rsid w:val="00955817"/>
    <w:pPr>
      <w:jc w:val="both"/>
    </w:pPr>
  </w:style>
  <w:style w:type="character" w:customStyle="1" w:styleId="ZkladntextChar">
    <w:name w:val="Základný text Char"/>
    <w:basedOn w:val="DefaultParagraphFont"/>
    <w:link w:val="BodyText"/>
    <w:uiPriority w:val="99"/>
    <w:semiHidden/>
    <w:locked/>
    <w:rsid w:val="00955817"/>
    <w:rPr>
      <w:rFonts w:ascii="Times New Roman" w:hAnsi="Times New Roman" w:cs="Times New Roman"/>
      <w:rtl w:val="0"/>
      <w:cs w:val="0"/>
      <w:lang w:val="x-none" w:eastAsia="sk-SK"/>
    </w:rPr>
  </w:style>
  <w:style w:type="paragraph" w:styleId="BodyTextIndent2">
    <w:name w:val="Body Text Indent 2"/>
    <w:basedOn w:val="Normal"/>
    <w:link w:val="Zarkazkladnhotextu2Char"/>
    <w:uiPriority w:val="99"/>
    <w:semiHidden/>
    <w:unhideWhenUsed/>
    <w:rsid w:val="0095581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955817"/>
    <w:rPr>
      <w:rFonts w:ascii="Times New Roman" w:hAnsi="Times New Roman" w:cs="Times New Roman"/>
      <w:rtl w:val="0"/>
      <w:cs w:val="0"/>
      <w:lang w:val="x-none" w:eastAsia="sk-SK"/>
    </w:rPr>
  </w:style>
  <w:style w:type="paragraph" w:styleId="PlainText">
    <w:name w:val="Plain Text"/>
    <w:basedOn w:val="Normal"/>
    <w:link w:val="ObyajntextChar"/>
    <w:uiPriority w:val="99"/>
    <w:semiHidden/>
    <w:unhideWhenUsed/>
    <w:rsid w:val="00797A6E"/>
    <w:pPr>
      <w:jc w:val="left"/>
    </w:pPr>
    <w:rPr>
      <w:rFonts w:ascii="Consolas" w:hAnsi="Consolas"/>
      <w:sz w:val="20"/>
      <w:szCs w:val="20"/>
    </w:rPr>
  </w:style>
  <w:style w:type="character" w:customStyle="1" w:styleId="ObyajntextChar">
    <w:name w:val="Obyčajný text Char"/>
    <w:basedOn w:val="DefaultParagraphFont"/>
    <w:link w:val="PlainText"/>
    <w:uiPriority w:val="99"/>
    <w:semiHidden/>
    <w:locked/>
    <w:rsid w:val="00797A6E"/>
    <w:rPr>
      <w:rFonts w:ascii="Consolas" w:hAnsi="Consolas" w:cs="Times New Roman"/>
      <w:sz w:val="20"/>
      <w:szCs w:val="20"/>
      <w:rtl w:val="0"/>
      <w:cs w:val="0"/>
      <w:lang w:val="x-none" w:eastAsia="sk-SK"/>
    </w:rPr>
  </w:style>
  <w:style w:type="paragraph" w:styleId="Header">
    <w:name w:val="header"/>
    <w:basedOn w:val="Normal"/>
    <w:link w:val="HlavikaChar"/>
    <w:uiPriority w:val="99"/>
    <w:unhideWhenUsed/>
    <w:rsid w:val="00DB1D14"/>
    <w:pPr>
      <w:tabs>
        <w:tab w:val="center" w:pos="4536"/>
        <w:tab w:val="right" w:pos="9072"/>
      </w:tabs>
      <w:jc w:val="left"/>
    </w:pPr>
  </w:style>
  <w:style w:type="character" w:customStyle="1" w:styleId="HlavikaChar">
    <w:name w:val="Hlavička Char"/>
    <w:basedOn w:val="DefaultParagraphFont"/>
    <w:link w:val="Header"/>
    <w:uiPriority w:val="99"/>
    <w:locked/>
    <w:rsid w:val="00DB1D14"/>
    <w:rPr>
      <w:rFonts w:ascii="Times New Roman" w:hAnsi="Times New Roman" w:cs="Times New Roman"/>
      <w:rtl w:val="0"/>
      <w:cs w:val="0"/>
      <w:lang w:val="x-none" w:eastAsia="sk-SK"/>
    </w:rPr>
  </w:style>
  <w:style w:type="paragraph" w:styleId="Footer">
    <w:name w:val="footer"/>
    <w:basedOn w:val="Normal"/>
    <w:link w:val="PtaChar"/>
    <w:uiPriority w:val="99"/>
    <w:unhideWhenUsed/>
    <w:rsid w:val="00DB1D14"/>
    <w:pPr>
      <w:tabs>
        <w:tab w:val="center" w:pos="4536"/>
        <w:tab w:val="right" w:pos="9072"/>
      </w:tabs>
      <w:jc w:val="left"/>
    </w:pPr>
  </w:style>
  <w:style w:type="character" w:customStyle="1" w:styleId="PtaChar">
    <w:name w:val="Päta Char"/>
    <w:basedOn w:val="DefaultParagraphFont"/>
    <w:link w:val="Footer"/>
    <w:uiPriority w:val="99"/>
    <w:locked/>
    <w:rsid w:val="00DB1D14"/>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FF30A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F30AB"/>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05A1-6B77-4A70-9D2C-384C8C3E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43</TotalTime>
  <Pages>8</Pages>
  <Words>1907</Words>
  <Characters>10872</Characters>
  <Application>Microsoft Office Word</Application>
  <DocSecurity>0</DocSecurity>
  <Lines>0</Lines>
  <Paragraphs>0</Paragraphs>
  <ScaleCrop>false</ScaleCrop>
  <Company>Kancelaria NR SR</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5</cp:revision>
  <cp:lastPrinted>2012-11-28T09:11:00Z</cp:lastPrinted>
  <dcterms:created xsi:type="dcterms:W3CDTF">2012-11-28T06:53:00Z</dcterms:created>
  <dcterms:modified xsi:type="dcterms:W3CDTF">2012-11-28T09:11:00Z</dcterms:modified>
</cp:coreProperties>
</file>