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1DA2" w:rsidP="00AB1DA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  <w:tab/>
        <w:tab/>
        <w:tab/>
        <w:tab/>
        <w:tab/>
        <w:tab/>
      </w:r>
    </w:p>
    <w:p w:rsidR="00AB1DA2" w:rsidP="00AB1DA2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AB1DA2" w:rsidP="00AB1DA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CDR-1917/2012</w:t>
      </w:r>
    </w:p>
    <w:p w:rsidR="00AB1DA2" w:rsidP="00AB1DA2">
      <w:pPr>
        <w:bidi w:val="0"/>
        <w:rPr>
          <w:rFonts w:ascii="AT*Toronto" w:hAnsi="AT*Toronto"/>
          <w:szCs w:val="20"/>
        </w:rPr>
      </w:pPr>
    </w:p>
    <w:p w:rsidR="00AB1DA2" w:rsidP="00AB1DA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AB1DA2" w:rsidP="00AB1DA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 xml:space="preserve">140 </w:t>
      </w:r>
    </w:p>
    <w:p w:rsidR="00AB1DA2" w:rsidP="00AB1DA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B1DA2" w:rsidP="00AB1DA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B1DA2" w:rsidP="00AB1DA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AB1DA2" w:rsidP="00AB1DA2">
      <w:pPr>
        <w:pStyle w:val="BodyText"/>
        <w:bidi w:val="0"/>
        <w:rPr>
          <w:rFonts w:ascii="Times New Roman" w:hAnsi="Times New Roman"/>
        </w:rPr>
      </w:pPr>
    </w:p>
    <w:p w:rsidR="00AB1DA2" w:rsidP="00AB1DA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zákona, ktorým sa mení zákon č. 131/2002 Z. z. o vysokých školách a o zmene a doplnení niektorých zákonov v znení neskorších predpisov, a ktorým sa mení zákon č. 455/2004 Z.z. o zriadení Akadémie ozbrojených síl generála Milana Rastislava Štefánika v Košiciach s Technickou univerzitou v Košiciach, o zriadení Národnej akadémie obrany maršala Andreja Hadíka a o zmene a doplnení niektorých zákonov v znení zákona č. 144/2008 Z. z.  (tlač 223)</w:t>
      </w:r>
    </w:p>
    <w:p w:rsidR="00AB1DA2" w:rsidP="00AB1DA2">
      <w:pPr>
        <w:pStyle w:val="ListParagraph"/>
        <w:tabs>
          <w:tab w:val="left" w:pos="284"/>
        </w:tabs>
        <w:bidi w:val="0"/>
        <w:ind w:left="426"/>
        <w:jc w:val="both"/>
        <w:rPr>
          <w:rFonts w:ascii="Times New Roman" w:hAnsi="Times New Roman"/>
        </w:rPr>
      </w:pPr>
    </w:p>
    <w:p w:rsidR="00AB1DA2" w:rsidP="00AB1DA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B1DA2" w:rsidP="00AB1DA2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AB1DA2" w:rsidP="00AB1DA2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B1DA2" w:rsidP="00AB1DA2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AB1DA2" w:rsidP="00AB1DA2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B1DA2" w:rsidP="00AB1DA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 ktorým sa mení zákon č. 131/2002 Z. z. o vysokých školách a o zmene a doplnení niektorých zákonov v znení neskorších predpisov, a ktorým sa mení zákon č. 455/2004 Z.z. o zriadení Akadémie ozbrojených síl generála Milana Rastislava Štefánika v Košiciach s Technickou univerzitou v Košiciach, o zriadení Národnej akadémie obrany maršala Andreja Hadíka a o zmene a doplnení niektorých zákonov v znení zákona č. 144/2008 Z. z.  (tlač 223);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B1DA2" w:rsidP="00AB1DA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B1DA2" w:rsidP="00AB1DA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zákona, ktorým sa mení zákon č. 131/2002 Z. z. o vysokých školách a o zmene a doplnení niektorých zákonov v znení neskorších predpisov, a ktorým sa mení zákon č. 455/2004 Z.z. o zriadení Akadémie ozbrojených síl generála Milana Rastislava Štefánika v Košiciach s Technickou univerzitou v Košiciach, o zriadení Národnej akadémie obrany maršala Andreja Hadíka a o zmene a doplnení niektorých zákonov v znení zákona č. 144/2008 Z. z.  (tlač 223)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AB1DA2" w:rsidP="00AB1DA2">
      <w:pPr>
        <w:bidi w:val="0"/>
        <w:jc w:val="both"/>
        <w:rPr>
          <w:rFonts w:ascii="Times New Roman" w:hAnsi="Times New Roman"/>
        </w:rPr>
      </w:pPr>
    </w:p>
    <w:p w:rsidR="00AB1DA2" w:rsidP="00AB1DA2">
      <w:pPr>
        <w:bidi w:val="0"/>
        <w:jc w:val="both"/>
        <w:rPr>
          <w:rFonts w:ascii="Times New Roman" w:hAnsi="Times New Roman"/>
        </w:rPr>
      </w:pPr>
    </w:p>
    <w:p w:rsidR="00AB1DA2" w:rsidP="00AB1DA2">
      <w:pPr>
        <w:bidi w:val="0"/>
        <w:jc w:val="both"/>
        <w:rPr>
          <w:rFonts w:ascii="Times New Roman" w:hAnsi="Times New Roman"/>
        </w:rPr>
      </w:pPr>
    </w:p>
    <w:p w:rsidR="00AB1DA2" w:rsidP="00AB1DA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AB1DA2" w:rsidP="00AB1DA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B1DA2" w:rsidP="00AB1DA2">
      <w:pPr>
        <w:tabs>
          <w:tab w:val="left" w:pos="1080"/>
        </w:tabs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  <w:sz w:val="22"/>
        </w:rPr>
        <w:t xml:space="preserve">vzdelávanie, vedu, mládež a šport, </w:t>
      </w: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B1DA2" w:rsidP="00AB1DA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1DA2" w:rsidP="00AB1DA2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Róbert Madej </w:t>
      </w:r>
    </w:p>
    <w:p w:rsidR="00AB1DA2" w:rsidP="00AB1DA2">
      <w:pPr>
        <w:bidi w:val="0"/>
        <w:ind w:left="2124" w:firstLine="468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B1DA2" w:rsidP="00AB1DA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B1DA2" w:rsidP="00AB1DA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B1DA2" w:rsidP="00AB1DA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AB1DA2" w:rsidP="00AB1DA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AB1DA2" w:rsidP="00AB1DA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B1DA2" w:rsidP="00AB1DA2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AB1DA2" w:rsidP="00AB1DA2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AB1DA2" w:rsidP="00AB1DA2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140</w:t>
      </w:r>
    </w:p>
    <w:p w:rsidR="00AB1DA2" w:rsidP="00AB1DA2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AB1DA2" w:rsidP="00AB1DA2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AB1DA2" w:rsidP="00AB1DA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B1DA2" w:rsidP="00AB1DA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B1DA2" w:rsidP="00AB1DA2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B1DA2" w:rsidP="00AB1DA2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B1DA2" w:rsidP="00AB1DA2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AB1DA2" w:rsidP="00AB1DA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vládnemu návrhu zákona, ktorým sa mení zákon č. 131/2002 Z. z. o vysokých školách a o zmene a doplnení niektorých zákonov v znení neskorších predpisov, a ktorým sa mení zákon č. 455/2004 Z.z. o zriadení Akadémie ozbrojených síl generála Milana Rastislava Štefánika v Košiciach s Technickou univerzitou v Košiciach, o zriadení Národnej akadémie obrany maršala Andreja Hadíka a o zmene a doplnení niektorých zákonov v znení zákona č. 144/2008 Z. z.  (tlač 223)</w:t>
      </w:r>
    </w:p>
    <w:p w:rsidR="00AB1DA2" w:rsidP="00AB1DA2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B1DA2" w:rsidP="00AB1DA2">
      <w:pPr>
        <w:bidi w:val="0"/>
        <w:jc w:val="both"/>
        <w:rPr>
          <w:rFonts w:ascii="Times New Roman" w:hAnsi="Times New Roman"/>
          <w:b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pStyle w:val="BodyText"/>
        <w:bidi w:val="0"/>
        <w:ind w:left="15" w:hanging="15"/>
        <w:rPr>
          <w:rFonts w:ascii="Times New Roman" w:hAnsi="Times New Roman"/>
        </w:rPr>
      </w:pPr>
    </w:p>
    <w:p w:rsidR="00AB1DA2" w:rsidP="00AB1DA2">
      <w:pPr>
        <w:pStyle w:val="NoSpacing"/>
        <w:bidi w:val="0"/>
        <w:jc w:val="both"/>
        <w:rPr>
          <w:rFonts w:hint="default"/>
        </w:rPr>
      </w:pPr>
      <w:r>
        <w:t>1. V </w:t>
      </w:r>
      <w:r>
        <w:rPr>
          <w:rFonts w:hint="default"/>
        </w:rPr>
        <w:t>č</w:t>
      </w:r>
      <w:r>
        <w:rPr>
          <w:rFonts w:hint="default"/>
        </w:rPr>
        <w:t>l. I </w:t>
      </w:r>
      <w:r>
        <w:rPr>
          <w:rFonts w:hint="default"/>
        </w:rPr>
        <w:t>sa za 15. bod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16. bod, ktorý</w:t>
      </w:r>
      <w:r>
        <w:rPr>
          <w:rFonts w:hint="default"/>
        </w:rPr>
        <w:t xml:space="preserve"> znie:</w:t>
      </w:r>
    </w:p>
    <w:p w:rsidR="00AB1DA2" w:rsidP="00AB1DA2">
      <w:pPr>
        <w:pStyle w:val="NoSpacing"/>
        <w:bidi w:val="0"/>
        <w:spacing w:line="360" w:lineRule="auto"/>
        <w:jc w:val="both"/>
      </w:pPr>
    </w:p>
    <w:p w:rsidR="00AB1DA2" w:rsidP="00AB1DA2">
      <w:pPr>
        <w:pStyle w:val="NoSpacing"/>
        <w:bidi w:val="0"/>
        <w:spacing w:line="360" w:lineRule="auto"/>
        <w:ind w:firstLine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16. §</w:t>
      </w:r>
      <w:r>
        <w:rPr>
          <w:rFonts w:hint="default"/>
        </w:rPr>
        <w:t xml:space="preserve"> 9 sa dopĺň</w:t>
      </w:r>
      <w:r>
        <w:rPr>
          <w:rFonts w:hint="default"/>
        </w:rPr>
        <w:t>a odsekom 3, ktorý</w:t>
      </w:r>
      <w:r>
        <w:rPr>
          <w:rFonts w:hint="default"/>
        </w:rPr>
        <w:t xml:space="preserve"> znie:</w:t>
      </w:r>
    </w:p>
    <w:p w:rsidR="00AB1DA2" w:rsidP="00AB1DA2">
      <w:pPr>
        <w:pStyle w:val="NoSpacing"/>
        <w:bidi w:val="0"/>
        <w:spacing w:line="360" w:lineRule="auto"/>
        <w:ind w:firstLine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(3) Akademický</w:t>
      </w:r>
      <w:r>
        <w:rPr>
          <w:rFonts w:hint="default"/>
        </w:rPr>
        <w:t xml:space="preserve"> sená</w:t>
      </w:r>
      <w:r>
        <w:rPr>
          <w:rFonts w:hint="default"/>
        </w:rPr>
        <w:t>t verej</w:t>
      </w:r>
      <w:r>
        <w:rPr>
          <w:rFonts w:hint="default"/>
        </w:rPr>
        <w:t>nej vysokej š</w:t>
      </w:r>
      <w:r>
        <w:rPr>
          <w:rFonts w:hint="default"/>
        </w:rPr>
        <w:t>koly nie je podľ</w:t>
      </w:r>
      <w:r>
        <w:rPr>
          <w:rFonts w:hint="default"/>
        </w:rPr>
        <w:t>a odseku 1 pí</w:t>
      </w:r>
      <w:r>
        <w:rPr>
          <w:rFonts w:hint="default"/>
        </w:rPr>
        <w:t>sm. s) oprá</w:t>
      </w:r>
      <w:r>
        <w:rPr>
          <w:rFonts w:hint="default"/>
        </w:rPr>
        <w:t>vnený</w:t>
      </w:r>
      <w:r>
        <w:rPr>
          <w:rFonts w:hint="default"/>
        </w:rPr>
        <w:t xml:space="preserve">  vykoná</w:t>
      </w:r>
      <w:r>
        <w:rPr>
          <w:rFonts w:hint="default"/>
        </w:rPr>
        <w:t>vať</w:t>
      </w:r>
      <w:r>
        <w:rPr>
          <w:rFonts w:hint="default"/>
        </w:rPr>
        <w:t xml:space="preserve"> pô</w:t>
      </w:r>
      <w:r>
        <w:rPr>
          <w:rFonts w:hint="default"/>
        </w:rPr>
        <w:t>sobnosť</w:t>
      </w:r>
      <w:r>
        <w:rPr>
          <w:rFonts w:hint="default"/>
        </w:rPr>
        <w:t xml:space="preserve"> akademické</w:t>
      </w:r>
      <w:r>
        <w:rPr>
          <w:rFonts w:hint="default"/>
        </w:rPr>
        <w:t>ho sená</w:t>
      </w:r>
      <w:r>
        <w:rPr>
          <w:rFonts w:hint="default"/>
        </w:rPr>
        <w:t>tu fakulty verejnej vysokej š</w:t>
      </w:r>
      <w:r>
        <w:rPr>
          <w:rFonts w:hint="default"/>
        </w:rPr>
        <w:t>koly  podľ</w:t>
      </w:r>
      <w:r>
        <w:rPr>
          <w:rFonts w:hint="default"/>
        </w:rPr>
        <w:t>a §</w:t>
      </w:r>
      <w:r>
        <w:rPr>
          <w:rFonts w:hint="default"/>
        </w:rPr>
        <w:t xml:space="preserve"> 27 ods. 1 pí</w:t>
      </w:r>
      <w:r>
        <w:rPr>
          <w:rFonts w:hint="default"/>
        </w:rPr>
        <w:t>sm. c), d), g), h), j,) k) a </w:t>
      </w:r>
      <w:r>
        <w:rPr>
          <w:rFonts w:hint="default"/>
        </w:rPr>
        <w:t>m). Ak akademický</w:t>
      </w:r>
      <w:r>
        <w:rPr>
          <w:rFonts w:hint="default"/>
        </w:rPr>
        <w:t xml:space="preserve"> sená</w:t>
      </w:r>
      <w:r>
        <w:rPr>
          <w:rFonts w:hint="default"/>
        </w:rPr>
        <w:t>t prí</w:t>
      </w:r>
      <w:r>
        <w:rPr>
          <w:rFonts w:hint="default"/>
        </w:rPr>
        <w:t>sluš</w:t>
      </w:r>
      <w:r>
        <w:rPr>
          <w:rFonts w:hint="default"/>
        </w:rPr>
        <w:t>nej fakulty vykoná</w:t>
      </w:r>
      <w:r>
        <w:rPr>
          <w:rFonts w:hint="default"/>
        </w:rPr>
        <w:t>va svoju pô</w:t>
      </w:r>
      <w:r>
        <w:rPr>
          <w:rFonts w:hint="default"/>
        </w:rPr>
        <w:t>sobnosť</w:t>
      </w:r>
      <w:r>
        <w:rPr>
          <w:rFonts w:hint="default"/>
        </w:rPr>
        <w:t xml:space="preserve"> v </w:t>
      </w:r>
      <w:r>
        <w:rPr>
          <w:rFonts w:hint="default"/>
        </w:rPr>
        <w:t>zlož</w:t>
      </w:r>
      <w:r>
        <w:rPr>
          <w:rFonts w:hint="default"/>
        </w:rPr>
        <w:t>e</w:t>
      </w:r>
      <w:r>
        <w:rPr>
          <w:rFonts w:hint="default"/>
        </w:rPr>
        <w:t>ní</w:t>
      </w:r>
      <w:r>
        <w:rPr>
          <w:rFonts w:hint="default"/>
        </w:rPr>
        <w:t>, ktoré</w:t>
      </w:r>
      <w:r>
        <w:rPr>
          <w:rFonts w:hint="default"/>
        </w:rPr>
        <w:t xml:space="preserve"> je v rozpore s </w:t>
      </w:r>
      <w:r>
        <w:rPr>
          <w:rFonts w:hint="default"/>
        </w:rPr>
        <w:t>tý</w:t>
      </w:r>
      <w:r>
        <w:rPr>
          <w:rFonts w:hint="default"/>
        </w:rPr>
        <w:t>mto zá</w:t>
      </w:r>
      <w:r>
        <w:rPr>
          <w:rFonts w:hint="default"/>
        </w:rPr>
        <w:t>konom alebo vnú</w:t>
      </w:r>
      <w:r>
        <w:rPr>
          <w:rFonts w:hint="default"/>
        </w:rPr>
        <w:t>torný</w:t>
      </w:r>
      <w:r>
        <w:rPr>
          <w:rFonts w:hint="default"/>
        </w:rPr>
        <w:t>mi predpismi fakulty verejnej vysokej š</w:t>
      </w:r>
      <w:r>
        <w:rPr>
          <w:rFonts w:hint="default"/>
        </w:rPr>
        <w:t>koly, akademický</w:t>
      </w:r>
      <w:r>
        <w:rPr>
          <w:rFonts w:hint="default"/>
        </w:rPr>
        <w:t xml:space="preserve"> sená</w:t>
      </w:r>
      <w:r>
        <w:rPr>
          <w:rFonts w:hint="default"/>
        </w:rPr>
        <w:t>t verejnej vysokej š</w:t>
      </w:r>
      <w:r>
        <w:rPr>
          <w:rFonts w:hint="default"/>
        </w:rPr>
        <w:t>koly je oprá</w:t>
      </w:r>
      <w:r>
        <w:rPr>
          <w:rFonts w:hint="default"/>
        </w:rPr>
        <w:t>vnený</w:t>
      </w:r>
      <w:r>
        <w:rPr>
          <w:rFonts w:hint="default"/>
        </w:rPr>
        <w:t xml:space="preserve"> urobiť</w:t>
      </w:r>
      <w:r>
        <w:rPr>
          <w:rFonts w:hint="default"/>
        </w:rPr>
        <w:t xml:space="preserve"> opatrenia, aby sa zlož</w:t>
      </w:r>
      <w:r>
        <w:rPr>
          <w:rFonts w:hint="default"/>
        </w:rPr>
        <w:t>enie akademické</w:t>
      </w:r>
      <w:r>
        <w:rPr>
          <w:rFonts w:hint="default"/>
        </w:rPr>
        <w:t>ho sená</w:t>
      </w:r>
      <w:r>
        <w:rPr>
          <w:rFonts w:hint="default"/>
        </w:rPr>
        <w:t>tu tejto fakulty uviedlo do sú</w:t>
      </w:r>
      <w:r>
        <w:rPr>
          <w:rFonts w:hint="default"/>
        </w:rPr>
        <w:t>ladu s </w:t>
      </w:r>
      <w:r>
        <w:rPr>
          <w:rFonts w:hint="default"/>
        </w:rPr>
        <w:t>tý</w:t>
      </w:r>
      <w:r>
        <w:rPr>
          <w:rFonts w:hint="default"/>
        </w:rPr>
        <w:t>mto zá</w:t>
      </w:r>
      <w:r>
        <w:rPr>
          <w:rFonts w:hint="default"/>
        </w:rPr>
        <w:t>konom a </w:t>
      </w:r>
      <w:r>
        <w:rPr>
          <w:rFonts w:hint="default"/>
        </w:rPr>
        <w:t>s</w:t>
      </w:r>
      <w:r>
        <w:rPr>
          <w:rFonts w:hint="default"/>
        </w:rPr>
        <w:t xml:space="preserve"> vnú</w:t>
      </w:r>
      <w:r>
        <w:rPr>
          <w:rFonts w:hint="default"/>
        </w:rPr>
        <w:t>torný</w:t>
      </w:r>
      <w:r>
        <w:rPr>
          <w:rFonts w:hint="default"/>
        </w:rPr>
        <w:t>mi predpismi tejto fakulty. Akademický</w:t>
      </w:r>
      <w:r>
        <w:rPr>
          <w:rFonts w:hint="default"/>
        </w:rPr>
        <w:t xml:space="preserve"> sená</w:t>
      </w:r>
      <w:r>
        <w:rPr>
          <w:rFonts w:hint="default"/>
        </w:rPr>
        <w:t>t verejnej vysokej š</w:t>
      </w:r>
      <w:r>
        <w:rPr>
          <w:rFonts w:hint="default"/>
        </w:rPr>
        <w:t>koly je oprá</w:t>
      </w:r>
      <w:r>
        <w:rPr>
          <w:rFonts w:hint="default"/>
        </w:rPr>
        <w:t>vnený</w:t>
      </w:r>
      <w:r>
        <w:rPr>
          <w:rFonts w:hint="default"/>
        </w:rPr>
        <w:t xml:space="preserve"> vykoná</w:t>
      </w:r>
      <w:r>
        <w:rPr>
          <w:rFonts w:hint="default"/>
        </w:rPr>
        <w:t>vať</w:t>
      </w:r>
      <w:r>
        <w:rPr>
          <w:rFonts w:hint="default"/>
        </w:rPr>
        <w:t xml:space="preserve"> pô</w:t>
      </w:r>
      <w:r>
        <w:rPr>
          <w:rFonts w:hint="default"/>
        </w:rPr>
        <w:t>sobnosť</w:t>
      </w:r>
      <w:r>
        <w:rPr>
          <w:rFonts w:hint="default"/>
        </w:rPr>
        <w:t xml:space="preserve"> akademické</w:t>
      </w:r>
      <w:r>
        <w:rPr>
          <w:rFonts w:hint="default"/>
        </w:rPr>
        <w:t>ho sená</w:t>
      </w:r>
      <w:r>
        <w:rPr>
          <w:rFonts w:hint="default"/>
        </w:rPr>
        <w:t>tu fakulty verejnej vysokej š</w:t>
      </w:r>
      <w:r>
        <w:rPr>
          <w:rFonts w:hint="default"/>
        </w:rPr>
        <w:t>koly podľ</w:t>
      </w:r>
      <w:r>
        <w:rPr>
          <w:rFonts w:hint="default"/>
        </w:rPr>
        <w:t>a odseku 1 pí</w:t>
      </w:r>
      <w:r>
        <w:rPr>
          <w:rFonts w:hint="default"/>
        </w:rPr>
        <w:t>sm. s):</w:t>
      </w: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a) podľ</w:t>
      </w:r>
      <w:r>
        <w:rPr>
          <w:rFonts w:hint="default"/>
        </w:rPr>
        <w:t>a §</w:t>
      </w:r>
      <w:r>
        <w:rPr>
          <w:rFonts w:hint="default"/>
        </w:rPr>
        <w:t xml:space="preserve"> 27 ods. 1 pí</w:t>
      </w:r>
      <w:r>
        <w:rPr>
          <w:rFonts w:hint="default"/>
        </w:rPr>
        <w:t>sm. a) len v </w:t>
      </w:r>
      <w:r>
        <w:rPr>
          <w:rFonts w:hint="default"/>
        </w:rPr>
        <w:t>rozsahu schvaľ</w:t>
      </w:r>
      <w:r>
        <w:rPr>
          <w:rFonts w:hint="default"/>
        </w:rPr>
        <w:t>ovania zmien a dopln</w:t>
      </w:r>
      <w:r>
        <w:rPr>
          <w:rFonts w:hint="default"/>
        </w:rPr>
        <w:t>kov predpisov prí</w:t>
      </w:r>
      <w:r>
        <w:rPr>
          <w:rFonts w:hint="default"/>
        </w:rPr>
        <w:t>sluš</w:t>
      </w:r>
      <w:r>
        <w:rPr>
          <w:rFonts w:hint="default"/>
        </w:rPr>
        <w:t>nej fakulty tak, aby tieto zmeny a doplnky neboli v </w:t>
      </w:r>
      <w:r>
        <w:rPr>
          <w:rFonts w:hint="default"/>
        </w:rPr>
        <w:t>rozpore so zá</w:t>
      </w:r>
      <w:r>
        <w:rPr>
          <w:rFonts w:hint="default"/>
        </w:rPr>
        <w:t>konom,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 prá</w:t>
      </w:r>
      <w:r>
        <w:rPr>
          <w:rFonts w:hint="default"/>
        </w:rPr>
        <w:t>vnym predpisom alebo š</w:t>
      </w:r>
      <w:r>
        <w:rPr>
          <w:rFonts w:hint="default"/>
        </w:rPr>
        <w:t>tatú</w:t>
      </w:r>
      <w:r>
        <w:rPr>
          <w:rFonts w:hint="default"/>
        </w:rPr>
        <w:t>tom prí</w:t>
      </w:r>
      <w:r>
        <w:rPr>
          <w:rFonts w:hint="default"/>
        </w:rPr>
        <w:t>sluš</w:t>
      </w:r>
      <w:r>
        <w:rPr>
          <w:rFonts w:hint="default"/>
        </w:rPr>
        <w:t>nej fakulty,</w:t>
      </w: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b) podľ</w:t>
      </w:r>
      <w:r>
        <w:rPr>
          <w:rFonts w:hint="default"/>
        </w:rPr>
        <w:t>a §</w:t>
      </w:r>
      <w:r>
        <w:rPr>
          <w:rFonts w:hint="default"/>
        </w:rPr>
        <w:t xml:space="preserve"> 27 ods. 1 pí</w:t>
      </w:r>
      <w:r>
        <w:rPr>
          <w:rFonts w:hint="default"/>
        </w:rPr>
        <w:t>sm. b) len v </w:t>
      </w:r>
      <w:r>
        <w:rPr>
          <w:rFonts w:hint="default"/>
        </w:rPr>
        <w:t>rozsahu schvaľ</w:t>
      </w:r>
      <w:r>
        <w:rPr>
          <w:rFonts w:hint="default"/>
        </w:rPr>
        <w:t>ovania ná</w:t>
      </w:r>
      <w:r>
        <w:rPr>
          <w:rFonts w:hint="default"/>
        </w:rPr>
        <w:t>vrhu rektora na odvolanie dekana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28 ods. 3,</w:t>
      </w: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c) podľ</w:t>
      </w:r>
      <w:r>
        <w:rPr>
          <w:rFonts w:hint="default"/>
        </w:rPr>
        <w:t>a §</w:t>
      </w:r>
      <w:r>
        <w:rPr>
          <w:rFonts w:hint="default"/>
        </w:rPr>
        <w:t xml:space="preserve"> 27 ods. 1 pí</w:t>
      </w:r>
      <w:r>
        <w:rPr>
          <w:rFonts w:hint="default"/>
        </w:rPr>
        <w:t>sm. e) len v rozsahu kontroly nakladania s </w:t>
      </w:r>
      <w:r>
        <w:rPr>
          <w:rFonts w:hint="default"/>
        </w:rPr>
        <w:t>finanč</w:t>
      </w:r>
      <w:r>
        <w:rPr>
          <w:rFonts w:hint="default"/>
        </w:rPr>
        <w:t>ný</w:t>
      </w:r>
      <w:r>
        <w:rPr>
          <w:rFonts w:hint="default"/>
        </w:rPr>
        <w:t>mi prostriedkami fakulty.“.“</w:t>
      </w: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  <w:r>
        <w:rPr>
          <w:rFonts w:hint="default"/>
        </w:rPr>
        <w:t>Nasledujú</w:t>
      </w:r>
      <w:r>
        <w:rPr>
          <w:rFonts w:hint="default"/>
        </w:rPr>
        <w:t>ce body sa primerane prečí</w:t>
      </w:r>
      <w:r>
        <w:rPr>
          <w:rFonts w:hint="default"/>
        </w:rPr>
        <w:t>slujú.</w:t>
      </w:r>
    </w:p>
    <w:p w:rsidR="00AB1DA2" w:rsidP="00AB1DA2">
      <w:pPr>
        <w:pStyle w:val="NoSpacing"/>
        <w:bidi w:val="0"/>
        <w:ind w:left="3828"/>
        <w:jc w:val="both"/>
      </w:pP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tatú</w:t>
      </w:r>
      <w:r>
        <w:rPr>
          <w:rStyle w:val="apple-style-span"/>
          <w:rFonts w:hint="default"/>
        </w:rPr>
        <w:t>t verejnej vysokej š</w:t>
      </w:r>
      <w:r>
        <w:rPr>
          <w:rStyle w:val="apple-style-span"/>
          <w:rFonts w:hint="default"/>
        </w:rPr>
        <w:t>koly presne upraví</w:t>
      </w:r>
      <w:r>
        <w:rPr>
          <w:rStyle w:val="apple-style-span"/>
          <w:rFonts w:hint="default"/>
        </w:rPr>
        <w:t xml:space="preserve"> podmienky, za ktorý</w:t>
      </w:r>
      <w:r>
        <w:rPr>
          <w:rStyle w:val="apple-style-span"/>
          <w:rFonts w:hint="default"/>
        </w:rPr>
        <w:t>ch je oprá</w:t>
      </w:r>
      <w:r>
        <w:rPr>
          <w:rStyle w:val="apple-style-span"/>
          <w:rFonts w:hint="default"/>
        </w:rPr>
        <w:t>vnený</w:t>
      </w:r>
      <w:r>
        <w:rPr>
          <w:rStyle w:val="apple-style-span"/>
          <w:rFonts w:hint="default"/>
        </w:rPr>
        <w:t xml:space="preserve"> akademický</w:t>
      </w:r>
      <w:r>
        <w:rPr>
          <w:rStyle w:val="apple-style-span"/>
          <w:rFonts w:hint="default"/>
        </w:rPr>
        <w:t xml:space="preserve"> </w:t>
      </w:r>
      <w:r>
        <w:rPr>
          <w:rStyle w:val="apple-style-span"/>
          <w:rFonts w:hint="default"/>
        </w:rPr>
        <w:t>sená</w:t>
      </w:r>
      <w:r>
        <w:rPr>
          <w:rStyle w:val="apple-style-span"/>
          <w:rFonts w:hint="default"/>
        </w:rPr>
        <w:t>t verejnej vysokej š</w:t>
      </w:r>
      <w:r>
        <w:rPr>
          <w:rStyle w:val="apple-style-span"/>
          <w:rFonts w:hint="default"/>
        </w:rPr>
        <w:t>koly prevziať</w:t>
      </w:r>
      <w:r>
        <w:rPr>
          <w:rStyle w:val="apple-style-span"/>
          <w:rFonts w:hint="default"/>
        </w:rPr>
        <w:t xml:space="preserve"> kompetencie akademické</w:t>
      </w:r>
      <w:r>
        <w:rPr>
          <w:rStyle w:val="apple-style-span"/>
          <w:rFonts w:hint="default"/>
        </w:rPr>
        <w:t>ho sená</w:t>
      </w:r>
      <w:r>
        <w:rPr>
          <w:rStyle w:val="apple-style-span"/>
          <w:rFonts w:hint="default"/>
        </w:rPr>
        <w:t xml:space="preserve">tu fakulty </w:t>
      </w:r>
      <w:r>
        <w:rPr>
          <w:rStyle w:val="apple-style-span"/>
          <w:rFonts w:hint="default"/>
        </w:rPr>
        <w:t>–</w:t>
      </w:r>
      <w:r>
        <w:rPr>
          <w:rStyle w:val="apple-style-span"/>
          <w:rFonts w:hint="default"/>
        </w:rPr>
        <w:t xml:space="preserve"> tieto body je vš</w:t>
      </w:r>
      <w:r>
        <w:rPr>
          <w:rStyle w:val="apple-style-span"/>
          <w:rFonts w:hint="default"/>
        </w:rPr>
        <w:t>ak nutné</w:t>
      </w:r>
      <w:r>
        <w:rPr>
          <w:rStyle w:val="apple-style-span"/>
          <w:rFonts w:hint="default"/>
        </w:rPr>
        <w:t xml:space="preserve"> presne vyš</w:t>
      </w:r>
      <w:r>
        <w:rPr>
          <w:rStyle w:val="apple-style-span"/>
          <w:rFonts w:hint="default"/>
        </w:rPr>
        <w:t>pecifikovať</w:t>
      </w:r>
      <w:r>
        <w:rPr>
          <w:rStyle w:val="apple-style-span"/>
          <w:rFonts w:hint="default"/>
        </w:rPr>
        <w:t xml:space="preserve"> už</w:t>
      </w:r>
      <w:r>
        <w:rPr>
          <w:rStyle w:val="apple-style-span"/>
          <w:rFonts w:hint="default"/>
        </w:rPr>
        <w:t xml:space="preserve"> vo vysokoš</w:t>
      </w:r>
      <w:r>
        <w:rPr>
          <w:rStyle w:val="apple-style-span"/>
          <w:rFonts w:hint="default"/>
        </w:rPr>
        <w:t>kolskom zá</w:t>
      </w:r>
      <w:r>
        <w:rPr>
          <w:rStyle w:val="apple-style-span"/>
          <w:rFonts w:hint="default"/>
        </w:rPr>
        <w:t>kone a </w:t>
      </w:r>
      <w:r>
        <w:rPr>
          <w:rStyle w:val="apple-style-span"/>
          <w:rFonts w:hint="default"/>
        </w:rPr>
        <w:t>to tak, aby bol aplikovateľ</w:t>
      </w:r>
      <w:r>
        <w:rPr>
          <w:rStyle w:val="apple-style-span"/>
          <w:rFonts w:hint="default"/>
        </w:rPr>
        <w:t>ný</w:t>
      </w:r>
      <w:r>
        <w:rPr>
          <w:rStyle w:val="apple-style-span"/>
          <w:rFonts w:hint="default"/>
        </w:rPr>
        <w:t xml:space="preserve"> iba v </w:t>
      </w:r>
      <w:r>
        <w:rPr>
          <w:rStyle w:val="apple-style-span"/>
          <w:rFonts w:hint="default"/>
        </w:rPr>
        <w:t>prí</w:t>
      </w:r>
      <w:r>
        <w:rPr>
          <w:rStyle w:val="apple-style-span"/>
          <w:rFonts w:hint="default"/>
        </w:rPr>
        <w:t>padoch veľ</w:t>
      </w:r>
      <w:r>
        <w:rPr>
          <w:rStyle w:val="apple-style-span"/>
          <w:rFonts w:hint="default"/>
        </w:rPr>
        <w:t>mi zá</w:t>
      </w:r>
      <w:r>
        <w:rPr>
          <w:rStyle w:val="apple-style-span"/>
          <w:rFonts w:hint="default"/>
        </w:rPr>
        <w:t>važ</w:t>
      </w:r>
      <w:r>
        <w:rPr>
          <w:rStyle w:val="apple-style-span"/>
          <w:rFonts w:hint="default"/>
        </w:rPr>
        <w:t>ný</w:t>
      </w:r>
      <w:r>
        <w:rPr>
          <w:rStyle w:val="apple-style-span"/>
          <w:rFonts w:hint="default"/>
        </w:rPr>
        <w:t>ch a </w:t>
      </w:r>
      <w:r>
        <w:rPr>
          <w:rStyle w:val="apple-style-span"/>
          <w:rFonts w:hint="default"/>
        </w:rPr>
        <w:t>naozaj opakovaný</w:t>
      </w:r>
      <w:r>
        <w:rPr>
          <w:rStyle w:val="apple-style-span"/>
          <w:rFonts w:hint="default"/>
        </w:rPr>
        <w:t>ch poruš</w:t>
      </w:r>
      <w:r>
        <w:rPr>
          <w:rStyle w:val="apple-style-span"/>
          <w:rFonts w:hint="default"/>
        </w:rPr>
        <w:t>ení</w:t>
      </w:r>
      <w:r>
        <w:rPr>
          <w:rStyle w:val="apple-style-span"/>
          <w:rFonts w:hint="default"/>
        </w:rPr>
        <w:t xml:space="preserve"> predpi</w:t>
      </w:r>
      <w:r>
        <w:rPr>
          <w:rStyle w:val="apple-style-span"/>
          <w:rFonts w:hint="default"/>
        </w:rPr>
        <w:t>s</w:t>
      </w:r>
      <w:r>
        <w:rPr>
          <w:rStyle w:val="apple-style-span"/>
          <w:rFonts w:hint="default"/>
        </w:rPr>
        <w:t>ov, aby neprichá</w:t>
      </w:r>
      <w:r>
        <w:rPr>
          <w:rStyle w:val="apple-style-span"/>
          <w:rFonts w:hint="default"/>
        </w:rPr>
        <w:t>dzalo k </w:t>
      </w:r>
      <w:r>
        <w:rPr>
          <w:rStyle w:val="apple-style-span"/>
          <w:rFonts w:hint="default"/>
        </w:rPr>
        <w:t>zneuží</w:t>
      </w:r>
      <w:r>
        <w:rPr>
          <w:rStyle w:val="apple-style-span"/>
          <w:rFonts w:hint="default"/>
        </w:rPr>
        <w:t>vaniu tohto inš</w:t>
      </w:r>
      <w:r>
        <w:rPr>
          <w:rStyle w:val="apple-style-span"/>
          <w:rFonts w:hint="default"/>
        </w:rPr>
        <w:t>titú</w:t>
      </w:r>
      <w:r>
        <w:rPr>
          <w:rStyle w:val="apple-style-span"/>
          <w:rFonts w:hint="default"/>
        </w:rPr>
        <w:t>tu.</w:t>
      </w:r>
    </w:p>
    <w:p w:rsidR="00AB1DA2" w:rsidP="00AB1DA2">
      <w:pPr>
        <w:pStyle w:val="NoSpacing"/>
        <w:bidi w:val="0"/>
        <w:jc w:val="both"/>
      </w:pPr>
    </w:p>
    <w:p w:rsidR="00AB1DA2" w:rsidP="00AB1DA2">
      <w:pPr>
        <w:pStyle w:val="NoSpacing"/>
        <w:bidi w:val="0"/>
        <w:spacing w:line="360" w:lineRule="auto"/>
        <w:jc w:val="both"/>
      </w:pPr>
    </w:p>
    <w:p w:rsidR="00AB1DA2" w:rsidP="00AB1DA2">
      <w:pPr>
        <w:pStyle w:val="NoSpacing"/>
        <w:bidi w:val="0"/>
        <w:spacing w:line="360" w:lineRule="auto"/>
        <w:jc w:val="both"/>
        <w:rPr>
          <w:rFonts w:hint="default"/>
        </w:rPr>
      </w:pPr>
      <w:r>
        <w:t>2. V </w:t>
      </w:r>
      <w:r>
        <w:rPr>
          <w:rFonts w:hint="default"/>
        </w:rPr>
        <w:t>č</w:t>
      </w:r>
      <w:r>
        <w:rPr>
          <w:rFonts w:hint="default"/>
        </w:rPr>
        <w:t>l. I </w:t>
      </w:r>
      <w:r>
        <w:rPr>
          <w:rFonts w:hint="default"/>
        </w:rPr>
        <w:t>22. bode sa za slovo „</w:t>
      </w:r>
      <w:r>
        <w:rPr>
          <w:rFonts w:hint="default"/>
        </w:rPr>
        <w:t>oprá</w:t>
      </w:r>
      <w:r>
        <w:rPr>
          <w:rFonts w:hint="default"/>
        </w:rPr>
        <w:t>vnený“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slovo „</w:t>
      </w:r>
      <w:r>
        <w:rPr>
          <w:rFonts w:hint="default"/>
        </w:rPr>
        <w:t>doč</w:t>
      </w:r>
      <w:r>
        <w:rPr>
          <w:rFonts w:hint="default"/>
        </w:rPr>
        <w:t>asne“</w:t>
      </w:r>
      <w:r>
        <w:rPr>
          <w:rFonts w:hint="default"/>
        </w:rPr>
        <w:t xml:space="preserve"> a </w:t>
      </w:r>
      <w:r>
        <w:rPr>
          <w:rFonts w:hint="default"/>
        </w:rPr>
        <w:t>za slovo „</w:t>
      </w:r>
      <w:r>
        <w:rPr>
          <w:rFonts w:hint="default"/>
        </w:rPr>
        <w:t>koná“</w:t>
      </w:r>
      <w:r>
        <w:rPr>
          <w:rFonts w:hint="default"/>
        </w:rPr>
        <w:t xml:space="preserve"> sa vkladá</w:t>
      </w:r>
      <w:r>
        <w:rPr>
          <w:rFonts w:hint="default"/>
        </w:rPr>
        <w:t xml:space="preserve"> slovo „</w:t>
      </w:r>
      <w:r>
        <w:rPr>
          <w:rFonts w:hint="default"/>
        </w:rPr>
        <w:t>zjavne“.</w:t>
      </w:r>
    </w:p>
    <w:p w:rsidR="00AB1DA2" w:rsidP="00AB1DA2">
      <w:pPr>
        <w:pStyle w:val="NoSpacing"/>
        <w:bidi w:val="0"/>
        <w:ind w:left="3828"/>
        <w:jc w:val="both"/>
        <w:rPr>
          <w:rFonts w:hint="default"/>
        </w:rPr>
      </w:pPr>
      <w:r>
        <w:rPr>
          <w:rFonts w:hint="default"/>
        </w:rPr>
        <w:t>Ide o spresnenie navrhnuté</w:t>
      </w:r>
      <w:r>
        <w:rPr>
          <w:rFonts w:hint="default"/>
        </w:rPr>
        <w:t>ho znenia v </w:t>
      </w:r>
      <w:r>
        <w:rPr>
          <w:rFonts w:hint="default"/>
        </w:rPr>
        <w:t>kontexte predchá</w:t>
      </w:r>
      <w:r>
        <w:rPr>
          <w:rFonts w:hint="default"/>
        </w:rPr>
        <w:t>dzajú</w:t>
      </w:r>
      <w:r>
        <w:rPr>
          <w:rFonts w:hint="default"/>
        </w:rPr>
        <w:t>ceho bodu tohto pozmeň</w:t>
      </w:r>
      <w:r>
        <w:rPr>
          <w:rFonts w:hint="default"/>
        </w:rPr>
        <w:t>ujú</w:t>
      </w:r>
      <w:r>
        <w:rPr>
          <w:rFonts w:hint="default"/>
        </w:rPr>
        <w:t>ceho n</w:t>
      </w:r>
      <w:r>
        <w:rPr>
          <w:rFonts w:hint="default"/>
        </w:rPr>
        <w:t>á</w:t>
      </w:r>
      <w:r>
        <w:rPr>
          <w:rFonts w:hint="default"/>
        </w:rPr>
        <w:t xml:space="preserve">vrhu. 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pStyle w:val="vodnveta0"/>
        <w:tabs>
          <w:tab w:val="num" w:pos="540"/>
        </w:tabs>
        <w:bidi w:val="0"/>
        <w:ind w:left="0" w:firstLine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3. V čl. I  52. bod znie: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 „52. V § 43 odsek 1 znie:</w:t>
      </w:r>
    </w:p>
    <w:p w:rsidR="00AB1DA2" w:rsidP="00AB1DA2">
      <w:pPr>
        <w:pStyle w:val="vodnveta"/>
        <w:tabs>
          <w:tab w:val="left" w:pos="708"/>
        </w:tabs>
        <w:bidi w:val="0"/>
        <w:spacing w:before="0" w:beforeAutospacing="0" w:after="0" w:afterAutospacing="0"/>
        <w:rPr>
          <w:rFonts w:ascii="Times New Roman" w:hAnsi="Times New Roman"/>
        </w:rPr>
      </w:pPr>
    </w:p>
    <w:p w:rsidR="00AB1DA2" w:rsidP="00AB1DA2">
      <w:pPr>
        <w:pStyle w:val="vodnveta"/>
        <w:tabs>
          <w:tab w:val="left" w:pos="708"/>
        </w:tabs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„(1) Vojenské vysoké školy vzdelávajú odborníkov najmä pre ozbrojené sily Slovenskej republiky. Môžu na nich študovať aj študenti, ktorí sa nepripravujú na výkon štátnej služby profesionálnych vojakov ozbrojených síl Slovenskej republiky</w:t>
      </w:r>
      <w:r>
        <w:rPr>
          <w:rFonts w:ascii="Times New Roman" w:hAnsi="Times New Roman"/>
          <w:vertAlign w:val="superscript"/>
        </w:rPr>
        <w:t>29a</w:t>
      </w:r>
      <w:r>
        <w:rPr>
          <w:rFonts w:ascii="Times New Roman" w:hAnsi="Times New Roman"/>
        </w:rPr>
        <w:t>) (ďalej len „štátna služba profesionálnych vojakov“), nie sú v služobnom pomere podľa osobitného predpisu upravujúceho služobný pomer príslušníka bezpečnostných zborov</w:t>
      </w:r>
      <w:r>
        <w:rPr>
          <w:rFonts w:ascii="Times New Roman" w:hAnsi="Times New Roman"/>
          <w:vertAlign w:val="superscript"/>
        </w:rPr>
        <w:t>30</w:t>
      </w:r>
      <w:r>
        <w:rPr>
          <w:rFonts w:ascii="Times New Roman" w:hAnsi="Times New Roman"/>
        </w:rPr>
        <w:t xml:space="preserve">) alebo nie sú študentmi vojenských vysokých škôl so sídlom mimo územia Slovenskej republiky; na náklady spojené s vysokoškolským vzdelávaním týchto študentov prispieva ministerstvo na základe dohody s Ministerstvom obrany Slovenskej republiky (ďalej len „ministerstvo obrany“).“. </w:t>
      </w:r>
    </w:p>
    <w:p w:rsidR="00AB1DA2" w:rsidP="00AB1DA2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spresnenie navrhovanej úpravy z hľadiska jej jednoznačnosti a použitia obdobného znenia ako pri policajných vysokých školách.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4. V čl. I 82. bode sa slová „9, 10“ nahrádzajú slovami „9 a 10“.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ind w:left="3828"/>
        <w:rPr>
          <w:rFonts w:ascii="Times New Roman" w:hAnsi="Times New Roman"/>
        </w:rPr>
      </w:pPr>
      <w:r>
        <w:rPr>
          <w:rFonts w:ascii="Times New Roman" w:hAnsi="Times New Roman"/>
        </w:rPr>
        <w:t>Ide o opravu chyby v citovanom  normatívnom texte súčasne platného znenia zákona.</w:t>
      </w:r>
    </w:p>
    <w:p w:rsidR="00AB1DA2" w:rsidP="00AB1DA2">
      <w:pPr>
        <w:bidi w:val="0"/>
        <w:ind w:left="3828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V čl. I v 100. bode v § 53 ods. 3 sa na konci pripája veta, ktorá znie:</w:t>
      </w:r>
    </w:p>
    <w:p w:rsidR="00AB1DA2" w:rsidP="00AB1DA2">
      <w:pPr>
        <w:bidi w:val="0"/>
        <w:spacing w:line="360" w:lineRule="auto"/>
        <w:ind w:firstLine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„Počet kreditov,  ktorých dosiahnutie je podmienkou riadneho  skončenia štúdia pre  tento študijný program je 300 kreditov.“.</w:t>
      </w:r>
    </w:p>
    <w:p w:rsidR="00AB1DA2" w:rsidP="00AB1DA2">
      <w:pPr>
        <w:bidi w:val="0"/>
        <w:ind w:left="3828"/>
        <w:jc w:val="center"/>
        <w:rPr>
          <w:rFonts w:ascii="Times New Roman" w:hAnsi="Times New Roman"/>
          <w:b/>
          <w:bCs/>
        </w:rPr>
      </w:pPr>
    </w:p>
    <w:p w:rsidR="00AB1DA2" w:rsidP="00AB1DA2">
      <w:pPr>
        <w:pStyle w:val="NoSpacing"/>
        <w:bidi w:val="0"/>
        <w:ind w:left="382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Definuje sa zodpovedajú</w:t>
      </w:r>
      <w:r>
        <w:rPr>
          <w:rFonts w:cs="Times New Roman" w:hint="default"/>
          <w:szCs w:val="24"/>
        </w:rPr>
        <w:t>ca kreditová</w:t>
      </w:r>
      <w:r>
        <w:rPr>
          <w:rFonts w:cs="Times New Roman" w:hint="default"/>
          <w:szCs w:val="24"/>
        </w:rPr>
        <w:t xml:space="preserve"> záť</w:t>
      </w:r>
      <w:r>
        <w:rPr>
          <w:rFonts w:cs="Times New Roman" w:hint="default"/>
          <w:szCs w:val="24"/>
        </w:rPr>
        <w:t>až</w:t>
      </w:r>
      <w:r>
        <w:rPr>
          <w:rFonts w:cs="Times New Roman" w:hint="default"/>
          <w:szCs w:val="24"/>
        </w:rPr>
        <w:t xml:space="preserve"> tak, aby š</w:t>
      </w:r>
      <w:r>
        <w:rPr>
          <w:rFonts w:cs="Times New Roman" w:hint="default"/>
          <w:szCs w:val="24"/>
        </w:rPr>
        <w:t>tudent bol povinný</w:t>
      </w:r>
      <w:r>
        <w:rPr>
          <w:rFonts w:cs="Times New Roman" w:hint="default"/>
          <w:szCs w:val="24"/>
        </w:rPr>
        <w:t xml:space="preserve"> vynalož</w:t>
      </w:r>
      <w:r>
        <w:rPr>
          <w:rFonts w:cs="Times New Roman" w:hint="default"/>
          <w:szCs w:val="24"/>
        </w:rPr>
        <w:t>iť</w:t>
      </w:r>
      <w:r>
        <w:rPr>
          <w:rFonts w:cs="Times New Roman" w:hint="default"/>
          <w:szCs w:val="24"/>
        </w:rPr>
        <w:t xml:space="preserve"> rovnakú</w:t>
      </w:r>
      <w:r>
        <w:rPr>
          <w:rFonts w:cs="Times New Roman" w:hint="default"/>
          <w:szCs w:val="24"/>
        </w:rPr>
        <w:t xml:space="preserve"> pracovnú</w:t>
      </w:r>
      <w:r>
        <w:rPr>
          <w:rFonts w:cs="Times New Roman" w:hint="default"/>
          <w:szCs w:val="24"/>
        </w:rPr>
        <w:t xml:space="preserve"> aktivitu   podľ</w:t>
      </w:r>
      <w:r>
        <w:rPr>
          <w:rFonts w:cs="Times New Roman" w:hint="default"/>
          <w:szCs w:val="24"/>
        </w:rPr>
        <w:t>a š</w:t>
      </w:r>
      <w:r>
        <w:rPr>
          <w:rFonts w:cs="Times New Roman" w:hint="default"/>
          <w:szCs w:val="24"/>
        </w:rPr>
        <w:t>tudovanej maté</w:t>
      </w:r>
      <w:r>
        <w:rPr>
          <w:rFonts w:cs="Times New Roman" w:hint="default"/>
          <w:szCs w:val="24"/>
        </w:rPr>
        <w:t>rie bez ohľ</w:t>
      </w:r>
      <w:r>
        <w:rPr>
          <w:rFonts w:cs="Times New Roman" w:hint="default"/>
          <w:szCs w:val="24"/>
        </w:rPr>
        <w:t>adu na to, na aký</w:t>
      </w:r>
      <w:r>
        <w:rPr>
          <w:rFonts w:cs="Times New Roman" w:hint="default"/>
          <w:szCs w:val="24"/>
        </w:rPr>
        <w:t xml:space="preserve"> č</w:t>
      </w:r>
      <w:r>
        <w:rPr>
          <w:rFonts w:cs="Times New Roman" w:hint="default"/>
          <w:szCs w:val="24"/>
        </w:rPr>
        <w:t>as si rozloží</w:t>
      </w:r>
      <w:r>
        <w:rPr>
          <w:rFonts w:cs="Times New Roman" w:hint="default"/>
          <w:szCs w:val="24"/>
        </w:rPr>
        <w:t xml:space="preserve"> aktivity v </w:t>
      </w:r>
      <w:r>
        <w:rPr>
          <w:rFonts w:cs="Times New Roman" w:hint="default"/>
          <w:szCs w:val="24"/>
        </w:rPr>
        <w:t>spojenom š</w:t>
      </w:r>
      <w:r>
        <w:rPr>
          <w:rFonts w:cs="Times New Roman" w:hint="default"/>
          <w:szCs w:val="24"/>
        </w:rPr>
        <w:t>tudijnom programe. Ná</w:t>
      </w:r>
      <w:r>
        <w:rPr>
          <w:rFonts w:cs="Times New Roman" w:hint="default"/>
          <w:szCs w:val="24"/>
        </w:rPr>
        <w:t>vrhom sa reaguje na  prijaté</w:t>
      </w:r>
      <w:r>
        <w:rPr>
          <w:rFonts w:cs="Times New Roman" w:hint="default"/>
          <w:szCs w:val="24"/>
        </w:rPr>
        <w:t xml:space="preserve"> pozmeň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>c</w:t>
      </w:r>
      <w:r>
        <w:rPr>
          <w:rFonts w:cs="Times New Roman" w:hint="default"/>
          <w:szCs w:val="24"/>
        </w:rPr>
        <w:t>e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vrhy, ktoré</w:t>
      </w:r>
      <w:r>
        <w:rPr>
          <w:rFonts w:cs="Times New Roman" w:hint="default"/>
          <w:szCs w:val="24"/>
        </w:rPr>
        <w:t xml:space="preserve"> upravili  zodpovedajú</w:t>
      </w:r>
      <w:r>
        <w:rPr>
          <w:rFonts w:cs="Times New Roman" w:hint="default"/>
          <w:szCs w:val="24"/>
        </w:rPr>
        <w:t>cu kreditovú</w:t>
      </w:r>
      <w:r>
        <w:rPr>
          <w:rFonts w:cs="Times New Roman" w:hint="default"/>
          <w:szCs w:val="24"/>
        </w:rPr>
        <w:t xml:space="preserve"> záť</w:t>
      </w:r>
      <w:r>
        <w:rPr>
          <w:rFonts w:cs="Times New Roman" w:hint="default"/>
          <w:szCs w:val="24"/>
        </w:rPr>
        <w:t>až</w:t>
      </w:r>
      <w:r>
        <w:rPr>
          <w:rFonts w:cs="Times New Roman" w:hint="default"/>
          <w:szCs w:val="24"/>
        </w:rPr>
        <w:t xml:space="preserve"> v </w:t>
      </w:r>
      <w:r>
        <w:rPr>
          <w:rFonts w:cs="Times New Roman" w:hint="default"/>
          <w:szCs w:val="24"/>
        </w:rPr>
        <w:t>bakalá</w:t>
      </w:r>
      <w:r>
        <w:rPr>
          <w:rFonts w:cs="Times New Roman" w:hint="default"/>
          <w:szCs w:val="24"/>
        </w:rPr>
        <w:t>rskom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diu a v </w:t>
      </w:r>
      <w:r>
        <w:rPr>
          <w:rFonts w:cs="Times New Roman" w:hint="default"/>
          <w:szCs w:val="24"/>
        </w:rPr>
        <w:t>druhom stupni 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dia, č</w:t>
      </w:r>
      <w:r>
        <w:rPr>
          <w:rFonts w:cs="Times New Roman" w:hint="default"/>
          <w:szCs w:val="24"/>
        </w:rPr>
        <w:t>o sa opomenulo pri spojenom š</w:t>
      </w:r>
      <w:r>
        <w:rPr>
          <w:rFonts w:cs="Times New Roman" w:hint="default"/>
          <w:szCs w:val="24"/>
        </w:rPr>
        <w:t>tú</w:t>
      </w:r>
      <w:r>
        <w:rPr>
          <w:rFonts w:cs="Times New Roman" w:hint="default"/>
          <w:szCs w:val="24"/>
        </w:rPr>
        <w:t>diu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53 ods. 3 ná</w:t>
      </w:r>
      <w:r>
        <w:rPr>
          <w:rFonts w:cs="Times New Roman" w:hint="default"/>
          <w:szCs w:val="24"/>
        </w:rPr>
        <w:t>vrhu zá</w:t>
      </w:r>
      <w:r>
        <w:rPr>
          <w:rFonts w:cs="Times New Roman" w:hint="default"/>
          <w:szCs w:val="24"/>
        </w:rPr>
        <w:t>kona.</w:t>
      </w:r>
    </w:p>
    <w:p w:rsidR="00AB1DA2" w:rsidP="00AB1DA2">
      <w:pPr>
        <w:bidi w:val="0"/>
        <w:ind w:left="3828"/>
        <w:jc w:val="both"/>
        <w:rPr>
          <w:rFonts w:ascii="Times New Roman" w:hAnsi="Times New Roman"/>
          <w:b/>
          <w:bCs/>
        </w:rPr>
      </w:pPr>
    </w:p>
    <w:p w:rsidR="00AB1DA2" w:rsidP="00AB1DA2">
      <w:pPr>
        <w:bidi w:val="0"/>
        <w:ind w:left="3828"/>
        <w:jc w:val="both"/>
        <w:rPr>
          <w:rFonts w:ascii="Times New Roman" w:hAnsi="Times New Roman"/>
          <w:b/>
          <w:bCs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V čl. I 131. bode sa za slovo „záverečnej“ a za  slovo „rigoróznej“ vkladá slovo „práce“. </w:t>
      </w: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opravu chyby v normatívnom texte súčasne platného znenia zákona.</w:t>
      </w:r>
    </w:p>
    <w:p w:rsidR="00AB1DA2" w:rsidP="00AB1DA2">
      <w:pPr>
        <w:bidi w:val="0"/>
        <w:ind w:left="4247"/>
        <w:jc w:val="both"/>
        <w:rPr>
          <w:rFonts w:ascii="Times New Roman" w:hAnsi="Times New Roman"/>
        </w:rPr>
      </w:pPr>
    </w:p>
    <w:p w:rsidR="00AB1DA2" w:rsidP="00AB1DA2">
      <w:pPr>
        <w:bidi w:val="0"/>
        <w:ind w:left="4247"/>
        <w:jc w:val="both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V čl. I 142. bode  sa slová „a  6“ nahrádzajú slovami „ a 4“.</w:t>
      </w: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ind w:left="3540" w:firstLine="2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spresnenie odkazu  na normatívny text. </w:t>
      </w:r>
    </w:p>
    <w:p w:rsidR="00AB1DA2" w:rsidP="00AB1DA2">
      <w:pPr>
        <w:bidi w:val="0"/>
        <w:jc w:val="both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pStyle w:val="NoSpacing"/>
        <w:bidi w:val="0"/>
        <w:spacing w:line="360" w:lineRule="auto"/>
        <w:jc w:val="both"/>
        <w:rPr>
          <w:rStyle w:val="apple-style-span"/>
          <w:rFonts w:hint="default"/>
        </w:rPr>
      </w:pPr>
      <w:r>
        <w:t xml:space="preserve">8. </w:t>
      </w:r>
      <w:r>
        <w:rPr>
          <w:rStyle w:val="apple-style-span"/>
        </w:rPr>
        <w:t>V </w:t>
      </w:r>
      <w:r>
        <w:rPr>
          <w:rStyle w:val="apple-style-span"/>
          <w:rFonts w:hint="default"/>
        </w:rPr>
        <w:t>č</w:t>
      </w:r>
      <w:r>
        <w:rPr>
          <w:rStyle w:val="apple-style-span"/>
          <w:rFonts w:hint="default"/>
        </w:rPr>
        <w:t>l. I v </w:t>
      </w:r>
      <w:r>
        <w:rPr>
          <w:rStyle w:val="apple-style-span"/>
          <w:rFonts w:hint="default"/>
        </w:rPr>
        <w:t>165. bode sa za slovo „</w:t>
      </w:r>
      <w:r>
        <w:rPr>
          <w:rStyle w:val="apple-style-span"/>
          <w:rFonts w:hint="default"/>
        </w:rPr>
        <w:t>odbore“</w:t>
      </w:r>
      <w:r>
        <w:rPr>
          <w:rStyle w:val="apple-style-span"/>
          <w:rFonts w:hint="default"/>
        </w:rPr>
        <w:t xml:space="preserve"> sa vkladá</w:t>
      </w:r>
      <w:r>
        <w:rPr>
          <w:rStyle w:val="apple-style-span"/>
          <w:rFonts w:hint="default"/>
        </w:rPr>
        <w:t xml:space="preserve"> bo</w:t>
      </w:r>
      <w:r>
        <w:rPr>
          <w:rStyle w:val="apple-style-span"/>
          <w:rFonts w:hint="default"/>
        </w:rPr>
        <w:t>dkoč</w:t>
      </w:r>
      <w:r>
        <w:rPr>
          <w:rStyle w:val="apple-style-span"/>
          <w:rFonts w:hint="default"/>
        </w:rPr>
        <w:t>iarka a </w:t>
      </w:r>
      <w:r>
        <w:rPr>
          <w:rStyle w:val="apple-style-span"/>
          <w:rFonts w:hint="default"/>
        </w:rPr>
        <w:t>na konci sa pripá</w:t>
      </w:r>
      <w:r>
        <w:rPr>
          <w:rStyle w:val="apple-style-span"/>
          <w:rFonts w:hint="default"/>
        </w:rPr>
        <w:t>jajú</w:t>
      </w:r>
      <w:r>
        <w:rPr>
          <w:rStyle w:val="apple-style-span"/>
          <w:rFonts w:hint="default"/>
        </w:rPr>
        <w:t xml:space="preserve"> tieto slová</w:t>
      </w:r>
      <w:r>
        <w:rPr>
          <w:rStyle w:val="apple-style-span"/>
          <w:rFonts w:hint="default"/>
        </w:rPr>
        <w:t>: „</w:t>
      </w:r>
      <w:r>
        <w:rPr>
          <w:rStyle w:val="apple-style-span"/>
          <w:rFonts w:hint="default"/>
        </w:rPr>
        <w:t>ak ide o </w:t>
      </w:r>
      <w:r>
        <w:rPr>
          <w:rStyle w:val="apple-style-span"/>
          <w:rFonts w:hint="default"/>
        </w:rPr>
        <w:t>habilitač</w:t>
      </w:r>
      <w:r>
        <w:rPr>
          <w:rStyle w:val="apple-style-span"/>
          <w:rFonts w:hint="default"/>
        </w:rPr>
        <w:t>né</w:t>
      </w:r>
      <w:r>
        <w:rPr>
          <w:rStyle w:val="apple-style-span"/>
          <w:rFonts w:hint="default"/>
        </w:rPr>
        <w:t xml:space="preserve"> konanie alebo konanie na vymenú</w:t>
      </w:r>
      <w:r>
        <w:rPr>
          <w:rStyle w:val="apple-style-span"/>
          <w:rFonts w:hint="default"/>
        </w:rPr>
        <w:t>vanie profesorov uskutočň</w:t>
      </w:r>
      <w:r>
        <w:rPr>
          <w:rStyle w:val="apple-style-span"/>
          <w:rFonts w:hint="default"/>
        </w:rPr>
        <w:t>ované</w:t>
      </w:r>
      <w:r>
        <w:rPr>
          <w:rStyle w:val="apple-style-span"/>
          <w:rFonts w:hint="default"/>
        </w:rPr>
        <w:t xml:space="preserve"> na fakulte, minister odní</w:t>
      </w:r>
      <w:r>
        <w:rPr>
          <w:rStyle w:val="apple-style-span"/>
          <w:rFonts w:hint="default"/>
        </w:rPr>
        <w:t>me vysokej š</w:t>
      </w:r>
      <w:r>
        <w:rPr>
          <w:rStyle w:val="apple-style-span"/>
          <w:rFonts w:hint="default"/>
        </w:rPr>
        <w:t>kole iba prá</w:t>
      </w:r>
      <w:r>
        <w:rPr>
          <w:rStyle w:val="apple-style-span"/>
          <w:rFonts w:hint="default"/>
        </w:rPr>
        <w:t>vo vzť</w:t>
      </w:r>
      <w:r>
        <w:rPr>
          <w:rStyle w:val="apple-style-span"/>
          <w:rFonts w:hint="default"/>
        </w:rPr>
        <w:t>ahujú</w:t>
      </w:r>
      <w:r>
        <w:rPr>
          <w:rStyle w:val="apple-style-span"/>
          <w:rFonts w:hint="default"/>
        </w:rPr>
        <w:t>ce sa na prí</w:t>
      </w:r>
      <w:r>
        <w:rPr>
          <w:rStyle w:val="apple-style-span"/>
          <w:rFonts w:hint="default"/>
        </w:rPr>
        <w:t>sluš</w:t>
      </w:r>
      <w:r>
        <w:rPr>
          <w:rStyle w:val="apple-style-span"/>
          <w:rFonts w:hint="default"/>
        </w:rPr>
        <w:t>nú</w:t>
      </w:r>
      <w:r>
        <w:rPr>
          <w:rStyle w:val="apple-style-span"/>
          <w:rFonts w:hint="default"/>
        </w:rPr>
        <w:t xml:space="preserve"> fakultu“.</w:t>
      </w:r>
    </w:p>
    <w:p w:rsidR="00AB1DA2" w:rsidP="00AB1DA2">
      <w:pPr>
        <w:tabs>
          <w:tab w:val="left" w:pos="3828"/>
          <w:tab w:val="left" w:pos="4678"/>
        </w:tabs>
        <w:autoSpaceDE w:val="0"/>
        <w:bidi w:val="0"/>
        <w:spacing w:line="360" w:lineRule="auto"/>
        <w:ind w:left="3828"/>
        <w:jc w:val="both"/>
        <w:rPr>
          <w:rStyle w:val="apple-style-span"/>
          <w:rFonts w:ascii="Times New Roman" w:hAnsi="Times New Roman"/>
        </w:rPr>
      </w:pPr>
    </w:p>
    <w:p w:rsidR="00AB1DA2" w:rsidP="00AB1DA2">
      <w:pPr>
        <w:pStyle w:val="NoSpacing"/>
        <w:tabs>
          <w:tab w:val="left" w:pos="3828"/>
        </w:tabs>
        <w:bidi w:val="0"/>
        <w:ind w:left="3828"/>
        <w:jc w:val="both"/>
        <w:rPr>
          <w:rFonts w:hint="default"/>
        </w:rPr>
      </w:pPr>
      <w:r>
        <w:rPr>
          <w:rFonts w:hint="default"/>
        </w:rPr>
        <w:t>Zmierň</w:t>
      </w:r>
      <w:r>
        <w:rPr>
          <w:rFonts w:hint="default"/>
        </w:rPr>
        <w:t>uje sa predlož</w:t>
      </w:r>
      <w:r>
        <w:rPr>
          <w:rFonts w:hint="default"/>
        </w:rPr>
        <w:t>ený</w:t>
      </w:r>
      <w:r>
        <w:rPr>
          <w:rFonts w:hint="default"/>
        </w:rPr>
        <w:t xml:space="preserve"> ná</w:t>
      </w:r>
      <w:r>
        <w:rPr>
          <w:rFonts w:hint="default"/>
        </w:rPr>
        <w:t>vrh vzhľ</w:t>
      </w:r>
      <w:r>
        <w:rPr>
          <w:rFonts w:hint="default"/>
        </w:rPr>
        <w:t>a</w:t>
      </w:r>
      <w:r>
        <w:rPr>
          <w:rFonts w:hint="default"/>
        </w:rPr>
        <w:t>dom na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prá</w:t>
      </w:r>
      <w:r>
        <w:rPr>
          <w:rFonts w:hint="default"/>
        </w:rPr>
        <w:t>vo na habilitač</w:t>
      </w:r>
      <w:r>
        <w:rPr>
          <w:rFonts w:hint="default"/>
        </w:rPr>
        <w:t>né</w:t>
      </w:r>
      <w:r>
        <w:rPr>
          <w:rFonts w:hint="default"/>
        </w:rPr>
        <w:t xml:space="preserve"> a </w:t>
      </w:r>
      <w:r>
        <w:rPr>
          <w:rFonts w:hint="default"/>
        </w:rPr>
        <w:t>inaugurač</w:t>
      </w:r>
      <w:r>
        <w:rPr>
          <w:rFonts w:hint="default"/>
        </w:rPr>
        <w:t>né</w:t>
      </w:r>
      <w:r>
        <w:rPr>
          <w:rFonts w:hint="default"/>
        </w:rPr>
        <w:t xml:space="preserve"> konanie v </w:t>
      </w:r>
      <w:r>
        <w:rPr>
          <w:rFonts w:hint="default"/>
        </w:rPr>
        <w:t>tom istom odbore môž</w:t>
      </w:r>
      <w:r>
        <w:rPr>
          <w:rFonts w:hint="default"/>
        </w:rPr>
        <w:t>e byť</w:t>
      </w:r>
      <w:r>
        <w:rPr>
          <w:rFonts w:hint="default"/>
        </w:rPr>
        <w:t xml:space="preserve"> priznané</w:t>
      </w:r>
      <w:r>
        <w:rPr>
          <w:rFonts w:hint="default"/>
        </w:rPr>
        <w:t xml:space="preserve"> viacerý</w:t>
      </w:r>
      <w:r>
        <w:rPr>
          <w:rFonts w:hint="default"/>
        </w:rPr>
        <w:t>m fakultá</w:t>
      </w:r>
      <w:r>
        <w:rPr>
          <w:rFonts w:hint="default"/>
        </w:rPr>
        <w:t>m tej istej vysokej š</w:t>
      </w:r>
      <w:r>
        <w:rPr>
          <w:rFonts w:hint="default"/>
        </w:rPr>
        <w:t>koly, prič</w:t>
      </w:r>
      <w:r>
        <w:rPr>
          <w:rFonts w:hint="default"/>
        </w:rPr>
        <w:t>om k </w:t>
      </w:r>
      <w:r>
        <w:rPr>
          <w:rFonts w:hint="default"/>
        </w:rPr>
        <w:t>pochybeniu dô</w:t>
      </w:r>
      <w:r>
        <w:rPr>
          <w:rFonts w:hint="default"/>
        </w:rPr>
        <w:t>jde len na jednej fakulte. Je neprimerané</w:t>
      </w:r>
      <w:r>
        <w:rPr>
          <w:rFonts w:hint="default"/>
        </w:rPr>
        <w:t>, aby na chybu jednej fakulty doplatili aj ď</w:t>
      </w:r>
      <w:r>
        <w:rPr>
          <w:rFonts w:hint="default"/>
        </w:rPr>
        <w:t>alš</w:t>
      </w:r>
      <w:r>
        <w:rPr>
          <w:rFonts w:hint="default"/>
        </w:rPr>
        <w:t>i</w:t>
      </w:r>
      <w:r>
        <w:rPr>
          <w:rFonts w:hint="default"/>
        </w:rPr>
        <w:t>e fakulty danej vysokej š</w:t>
      </w:r>
      <w:r>
        <w:rPr>
          <w:rFonts w:hint="default"/>
        </w:rPr>
        <w:t>koly.</w:t>
      </w:r>
    </w:p>
    <w:p w:rsidR="00AB1DA2" w:rsidP="00AB1DA2">
      <w:pPr>
        <w:tabs>
          <w:tab w:val="left" w:pos="4678"/>
        </w:tabs>
        <w:autoSpaceDE w:val="0"/>
        <w:bidi w:val="0"/>
        <w:spacing w:line="100" w:lineRule="atLeast"/>
        <w:ind w:left="4253"/>
        <w:jc w:val="both"/>
        <w:rPr>
          <w:rStyle w:val="apple-style-span"/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V čl. I  186. bode  sa v poznámke pod čiarou k odkazu 48 vypúšťajú slová „o Fonde na podporu vzdelávania.“. </w:t>
      </w:r>
    </w:p>
    <w:p w:rsidR="00AB1DA2" w:rsidP="00AB1DA2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v nadväznosti na citáciu poznámky pod čiarou 40b v 140. bode.</w:t>
      </w: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pStyle w:val="BodyText"/>
        <w:bidi w:val="0"/>
        <w:ind w:left="15" w:hanging="15"/>
        <w:rPr>
          <w:rFonts w:ascii="Times New Roman" w:hAnsi="Times New Roman"/>
        </w:rPr>
      </w:pPr>
    </w:p>
    <w:p w:rsidR="00AB1DA2" w:rsidP="00AB1DA2">
      <w:pPr>
        <w:pStyle w:val="NoSpacing"/>
        <w:bidi w:val="0"/>
        <w:jc w:val="both"/>
        <w:rPr>
          <w:rFonts w:hint="default"/>
        </w:rPr>
      </w:pPr>
      <w:r>
        <w:t>10. V </w:t>
      </w:r>
      <w:r>
        <w:rPr>
          <w:rFonts w:hint="default"/>
        </w:rPr>
        <w:t>č</w:t>
      </w:r>
      <w:r>
        <w:rPr>
          <w:rFonts w:hint="default"/>
        </w:rPr>
        <w:t>l. I </w:t>
      </w:r>
      <w:r>
        <w:rPr>
          <w:rFonts w:hint="default"/>
        </w:rPr>
        <w:t>sa za 204. bod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205. bod, ktorý</w:t>
      </w:r>
      <w:r>
        <w:rPr>
          <w:rFonts w:hint="default"/>
        </w:rPr>
        <w:t xml:space="preserve"> znie</w:t>
      </w:r>
    </w:p>
    <w:p w:rsidR="00AB1DA2" w:rsidP="00AB1DA2">
      <w:pPr>
        <w:pStyle w:val="NoSpacing"/>
        <w:bidi w:val="0"/>
        <w:jc w:val="both"/>
        <w:rPr>
          <w:rFonts w:hint="default"/>
        </w:rPr>
      </w:pPr>
    </w:p>
    <w:p w:rsidR="00AB1DA2" w:rsidP="00AB1DA2">
      <w:pPr>
        <w:pStyle w:val="NoSpacing"/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205. V §</w:t>
      </w:r>
      <w:r>
        <w:rPr>
          <w:rFonts w:hint="default"/>
        </w:rPr>
        <w:t xml:space="preserve"> 104 ods. 2 sa slovo „</w:t>
      </w:r>
      <w:r>
        <w:rPr>
          <w:rFonts w:hint="default"/>
        </w:rPr>
        <w:t>dvoch“</w:t>
      </w:r>
      <w:r>
        <w:rPr>
          <w:rFonts w:hint="default"/>
        </w:rPr>
        <w:t xml:space="preserve"> nahrá</w:t>
      </w:r>
      <w:r>
        <w:rPr>
          <w:rFonts w:hint="default"/>
        </w:rPr>
        <w:t>dza slovom „</w:t>
      </w:r>
      <w:r>
        <w:rPr>
          <w:rFonts w:hint="default"/>
        </w:rPr>
        <w:t>jedné</w:t>
      </w:r>
      <w:r>
        <w:rPr>
          <w:rFonts w:hint="default"/>
        </w:rPr>
        <w:t>ho“.“.</w:t>
      </w:r>
    </w:p>
    <w:p w:rsidR="00AB1DA2" w:rsidP="00AB1DA2">
      <w:pPr>
        <w:pStyle w:val="NoSpacing"/>
        <w:bidi w:val="0"/>
        <w:jc w:val="both"/>
        <w:rPr>
          <w:rFonts w:hint="default"/>
        </w:rPr>
      </w:pPr>
    </w:p>
    <w:p w:rsidR="00AB1DA2" w:rsidP="00AB1DA2">
      <w:pPr>
        <w:pStyle w:val="NoSpacing"/>
        <w:bidi w:val="0"/>
        <w:jc w:val="both"/>
        <w:rPr>
          <w:rFonts w:hint="default"/>
        </w:rPr>
      </w:pPr>
      <w:r>
        <w:rPr>
          <w:rFonts w:hint="default"/>
        </w:rPr>
        <w:t>Ostatné</w:t>
      </w:r>
      <w:r>
        <w:rPr>
          <w:rFonts w:hint="default"/>
        </w:rPr>
        <w:t xml:space="preserve"> body sa primerane prečí</w:t>
      </w:r>
      <w:r>
        <w:rPr>
          <w:rFonts w:hint="default"/>
        </w:rPr>
        <w:t>slujú.</w:t>
      </w:r>
    </w:p>
    <w:p w:rsidR="00AB1DA2" w:rsidP="00AB1DA2">
      <w:pPr>
        <w:pStyle w:val="NoSpacing"/>
        <w:bidi w:val="0"/>
        <w:jc w:val="both"/>
        <w:rPr>
          <w:rFonts w:hint="default"/>
        </w:rPr>
      </w:pPr>
    </w:p>
    <w:p w:rsidR="00AB1DA2" w:rsidP="00AB1DA2">
      <w:pPr>
        <w:tabs>
          <w:tab w:val="left" w:pos="4678"/>
        </w:tabs>
        <w:autoSpaceDE w:val="0"/>
        <w:bidi w:val="0"/>
        <w:spacing w:line="100" w:lineRule="atLeast"/>
        <w:ind w:left="3828"/>
        <w:jc w:val="both"/>
        <w:rPr>
          <w:rStyle w:val="apple-style-span"/>
          <w:rFonts w:ascii="Times New Roman" w:eastAsia="SimSun" w:hAnsi="Times New Roman" w:hint="default"/>
        </w:rPr>
      </w:pPr>
      <w:r>
        <w:rPr>
          <w:rStyle w:val="apple-style-span"/>
          <w:rFonts w:ascii="Times New Roman" w:eastAsia="SimSun" w:hAnsi="Times New Roman" w:hint="default"/>
        </w:rPr>
        <w:t>Pri ponechaní</w:t>
      </w:r>
      <w:r>
        <w:rPr>
          <w:rStyle w:val="apple-style-span"/>
          <w:rFonts w:ascii="Times New Roman" w:eastAsia="SimSun" w:hAnsi="Times New Roman" w:hint="default"/>
        </w:rPr>
        <w:t xml:space="preserve"> potreby sú</w:t>
      </w:r>
      <w:r>
        <w:rPr>
          <w:rStyle w:val="apple-style-span"/>
          <w:rFonts w:ascii="Times New Roman" w:eastAsia="SimSun" w:hAnsi="Times New Roman" w:hint="default"/>
        </w:rPr>
        <w:t>hlasu orgá</w:t>
      </w:r>
      <w:r>
        <w:rPr>
          <w:rStyle w:val="apple-style-span"/>
          <w:rFonts w:ascii="Times New Roman" w:eastAsia="SimSun" w:hAnsi="Times New Roman" w:hint="default"/>
        </w:rPr>
        <w:t>nu reprezentá</w:t>
      </w:r>
      <w:r>
        <w:rPr>
          <w:rStyle w:val="apple-style-span"/>
          <w:rFonts w:ascii="Times New Roman" w:eastAsia="SimSun" w:hAnsi="Times New Roman" w:hint="default"/>
        </w:rPr>
        <w:t>cie vysoký</w:t>
      </w:r>
      <w:r>
        <w:rPr>
          <w:rStyle w:val="apple-style-span"/>
          <w:rFonts w:ascii="Times New Roman" w:eastAsia="SimSun" w:hAnsi="Times New Roman" w:hint="default"/>
        </w:rPr>
        <w:t>ch š</w:t>
      </w:r>
      <w:r>
        <w:rPr>
          <w:rStyle w:val="apple-style-span"/>
          <w:rFonts w:ascii="Times New Roman" w:eastAsia="SimSun" w:hAnsi="Times New Roman" w:hint="default"/>
        </w:rPr>
        <w:t>kô</w:t>
      </w:r>
      <w:r>
        <w:rPr>
          <w:rStyle w:val="apple-style-span"/>
          <w:rFonts w:ascii="Times New Roman" w:eastAsia="SimSun" w:hAnsi="Times New Roman" w:hint="default"/>
        </w:rPr>
        <w:t>l sa posilň</w:t>
      </w:r>
      <w:r>
        <w:rPr>
          <w:rStyle w:val="apple-style-span"/>
          <w:rFonts w:ascii="Times New Roman" w:eastAsia="SimSun" w:hAnsi="Times New Roman" w:hint="default"/>
        </w:rPr>
        <w:t>ujú</w:t>
      </w:r>
      <w:r>
        <w:rPr>
          <w:rStyle w:val="apple-style-span"/>
          <w:rFonts w:ascii="Times New Roman" w:eastAsia="SimSun" w:hAnsi="Times New Roman" w:hint="default"/>
        </w:rPr>
        <w:t xml:space="preserve"> prá</w:t>
      </w:r>
      <w:r>
        <w:rPr>
          <w:rStyle w:val="apple-style-span"/>
          <w:rFonts w:ascii="Times New Roman" w:eastAsia="SimSun" w:hAnsi="Times New Roman" w:hint="default"/>
        </w:rPr>
        <w:t>vomoci ministerstv</w:t>
      </w:r>
      <w:r>
        <w:rPr>
          <w:rStyle w:val="apple-style-span"/>
          <w:rFonts w:ascii="Times New Roman" w:eastAsia="SimSun" w:hAnsi="Times New Roman" w:hint="default"/>
        </w:rPr>
        <w:t>a pre potreby krí</w:t>
      </w:r>
      <w:r>
        <w:rPr>
          <w:rStyle w:val="apple-style-span"/>
          <w:rFonts w:ascii="Times New Roman" w:eastAsia="SimSun" w:hAnsi="Times New Roman" w:hint="default"/>
        </w:rPr>
        <w:t>zový</w:t>
      </w:r>
      <w:r>
        <w:rPr>
          <w:rStyle w:val="apple-style-span"/>
          <w:rFonts w:ascii="Times New Roman" w:eastAsia="SimSun" w:hAnsi="Times New Roman" w:hint="default"/>
        </w:rPr>
        <w:t>ch situá</w:t>
      </w:r>
      <w:r>
        <w:rPr>
          <w:rStyle w:val="apple-style-span"/>
          <w:rFonts w:ascii="Times New Roman" w:eastAsia="SimSun" w:hAnsi="Times New Roman" w:hint="default"/>
        </w:rPr>
        <w:t>cií</w:t>
      </w:r>
      <w:r>
        <w:rPr>
          <w:rStyle w:val="apple-style-span"/>
          <w:rFonts w:ascii="Times New Roman" w:eastAsia="SimSun" w:hAnsi="Times New Roman" w:hint="default"/>
        </w:rPr>
        <w:t xml:space="preserve"> na vysoký</w:t>
      </w:r>
      <w:r>
        <w:rPr>
          <w:rStyle w:val="apple-style-span"/>
          <w:rFonts w:ascii="Times New Roman" w:eastAsia="SimSun" w:hAnsi="Times New Roman" w:hint="default"/>
        </w:rPr>
        <w:t>ch š</w:t>
      </w:r>
      <w:r>
        <w:rPr>
          <w:rStyle w:val="apple-style-span"/>
          <w:rFonts w:ascii="Times New Roman" w:eastAsia="SimSun" w:hAnsi="Times New Roman" w:hint="default"/>
        </w:rPr>
        <w:t>kolá</w:t>
      </w:r>
      <w:r>
        <w:rPr>
          <w:rStyle w:val="apple-style-span"/>
          <w:rFonts w:ascii="Times New Roman" w:eastAsia="SimSun" w:hAnsi="Times New Roman" w:hint="default"/>
        </w:rPr>
        <w:t>ch ak vysoká</w:t>
      </w:r>
      <w:r>
        <w:rPr>
          <w:rStyle w:val="apple-style-span"/>
          <w:rFonts w:ascii="Times New Roman" w:eastAsia="SimSun" w:hAnsi="Times New Roman" w:hint="default"/>
        </w:rPr>
        <w:t xml:space="preserve"> š</w:t>
      </w:r>
      <w:r>
        <w:rPr>
          <w:rStyle w:val="apple-style-span"/>
          <w:rFonts w:ascii="Times New Roman" w:eastAsia="SimSun" w:hAnsi="Times New Roman" w:hint="default"/>
        </w:rPr>
        <w:t>kola (resp. jej orgá</w:t>
      </w:r>
      <w:r>
        <w:rPr>
          <w:rStyle w:val="apple-style-span"/>
          <w:rFonts w:ascii="Times New Roman" w:eastAsia="SimSun" w:hAnsi="Times New Roman" w:hint="default"/>
        </w:rPr>
        <w:t>n akademickej samosprá</w:t>
      </w:r>
      <w:r>
        <w:rPr>
          <w:rStyle w:val="apple-style-span"/>
          <w:rFonts w:ascii="Times New Roman" w:eastAsia="SimSun" w:hAnsi="Times New Roman" w:hint="default"/>
        </w:rPr>
        <w:t>vy) ani po vý</w:t>
      </w:r>
      <w:r>
        <w:rPr>
          <w:rStyle w:val="apple-style-span"/>
          <w:rFonts w:ascii="Times New Roman" w:eastAsia="SimSun" w:hAnsi="Times New Roman" w:hint="default"/>
        </w:rPr>
        <w:t>zve na ná</w:t>
      </w:r>
      <w:r>
        <w:rPr>
          <w:rStyle w:val="apple-style-span"/>
          <w:rFonts w:ascii="Times New Roman" w:eastAsia="SimSun" w:hAnsi="Times New Roman" w:hint="default"/>
        </w:rPr>
        <w:t>pravu neprestane konať</w:t>
      </w:r>
      <w:r>
        <w:rPr>
          <w:rStyle w:val="apple-style-span"/>
          <w:rFonts w:ascii="Times New Roman" w:eastAsia="SimSun" w:hAnsi="Times New Roman" w:hint="default"/>
        </w:rPr>
        <w:t xml:space="preserve"> v </w:t>
      </w:r>
      <w:r>
        <w:rPr>
          <w:rStyle w:val="apple-style-span"/>
          <w:rFonts w:ascii="Times New Roman" w:eastAsia="SimSun" w:hAnsi="Times New Roman" w:hint="default"/>
        </w:rPr>
        <w:t>rozpore so zá</w:t>
      </w:r>
      <w:r>
        <w:rPr>
          <w:rStyle w:val="apple-style-span"/>
          <w:rFonts w:ascii="Times New Roman" w:eastAsia="SimSun" w:hAnsi="Times New Roman" w:hint="default"/>
        </w:rPr>
        <w:t>konom.</w:t>
      </w: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V čl. I  213. bode  v § 108a ods. 6  sa slovo „publikácie“ v prvej a druhej vete nahrádza slovami „výstupu publikačnej činnosti“.</w:t>
      </w:r>
    </w:p>
    <w:p w:rsidR="00AB1DA2" w:rsidP="00AB1DA2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niektoré z výstupov nemožno jednoznačne označiť za publikáciu (napr. prihlášky patentov), je vhodné obdobne  ako u umelcov  zvoliť širší  pojem. Ide o zosúladenie s terminológiou obsiahnutou  v § 108b. </w:t>
      </w: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B1DA2" w:rsidP="00AB1DA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V čl. I 213. bode v § 108a ods. 9 sa slová „autorom publikácie“ nahrádzajú slovami „autorom výstupu publikačnej činnosti“ a slová „k zaradeniu publikácie“ sa nahrádzajú slovami „k jeho zaradeniu“.</w:t>
      </w:r>
    </w:p>
    <w:p w:rsidR="00AB1DA2" w:rsidP="00AB1DA2">
      <w:pPr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úpravu terminológie v nadväznosti na zmeny navrhnuté v 213. bode (§ 108a ods. 6). </w:t>
      </w: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AB1DA2" w:rsidP="00AB1DA2">
      <w:pPr>
        <w:bidi w:val="0"/>
        <w:rPr>
          <w:rFonts w:ascii="Times New Roman" w:hAnsi="Times New Roman"/>
        </w:rPr>
      </w:pPr>
    </w:p>
    <w:p w:rsidR="00FD5945" w:rsidRPr="00AB1DA2" w:rsidP="00AB1DA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AB1DA2"/>
    <w:rsid w:val="003C79D2"/>
    <w:rsid w:val="00AB1DA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B1DA2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B1DA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B1DA2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B1DA2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B1DA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B1DA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AB1DA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ListParagraph">
    <w:name w:val="List Paragraph"/>
    <w:basedOn w:val="Normal"/>
    <w:uiPriority w:val="34"/>
    <w:qFormat/>
    <w:rsid w:val="00AB1DA2"/>
    <w:pPr>
      <w:ind w:left="720"/>
      <w:contextualSpacing/>
      <w:jc w:val="left"/>
    </w:pPr>
  </w:style>
  <w:style w:type="paragraph" w:customStyle="1" w:styleId="vodnveta">
    <w:name w:val="vodnveta"/>
    <w:basedOn w:val="Normal"/>
    <w:rsid w:val="00AB1DA2"/>
    <w:pPr>
      <w:spacing w:before="100" w:beforeAutospacing="1" w:after="100" w:afterAutospacing="1"/>
      <w:jc w:val="left"/>
    </w:pPr>
  </w:style>
  <w:style w:type="character" w:customStyle="1" w:styleId="vodnvetaChar">
    <w:name w:val="úvodná veta Char"/>
    <w:basedOn w:val="DefaultParagraphFont"/>
    <w:link w:val="vodnveta0"/>
    <w:locked/>
    <w:rsid w:val="00AB1DA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vodnveta0">
    <w:name w:val="úvodná veta"/>
    <w:basedOn w:val="Normal"/>
    <w:next w:val="Normal"/>
    <w:link w:val="vodnvetaChar"/>
    <w:rsid w:val="00AB1DA2"/>
    <w:pPr>
      <w:tabs>
        <w:tab w:val="num" w:pos="720"/>
      </w:tabs>
      <w:ind w:left="720" w:hanging="360"/>
      <w:jc w:val="both"/>
    </w:pPr>
  </w:style>
  <w:style w:type="character" w:customStyle="1" w:styleId="apple-style-span">
    <w:name w:val="apple-style-span"/>
    <w:rsid w:val="00AB1D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1288</Words>
  <Characters>7346</Characters>
  <Application>Microsoft Office Word</Application>
  <DocSecurity>0</DocSecurity>
  <Lines>0</Lines>
  <Paragraphs>0</Paragraphs>
  <ScaleCrop>false</ScaleCrop>
  <Company>Kancelaria NR SR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2012-11-21T13:25:00Z</dcterms:created>
  <dcterms:modified xsi:type="dcterms:W3CDTF">2012-11-21T13:26:00Z</dcterms:modified>
</cp:coreProperties>
</file>