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90A24">
        <w:t>17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12432D">
        <w:t>1895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  <w:r w:rsidR="00E54D4F">
        <w:rPr>
          <w:b/>
        </w:rPr>
        <w:t xml:space="preserve"> </w:t>
      </w:r>
      <w:r w:rsidR="00F13BF5">
        <w:rPr>
          <w:b/>
        </w:rPr>
        <w:t>95</w:t>
      </w:r>
      <w:r w:rsidR="00E54D4F">
        <w:rPr>
          <w:b/>
        </w:rPr>
        <w:t xml:space="preserve">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A90A24">
        <w:rPr>
          <w:b/>
        </w:rPr>
        <w:t xml:space="preserve"> 2012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111508">
      <w:pPr>
        <w:pStyle w:val="BodyText"/>
        <w:spacing w:after="0"/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="00E85590">
        <w:t xml:space="preserve"> </w:t>
      </w:r>
      <w:r w:rsidR="0012432D">
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 (tlač 226) </w:t>
      </w:r>
      <w:r w:rsidRPr="00A90A24">
        <w:rPr>
          <w:b/>
        </w:rPr>
        <w:t>a</w:t>
      </w:r>
    </w:p>
    <w:p w:rsidR="00EC5F3F" w:rsidRPr="005D2E69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12432D">
        <w:t>vládnym návrhom zákona,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 (tlač 226)</w:t>
      </w:r>
    </w:p>
    <w:p w:rsidR="00D64717" w:rsidRPr="00D64717" w:rsidP="00D64717"/>
    <w:p w:rsidR="00A90A24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12432D" w:rsidR="0012432D">
        <w:rPr>
          <w:b w:val="0"/>
        </w:rPr>
        <w:t>vládny</w:t>
      </w:r>
      <w:r w:rsidRPr="0012432D" w:rsidR="0012432D">
        <w:rPr>
          <w:b w:val="0"/>
        </w:rPr>
        <w:t xml:space="preserve"> návrh zákona,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 (tlač 226)</w:t>
      </w:r>
      <w:r w:rsidR="0012432D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</w:t>
      </w:r>
      <w:r w:rsidR="00EC5F3F">
        <w:t>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 w:rsidR="0012432D">
        <w:rPr>
          <w:lang w:val="sk-SK"/>
        </w:rPr>
        <w:t>zdravotníctvo</w:t>
      </w:r>
      <w:r w:rsidRPr="00111508">
        <w:rPr>
          <w:lang w:val="sk-SK"/>
        </w:rPr>
        <w:t xml:space="preserve"> ako gestorskému výboru informáciu o  výsledku prerokovania.</w:t>
      </w: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A90A24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F13BF5">
        <w:rPr>
          <w:b/>
        </w:rPr>
        <w:t>95</w:t>
      </w:r>
    </w:p>
    <w:p w:rsidR="000D14F9" w:rsidRPr="003371B9" w:rsidP="000D14F9">
      <w:pPr>
        <w:jc w:val="right"/>
      </w:pPr>
      <w:r w:rsidR="00A90A24">
        <w:rPr>
          <w:bCs w:val="0"/>
        </w:rPr>
        <w:t>17.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12432D">
        <w:t>vládnemu návrhu</w:t>
      </w:r>
      <w:r w:rsidR="0012432D">
        <w:t xml:space="preserve"> zákona,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 (tlač 226)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13BF5" w:rsidRPr="00F13BF5" w:rsidP="00F13BF5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V čl. I 1. bod znie: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„1. V § 3 ods. 3 písm. a)  sa za slovo „republiky“ vkladajú slová „alebo je organizačnou zložkou podniku zahraničnej osoby na území Slovenskej republiky“.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ab/>
        <w:tab/>
        <w:tab/>
        <w:tab/>
        <w:tab/>
        <w:tab/>
        <w:t>Spresnenie ustanovenia.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 </w:t>
      </w:r>
    </w:p>
    <w:p w:rsidR="00F13BF5" w:rsidRPr="00F13BF5" w:rsidP="00F13BF5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V čl. I 12. bod znie: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„12. V § 13 ods. 9 písm. b) sa za slová „(ďalej len „priemerná mesačná mzda“)“ vkladá čiarka a slová „ak v písmene c) nie je ustanovené inak“.</w:t>
      </w:r>
    </w:p>
    <w:p w:rsidR="00F13BF5" w:rsidRPr="00F13BF5" w:rsidP="00F13BF5">
      <w:p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5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Spresnenie ustanovenia; vkladané slová sa vzťahujú na text  pred bodkočiarkou.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4245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5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V čl. I sa za 18. bod vkladá nový 19. bod, ktorý znie: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„19. V § 17 ods. 7 sa slová „odseku 5“ nahrádzajú slovami „odseku 6“.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Nasledujúce body sa primerane prečíslujú.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5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Legislatívno-technická úprava; v nadväznosti na vloženie nového odseku 4 do § 17 (čl. I,  18. bod) je potrebné upraviť aj vnútorný odkaz v doterajšom odseku 6.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4245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V čl. I sa za 19. bod vkladá nový 20. bod, ktorý znie: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„20. V § 18 ods. 1 sa slová „§ 17 ods. 7“ nahrádzajú slovami „§ 17 ods. 8“ a slová „§ 17 ods. 1 až 5“ sa nahrádzajú slovami „§ 17 ods. 1 až 6“.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Nasledujúce body sa primerane prečíslujú.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5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Legislatívno-technická úprava v nadväznosti na vloženie nového odseku 4 do § 17 (čl. I,  18. bod).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4245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5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V čl. I sa za 27. bod vkladá nový 28. bod, ktorý znie: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„28. V § 21 ods. 1 sa slová „§ 17 ods. 7“ nahrádzajú slovami „§ 17 ods. 8“.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Nasledujúce body sa primerane prečíslujú.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Legislatívno-technická úprava v nadväznosti na vloženie nového odseku 4 do § 17 (čl. I,  18. bod).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V čl. I sa za 39. bod vkladá nový 40. bod, ktorý znie: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„40.  V § 27 ods. 2 písm. e) sa v úvodnej vete slová „písmena e)“ nahrádzajú slovami „písmena d)“.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Nasledujúce body sa primerane prečíslujú.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Legislatívno-technická úprava; v nadväznosti na vypustenie § 27 ods. 2 písm. b) (čl. I,  39. bod) bolo potrebné upraviť vnútorný odkaz aj v § 27 ods. 2 (doterajšom) písmene f).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>V čl. I, 50. bode sa v § 38b ods. 11 slová „odseku 2“ nahrádzajú slovami „odseku 10“.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Oprava chybného vnútorného odkazu.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V čl. II, 5. bode sa v § 20 ods. 1 písm. n) označenie odkazu </w:t>
      </w:r>
      <w:r w:rsidRPr="00F13BF5">
        <w:rPr>
          <w:bCs w:val="0"/>
          <w:szCs w:val="20"/>
          <w:vertAlign w:val="superscript"/>
        </w:rPr>
        <w:t>41aad</w:t>
      </w:r>
      <w:r w:rsidRPr="00F13BF5">
        <w:rPr>
          <w:bCs w:val="0"/>
          <w:szCs w:val="20"/>
        </w:rPr>
        <w:t xml:space="preserve">) a poznámky pod čiarou k odkazu 41aad nahrádza označením 41ba. </w:t>
      </w:r>
    </w:p>
    <w:p w:rsidR="00F13BF5" w:rsidRPr="00F13BF5" w:rsidP="00F13BF5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bCs w:val="0"/>
          <w:szCs w:val="20"/>
        </w:rPr>
      </w:pPr>
    </w:p>
    <w:p w:rsidR="00F13BF5" w:rsidRPr="00F13BF5" w:rsidP="00F13BF5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bCs w:val="0"/>
          <w:szCs w:val="20"/>
        </w:rPr>
      </w:pPr>
      <w:r w:rsidRPr="00F13BF5">
        <w:rPr>
          <w:bCs w:val="0"/>
          <w:szCs w:val="20"/>
        </w:rPr>
        <w:t xml:space="preserve">Úprava chronologického číslovania poznámok pod čiarou. </w:t>
      </w:r>
    </w:p>
    <w:p w:rsidR="00F13BF5" w:rsidRPr="00F13BF5" w:rsidP="00F13BF5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Cs w:val="0"/>
        </w:rPr>
      </w:pPr>
    </w:p>
    <w:p w:rsidR="000741D0" w:rsidP="008B2507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BF5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85C2D"/>
    <w:multiLevelType w:val="hybridMultilevel"/>
    <w:tmpl w:val="DD40942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5"/>
  </w:num>
  <w:num w:numId="5">
    <w:abstractNumId w:val="25"/>
  </w:num>
  <w:num w:numId="6">
    <w:abstractNumId w:val="6"/>
  </w:num>
  <w:num w:numId="7">
    <w:abstractNumId w:val="14"/>
  </w:num>
  <w:num w:numId="8">
    <w:abstractNumId w:val="28"/>
  </w:num>
  <w:num w:numId="9">
    <w:abstractNumId w:val="29"/>
  </w:num>
  <w:num w:numId="10">
    <w:abstractNumId w:val="1"/>
  </w:num>
  <w:num w:numId="11">
    <w:abstractNumId w:val="17"/>
  </w:num>
  <w:num w:numId="12">
    <w:abstractNumId w:va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10"/>
  </w:num>
  <w:num w:numId="20">
    <w:abstractNumId w:val="23"/>
  </w:num>
  <w:num w:numId="21">
    <w:abstractNumId w:val="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9"/>
  </w:num>
  <w:num w:numId="25">
    <w:abstractNumId w:val="32"/>
  </w:num>
  <w:num w:numId="26">
    <w:abstractNumId w:val="18"/>
  </w:num>
  <w:num w:numId="27">
    <w:abstractNumId w:val="16"/>
  </w:num>
  <w:num w:numId="28">
    <w:abstractNumId w:val="9"/>
  </w:num>
  <w:num w:numId="29">
    <w:abstractNumId w:val="3"/>
  </w:num>
  <w:num w:numId="30">
    <w:abstractNumId w:val="27"/>
  </w:num>
  <w:num w:numId="31">
    <w:abstractNumId w:val="22"/>
  </w:num>
  <w:num w:numId="32">
    <w:abstractNumId w:val="24"/>
  </w:num>
  <w:num w:numId="33">
    <w:abstractNumId w:val="12"/>
  </w:num>
  <w:num w:numId="34">
    <w:abstractNumId w:val="15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39A4"/>
    <w:rsid w:val="0011524C"/>
    <w:rsid w:val="00117627"/>
    <w:rsid w:val="001212D5"/>
    <w:rsid w:val="0012432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125D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414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3BF5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296</cp:revision>
  <cp:lastPrinted>2011-06-10T10:52:00Z</cp:lastPrinted>
  <dcterms:created xsi:type="dcterms:W3CDTF">2003-06-05T11:59:00Z</dcterms:created>
  <dcterms:modified xsi:type="dcterms:W3CDTF">2012-11-15T13:19:00Z</dcterms:modified>
</cp:coreProperties>
</file>