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A90A24">
        <w:t>17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A90A24">
        <w:t>1931</w:t>
      </w:r>
      <w:r w:rsidRPr="00053FB9" w:rsidR="003371B9">
        <w:t>/</w:t>
      </w:r>
      <w:r w:rsidR="00053FB9">
        <w:t>201</w:t>
      </w:r>
      <w:r w:rsidR="00A90A24">
        <w:t>2</w:t>
      </w:r>
    </w:p>
    <w:p w:rsidR="0004001B" w:rsidP="00067F0B">
      <w:pPr>
        <w:ind w:left="3540" w:firstLine="708"/>
        <w:rPr>
          <w:b/>
        </w:rPr>
      </w:pPr>
    </w:p>
    <w:p w:rsidR="00A45E0F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  <w:r w:rsidR="000B19F4">
        <w:rPr>
          <w:b/>
        </w:rPr>
        <w:t xml:space="preserve"> </w:t>
      </w:r>
      <w:r w:rsidR="00E54D4F">
        <w:rPr>
          <w:b/>
        </w:rPr>
        <w:t xml:space="preserve">  </w:t>
      </w:r>
    </w:p>
    <w:p w:rsidR="00E85590" w:rsidP="00067F0B">
      <w:pPr>
        <w:ind w:left="3540" w:firstLine="708"/>
        <w:rPr>
          <w:b/>
        </w:rPr>
      </w:pPr>
      <w:r w:rsidR="00201108">
        <w:rPr>
          <w:b/>
        </w:rPr>
        <w:t xml:space="preserve">        </w:t>
      </w:r>
    </w:p>
    <w:p w:rsidR="00A90A24" w:rsidP="00067F0B">
      <w:pPr>
        <w:ind w:left="3540" w:firstLine="708"/>
        <w:rPr>
          <w:b/>
        </w:rPr>
      </w:pPr>
      <w:r w:rsidR="00CC28DB">
        <w:rPr>
          <w:b/>
        </w:rPr>
        <w:t xml:space="preserve">         110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</w:t>
      </w:r>
      <w:r>
        <w:rPr>
          <w:b/>
        </w:rPr>
        <w:t>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15</w:t>
      </w:r>
      <w:r w:rsidR="00C72FBD">
        <w:rPr>
          <w:b/>
        </w:rPr>
        <w:t xml:space="preserve">. </w:t>
      </w:r>
      <w:r w:rsidR="00272FA8">
        <w:rPr>
          <w:b/>
        </w:rPr>
        <w:t>novembra</w:t>
      </w:r>
      <w:r w:rsidR="00A90A24">
        <w:rPr>
          <w:b/>
        </w:rPr>
        <w:t xml:space="preserve"> 2012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A90A24" w:rsidP="00117627">
      <w:pPr>
        <w:jc w:val="both"/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="00E85590">
        <w:t xml:space="preserve"> </w:t>
      </w:r>
      <w:r>
        <w:t>v</w:t>
      </w:r>
      <w:r w:rsidRPr="00A90A24">
        <w:rPr>
          <w:bCs w:val="0"/>
        </w:rPr>
        <w:t xml:space="preserve">ládny návrh zákona o medzinárodnej pomoci a spolupráci pri správe daní (tlač 237) </w:t>
      </w:r>
      <w:r w:rsidRPr="00A90A24">
        <w:rPr>
          <w:b/>
        </w:rPr>
        <w:t>a</w:t>
      </w:r>
    </w:p>
    <w:p w:rsidR="00EC5F3F" w:rsidRPr="005D2E69" w:rsidP="00117627">
      <w:pPr>
        <w:jc w:val="both"/>
      </w:pPr>
      <w:r w:rsidRPr="005D2E69" w:rsidR="00ED3C5E">
        <w:t xml:space="preserve"> </w:t>
      </w:r>
      <w:r w:rsidRPr="005D2E69" w:rsidR="008458BA"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0E5323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A90A24">
        <w:t>v</w:t>
      </w:r>
      <w:r w:rsidRPr="00A90A24" w:rsidR="00A90A24">
        <w:rPr>
          <w:bCs w:val="0"/>
        </w:rPr>
        <w:t>ládny</w:t>
      </w:r>
      <w:r w:rsidR="00A90A24">
        <w:rPr>
          <w:bCs w:val="0"/>
        </w:rPr>
        <w:t>m</w:t>
      </w:r>
      <w:r w:rsidRPr="00A90A24" w:rsidR="00A90A24">
        <w:rPr>
          <w:bCs w:val="0"/>
        </w:rPr>
        <w:t xml:space="preserve"> návrh</w:t>
      </w:r>
      <w:r w:rsidR="00A90A24">
        <w:rPr>
          <w:bCs w:val="0"/>
        </w:rPr>
        <w:t>om</w:t>
      </w:r>
      <w:r w:rsidRPr="00A90A24" w:rsidR="00A90A24">
        <w:rPr>
          <w:bCs w:val="0"/>
        </w:rPr>
        <w:t xml:space="preserve"> zákona o</w:t>
      </w:r>
      <w:r w:rsidRPr="00A90A24" w:rsidR="00A90A24">
        <w:rPr>
          <w:bCs w:val="0"/>
        </w:rPr>
        <w:t> medzinárodnej pomoci a spolupráci pri správe daní (tlač 237)</w:t>
      </w:r>
    </w:p>
    <w:p w:rsidR="00D64717" w:rsidRPr="00D64717" w:rsidP="00D64717"/>
    <w:p w:rsidR="00450C55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90A24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A90A24" w:rsidR="00A90A24">
        <w:rPr>
          <w:b w:val="0"/>
        </w:rPr>
        <w:t>v</w:t>
      </w:r>
      <w:r w:rsidRPr="00A90A24" w:rsidR="00A90A24">
        <w:rPr>
          <w:b w:val="0"/>
          <w:bCs w:val="0"/>
        </w:rPr>
        <w:t>ládny návrh zákona o medzinárodnej pomoci a spolupráci pri správe daní (tlač 237)</w:t>
      </w:r>
      <w:r w:rsidR="00A90A24">
        <w:rPr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</w:t>
      </w:r>
      <w:r w:rsidRPr="00E20A99" w:rsidR="00F33022">
        <w:t xml:space="preserve">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4001B" w:rsidP="000139BA">
      <w:pPr>
        <w:ind w:left="1416"/>
        <w:jc w:val="both"/>
        <w:rPr>
          <w:b/>
        </w:rPr>
      </w:pP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117627" w:rsidP="00117627">
      <w:r w:rsidR="00BD7172">
        <w:t xml:space="preserve"> </w:t>
      </w:r>
      <w:r w:rsidR="00E20A99">
        <w:t xml:space="preserve"> </w:t>
      </w:r>
      <w:r>
        <w:tab/>
        <w:tab/>
        <w:tab/>
        <w:t xml:space="preserve">  informovať predsedu Národnej rady Slovenskej republiky o výsledku </w:t>
      </w:r>
    </w:p>
    <w:p w:rsidR="00117627" w:rsidP="00117627">
      <w:r>
        <w:t xml:space="preserve">                        prerokovania uvedeného vládneho návrhu vo výbore</w:t>
      </w:r>
    </w:p>
    <w:p w:rsidR="00117627" w:rsidP="00117627">
      <w:pPr>
        <w:ind w:left="2850"/>
        <w:jc w:val="both"/>
      </w:pPr>
    </w:p>
    <w:p w:rsidR="00C059CD" w:rsidP="00A73ECD">
      <w:pPr>
        <w:rPr>
          <w:b/>
          <w:bCs w:val="0"/>
        </w:rPr>
      </w:pPr>
      <w:r w:rsidR="00E20A99">
        <w:t xml:space="preserve">                                  </w:t>
      </w:r>
      <w:r w:rsidR="00E20A99">
        <w:t xml:space="preserve">                            </w:t>
      </w:r>
    </w:p>
    <w:p w:rsidR="00A45E0F">
      <w:pPr>
        <w:ind w:left="5664" w:firstLine="708"/>
        <w:rPr>
          <w:b/>
          <w:bCs w:val="0"/>
        </w:rPr>
      </w:pPr>
    </w:p>
    <w:p w:rsidR="00A90A24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A90A24">
        <w:rPr>
          <w:b/>
          <w:bCs w:val="0"/>
        </w:rPr>
        <w:t>Daniel Duchoň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A90A24">
        <w:rPr>
          <w:b/>
        </w:rPr>
        <w:t xml:space="preserve">  Milan Mojš</w:t>
      </w:r>
    </w:p>
    <w:p w:rsidR="00EC5F3F">
      <w:r w:rsidR="00595842">
        <w:t xml:space="preserve">  </w:t>
      </w:r>
      <w:r>
        <w:t>overovateľ výboru</w:t>
      </w:r>
    </w:p>
    <w:p w:rsidR="00A45E0F"/>
    <w:p w:rsidR="00A45E0F"/>
    <w:p w:rsidR="00A90A24"/>
    <w:p w:rsidR="00A90A24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>Príl</w:t>
      </w:r>
      <w:r>
        <w:t xml:space="preserve">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CC28DB">
        <w:rPr>
          <w:b/>
        </w:rPr>
        <w:t>110</w:t>
      </w:r>
    </w:p>
    <w:p w:rsidR="000D14F9" w:rsidRPr="003371B9" w:rsidP="000D14F9">
      <w:pPr>
        <w:jc w:val="right"/>
      </w:pPr>
      <w:r w:rsidR="00A90A24">
        <w:rPr>
          <w:bCs w:val="0"/>
        </w:rPr>
        <w:t>17.</w:t>
      </w:r>
      <w:r w:rsidRPr="003371B9">
        <w:rPr>
          <w:bCs w:val="0"/>
        </w:rPr>
        <w:t xml:space="preserve">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A90A24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A90A24" w:rsidP="003371B9">
      <w:pPr>
        <w:pStyle w:val="Heading1"/>
        <w:ind w:left="360"/>
        <w:jc w:val="center"/>
        <w:rPr>
          <w:bCs w:val="0"/>
        </w:rPr>
      </w:pPr>
      <w:r w:rsidR="00117627">
        <w:t>k</w:t>
      </w:r>
      <w:r w:rsidRPr="00117627" w:rsidR="00117627">
        <w:t xml:space="preserve"> </w:t>
      </w:r>
      <w:r>
        <w:t>v</w:t>
      </w:r>
      <w:r>
        <w:rPr>
          <w:bCs w:val="0"/>
        </w:rPr>
        <w:t>ládnemu</w:t>
      </w:r>
      <w:r w:rsidRPr="00A90A24">
        <w:rPr>
          <w:bCs w:val="0"/>
        </w:rPr>
        <w:t xml:space="preserve"> návrh</w:t>
      </w:r>
      <w:r>
        <w:rPr>
          <w:bCs w:val="0"/>
        </w:rPr>
        <w:t>u</w:t>
      </w:r>
      <w:r w:rsidRPr="00A90A24">
        <w:rPr>
          <w:bCs w:val="0"/>
        </w:rPr>
        <w:t xml:space="preserve"> zákona o medzinárodnej pomoci a spolupráci pri správe daní </w:t>
      </w:r>
    </w:p>
    <w:p w:rsidR="003371B9" w:rsidP="003371B9">
      <w:pPr>
        <w:pStyle w:val="Heading1"/>
        <w:ind w:left="360"/>
        <w:jc w:val="center"/>
      </w:pPr>
      <w:r w:rsidRPr="00A90A24" w:rsidR="00A90A24">
        <w:rPr>
          <w:bCs w:val="0"/>
        </w:rPr>
        <w:t>(tlač 237)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D95A89" w:rsidP="000D14F9">
      <w:pPr>
        <w:rPr>
          <w:b/>
          <w:bCs w:val="0"/>
        </w:rPr>
      </w:pPr>
    </w:p>
    <w:p w:rsidR="001E6B00" w:rsidRPr="001E6B00" w:rsidP="001E6B00">
      <w:pPr>
        <w:numPr>
          <w:ilvl w:val="0"/>
          <w:numId w:val="37"/>
        </w:numPr>
        <w:tabs>
          <w:tab w:val="num" w:pos="0"/>
        </w:tabs>
        <w:ind w:left="0" w:firstLine="0"/>
        <w:jc w:val="both"/>
        <w:rPr>
          <w:rFonts w:eastAsia="Calibri"/>
          <w:b/>
        </w:rPr>
      </w:pPr>
      <w:r w:rsidRPr="001E6B00">
        <w:rPr>
          <w:rFonts w:eastAsia="Calibri"/>
          <w:b/>
        </w:rPr>
        <w:t>K § 2</w:t>
      </w:r>
    </w:p>
    <w:p w:rsidR="001E6B00" w:rsidP="001E6B00">
      <w:pPr>
        <w:tabs>
          <w:tab w:val="num" w:pos="644"/>
        </w:tabs>
        <w:jc w:val="both"/>
        <w:rPr>
          <w:rFonts w:eastAsia="Calibri"/>
        </w:rPr>
      </w:pPr>
      <w:r>
        <w:rPr>
          <w:rFonts w:eastAsia="Calibri"/>
        </w:rPr>
        <w:t xml:space="preserve">      </w:t>
      </w:r>
      <w:r w:rsidRPr="001E6B00">
        <w:rPr>
          <w:rFonts w:eastAsia="Calibri"/>
        </w:rPr>
        <w:t>V § 2 pí</w:t>
      </w:r>
      <w:r w:rsidRPr="001E6B00">
        <w:rPr>
          <w:rFonts w:eastAsia="Calibri"/>
        </w:rPr>
        <w:t>sm. a) prvom bode sa slová „na základe právne záväzných aktov Európskej únie,</w:t>
      </w:r>
      <w:r w:rsidRPr="001E6B00">
        <w:rPr>
          <w:rFonts w:eastAsia="Calibri"/>
          <w:vertAlign w:val="superscript"/>
        </w:rPr>
        <w:t>2</w:t>
      </w:r>
      <w:r w:rsidRPr="001E6B00">
        <w:rPr>
          <w:rFonts w:eastAsia="Calibri"/>
        </w:rPr>
        <w:t xml:space="preserve">)“ </w:t>
      </w:r>
      <w:r>
        <w:rPr>
          <w:rFonts w:eastAsia="Calibri"/>
        </w:rPr>
        <w:t xml:space="preserve">  </w:t>
      </w:r>
    </w:p>
    <w:p w:rsidR="001E6B00" w:rsidRPr="001E6B00" w:rsidP="001E6B00">
      <w:pPr>
        <w:tabs>
          <w:tab w:val="num" w:pos="644"/>
        </w:tabs>
        <w:jc w:val="both"/>
        <w:rPr>
          <w:rFonts w:eastAsia="Calibri"/>
        </w:rPr>
      </w:pPr>
      <w:r>
        <w:rPr>
          <w:rFonts w:eastAsia="Calibri"/>
        </w:rPr>
        <w:t xml:space="preserve">       </w:t>
      </w:r>
      <w:r w:rsidRPr="001E6B00">
        <w:rPr>
          <w:rFonts w:eastAsia="Calibri"/>
        </w:rPr>
        <w:t>nahrádzajú slovami „určeným členským štátom a oznámeným Európskej komisii,“.</w:t>
      </w:r>
    </w:p>
    <w:p w:rsidR="001E6B00" w:rsidRPr="001E6B00" w:rsidP="001E6B00">
      <w:pPr>
        <w:tabs>
          <w:tab w:val="num" w:pos="644"/>
        </w:tabs>
        <w:ind w:left="644"/>
        <w:jc w:val="both"/>
        <w:rPr>
          <w:rFonts w:eastAsia="Calibri"/>
        </w:rPr>
      </w:pPr>
    </w:p>
    <w:p w:rsidR="001E6B00" w:rsidRPr="001E6B00" w:rsidP="001E6B00">
      <w:pPr>
        <w:tabs>
          <w:tab w:val="num" w:pos="644"/>
        </w:tabs>
        <w:ind w:left="644"/>
        <w:jc w:val="both"/>
        <w:rPr>
          <w:rFonts w:eastAsia="Calibri"/>
        </w:rPr>
      </w:pPr>
      <w:r w:rsidRPr="001E6B00">
        <w:rPr>
          <w:rFonts w:eastAsia="Calibri"/>
        </w:rPr>
        <w:t>Poznámka pod čiarou k odkazu 2 sa vypúšťa.</w:t>
      </w:r>
    </w:p>
    <w:p w:rsidR="001E6B00" w:rsidRPr="001E6B00" w:rsidP="001E6B00">
      <w:pPr>
        <w:tabs>
          <w:tab w:val="num" w:pos="644"/>
        </w:tabs>
        <w:ind w:left="644"/>
        <w:jc w:val="both"/>
        <w:rPr>
          <w:rFonts w:eastAsia="Calibri"/>
        </w:rPr>
      </w:pPr>
      <w:r w:rsidRPr="001E6B00">
        <w:rPr>
          <w:rFonts w:eastAsia="Calibri"/>
        </w:rPr>
        <w:t>Ostatné poznámky pod čiarou sa primerane prečíslujú.</w:t>
      </w:r>
    </w:p>
    <w:p w:rsidR="001E6B00" w:rsidRPr="001E6B00" w:rsidP="001E6B00">
      <w:pPr>
        <w:tabs>
          <w:tab w:val="num" w:pos="644"/>
        </w:tabs>
        <w:ind w:left="644"/>
        <w:jc w:val="both"/>
        <w:rPr>
          <w:rFonts w:eastAsia="Calibri"/>
        </w:rPr>
      </w:pPr>
    </w:p>
    <w:p w:rsidR="001E6B00" w:rsidRPr="001E6B00" w:rsidP="001E6B00">
      <w:pPr>
        <w:tabs>
          <w:tab w:val="num" w:pos="2835"/>
        </w:tabs>
        <w:ind w:left="2835"/>
        <w:jc w:val="both"/>
        <w:rPr>
          <w:rFonts w:eastAsia="Calibri"/>
        </w:rPr>
      </w:pPr>
      <w:r w:rsidRPr="001E6B00">
        <w:rPr>
          <w:rFonts w:eastAsia="Calibri"/>
        </w:rPr>
        <w:t>Navrhovaná úprava je legislatívneho charakteru a nadväzuje na odporúčanie Kancelárie Národnej rady SR a Odboru legislatívy a aproximácie práva Národnej rady SR vyjadrené vo všeobecnej časti stanoviska k návrhu zákona.</w:t>
      </w:r>
    </w:p>
    <w:p w:rsidR="00D95A89" w:rsidP="001E6B00">
      <w:pPr>
        <w:rPr>
          <w:b/>
          <w:bCs w:val="0"/>
        </w:rPr>
      </w:pPr>
    </w:p>
    <w:p w:rsidR="00D95A89" w:rsidP="000D14F9">
      <w:pPr>
        <w:rPr>
          <w:b/>
          <w:bCs w:val="0"/>
        </w:rPr>
      </w:pPr>
    </w:p>
    <w:p w:rsidR="00CC28DB" w:rsidRPr="00CC28DB" w:rsidP="001E6B00">
      <w:pPr>
        <w:pStyle w:val="ListParagraph"/>
        <w:numPr>
          <w:ilvl w:val="0"/>
          <w:numId w:val="37"/>
        </w:numPr>
        <w:tabs>
          <w:tab w:val="num" w:pos="0"/>
          <w:tab w:val="clear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návrhu zákona </w:t>
      </w:r>
    </w:p>
    <w:p w:rsidR="00CC28DB" w:rsidRPr="00CC28DB" w:rsidP="001E6B00">
      <w:pPr>
        <w:pStyle w:val="ListParagraph"/>
        <w:spacing w:after="0" w:line="24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CC28DB">
        <w:rPr>
          <w:rFonts w:ascii="Times New Roman" w:hAnsi="Times New Roman"/>
          <w:sz w:val="24"/>
          <w:szCs w:val="24"/>
        </w:rPr>
        <w:t>V § 2 pís</w:t>
      </w:r>
      <w:r w:rsidRPr="00CC28DB">
        <w:rPr>
          <w:rFonts w:ascii="Times New Roman" w:hAnsi="Times New Roman"/>
          <w:sz w:val="24"/>
          <w:szCs w:val="24"/>
        </w:rPr>
        <w:t xml:space="preserve">m. i), § 4 ods. 1 a 4 a § 14 ods. 1 písm. a) sa nad slovo „colníctva“ umiestňuje </w:t>
      </w:r>
      <w:r w:rsidR="001E6B00">
        <w:rPr>
          <w:rFonts w:ascii="Times New Roman" w:hAnsi="Times New Roman"/>
          <w:sz w:val="24"/>
          <w:szCs w:val="24"/>
        </w:rPr>
        <w:t xml:space="preserve"> </w:t>
      </w:r>
      <w:r w:rsidRPr="00CC28DB">
        <w:rPr>
          <w:rFonts w:ascii="Times New Roman" w:hAnsi="Times New Roman"/>
          <w:sz w:val="24"/>
          <w:szCs w:val="24"/>
        </w:rPr>
        <w:t xml:space="preserve">odkaz na poznámku pod čiarou 5. </w:t>
      </w:r>
    </w:p>
    <w:p w:rsidR="00CC28DB" w:rsidRPr="00CC28DB" w:rsidP="00CC28D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8DB" w:rsidRPr="00CC28DB" w:rsidP="001E6B00">
      <w:pPr>
        <w:pStyle w:val="ListParagraph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CC28DB">
        <w:rPr>
          <w:rFonts w:ascii="Times New Roman" w:hAnsi="Times New Roman"/>
          <w:sz w:val="24"/>
          <w:szCs w:val="24"/>
        </w:rPr>
        <w:t xml:space="preserve">Pripomienka dôsledne dopĺňa odkaz na poznámku pod čiarou 5 zavedenú v súvislosti s pojmom „orgán štátnej správy v oblasti daní, poplatkov a </w:t>
      </w:r>
      <w:r w:rsidRPr="00CC28DB">
        <w:rPr>
          <w:rFonts w:ascii="Times New Roman" w:hAnsi="Times New Roman"/>
          <w:sz w:val="24"/>
          <w:szCs w:val="24"/>
        </w:rPr>
        <w:t>colníctva“.</w:t>
      </w:r>
    </w:p>
    <w:p w:rsidR="00CC28DB" w:rsidP="00CC28DB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28DB" w:rsidRPr="00CC28DB" w:rsidP="00CC28DB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28DB" w:rsidRPr="00CC28DB" w:rsidP="001E6B00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="001E6B00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K návrhu zákona</w:t>
      </w:r>
    </w:p>
    <w:p w:rsidR="001E6B00" w:rsidP="001E6B0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C28DB" w:rsidR="00CC28DB">
        <w:rPr>
          <w:rFonts w:ascii="Times New Roman" w:hAnsi="Times New Roman"/>
          <w:sz w:val="24"/>
          <w:szCs w:val="24"/>
        </w:rPr>
        <w:t>V § 4 ods. 3 a § 11 ods. 2 a 3</w:t>
      </w:r>
      <w:r w:rsidRPr="00CC28DB" w:rsidR="00CC28DB">
        <w:rPr>
          <w:rFonts w:ascii="Times New Roman" w:hAnsi="Times New Roman"/>
          <w:b/>
          <w:sz w:val="24"/>
          <w:szCs w:val="24"/>
        </w:rPr>
        <w:t xml:space="preserve"> </w:t>
      </w:r>
      <w:r w:rsidRPr="00CC28DB" w:rsidR="00CC28DB">
        <w:rPr>
          <w:rFonts w:ascii="Times New Roman" w:hAnsi="Times New Roman"/>
          <w:sz w:val="24"/>
          <w:szCs w:val="24"/>
        </w:rPr>
        <w:t xml:space="preserve">sa nad slová „správca dane“ vo všetkých gramatických </w:t>
      </w:r>
    </w:p>
    <w:p w:rsidR="00CC28DB" w:rsidRPr="00CC28DB" w:rsidP="001E6B0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="001E6B00">
        <w:rPr>
          <w:rFonts w:ascii="Times New Roman" w:hAnsi="Times New Roman"/>
          <w:sz w:val="24"/>
          <w:szCs w:val="24"/>
        </w:rPr>
        <w:t xml:space="preserve">         </w:t>
      </w:r>
      <w:r w:rsidRPr="00CC28DB">
        <w:rPr>
          <w:rFonts w:ascii="Times New Roman" w:hAnsi="Times New Roman"/>
          <w:sz w:val="24"/>
          <w:szCs w:val="24"/>
        </w:rPr>
        <w:t xml:space="preserve">tvaroch umiestňuje odkaz na poznámku pod čiarou 7. </w:t>
      </w:r>
    </w:p>
    <w:p w:rsidR="00CC28DB" w:rsidRPr="00CC28DB" w:rsidP="00CC28D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8DB" w:rsidRPr="00CC28DB" w:rsidP="001E6B00">
      <w:pPr>
        <w:pStyle w:val="ListParagraph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CC28DB">
        <w:rPr>
          <w:rFonts w:ascii="Times New Roman" w:hAnsi="Times New Roman"/>
          <w:sz w:val="24"/>
          <w:szCs w:val="24"/>
        </w:rPr>
        <w:t>Pripomienka dôsledne dopĺňa odkaz na poznámku pod čiarou 7 zavedenú v</w:t>
      </w:r>
      <w:r w:rsidRPr="00CC28DB">
        <w:rPr>
          <w:rFonts w:ascii="Times New Roman" w:hAnsi="Times New Roman"/>
          <w:sz w:val="24"/>
          <w:szCs w:val="24"/>
        </w:rPr>
        <w:t> súvislosti s pojmom „správca dane“.</w:t>
      </w:r>
    </w:p>
    <w:p w:rsidR="00CC28DB" w:rsidRPr="00CC28DB" w:rsidP="00CC28DB"/>
    <w:p w:rsidR="00CC28DB" w:rsidRPr="00CC28DB" w:rsidP="00CC28DB"/>
    <w:p w:rsidR="00CC28DB" w:rsidRPr="00CC28DB" w:rsidP="001E6B00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28DB">
        <w:rPr>
          <w:rFonts w:ascii="Times New Roman" w:hAnsi="Times New Roman"/>
          <w:b/>
          <w:sz w:val="24"/>
          <w:szCs w:val="24"/>
        </w:rPr>
        <w:t>K § 4</w:t>
      </w:r>
    </w:p>
    <w:p w:rsidR="00CC28DB" w:rsidRPr="00CC28DB" w:rsidP="001E6B0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C28DB">
        <w:rPr>
          <w:rFonts w:ascii="Times New Roman" w:hAnsi="Times New Roman"/>
          <w:sz w:val="24"/>
          <w:szCs w:val="24"/>
        </w:rPr>
        <w:t>V § 4 ods. 3 veta za bodkočiarkou znie: „informácie týkajúce sa daní podľa § 3 správca dane poskytuje príslušnému orgánu Slovenskej republiky kedykoľvek aj bez žiadosti, obec ako správca dane poskytuje uvedené informácie na základe žiadosti.“.</w:t>
      </w:r>
    </w:p>
    <w:p w:rsidR="00CC28DB" w:rsidRPr="00CC28DB" w:rsidP="00CC28DB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C28DB" w:rsidRPr="00CC28DB" w:rsidP="001E6B00">
      <w:pPr>
        <w:pStyle w:val="ListParagraph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CC28DB">
        <w:rPr>
          <w:rFonts w:ascii="Times New Roman" w:hAnsi="Times New Roman"/>
          <w:sz w:val="24"/>
          <w:szCs w:val="24"/>
        </w:rPr>
        <w:t xml:space="preserve">Pripomienka legislatívno-technicky precizuje predmetné ustanovenie. </w:t>
      </w:r>
    </w:p>
    <w:p w:rsidR="00CC28DB" w:rsidRPr="00CC28DB" w:rsidP="00CC28DB">
      <w:pPr>
        <w:jc w:val="both"/>
      </w:pPr>
    </w:p>
    <w:p w:rsidR="00CC28DB" w:rsidP="00CC28DB">
      <w:pPr>
        <w:jc w:val="both"/>
      </w:pPr>
    </w:p>
    <w:p w:rsidR="001E6B00" w:rsidP="00CC28DB">
      <w:pPr>
        <w:jc w:val="both"/>
      </w:pPr>
    </w:p>
    <w:p w:rsidR="001E6B00" w:rsidRPr="00CC28DB" w:rsidP="00CC28DB">
      <w:pPr>
        <w:jc w:val="both"/>
      </w:pPr>
    </w:p>
    <w:p w:rsidR="001E6B00" w:rsidRPr="001E6B00" w:rsidP="001E6B00">
      <w:pPr>
        <w:numPr>
          <w:ilvl w:val="0"/>
          <w:numId w:val="37"/>
        </w:numPr>
        <w:tabs>
          <w:tab w:val="num" w:pos="644"/>
        </w:tabs>
        <w:spacing w:line="276" w:lineRule="auto"/>
        <w:ind w:left="644" w:hanging="644"/>
        <w:jc w:val="both"/>
        <w:rPr>
          <w:rFonts w:eastAsia="Calibri"/>
          <w:b/>
        </w:rPr>
      </w:pPr>
      <w:r w:rsidRPr="001E6B00">
        <w:rPr>
          <w:rFonts w:eastAsia="Calibri"/>
          <w:b/>
        </w:rPr>
        <w:t>K § 4</w:t>
      </w:r>
    </w:p>
    <w:p w:rsidR="001E6B00" w:rsidRPr="001E6B00" w:rsidP="001E6B00">
      <w:pPr>
        <w:tabs>
          <w:tab w:val="num" w:pos="644"/>
        </w:tabs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      </w:t>
      </w:r>
      <w:r w:rsidRPr="001E6B00">
        <w:rPr>
          <w:rFonts w:eastAsia="Calibri"/>
        </w:rPr>
        <w:t>V § 4 ods. 4 druhej vete sa slovo „doručená“ nahrádza slovom „postúpená“.</w:t>
      </w:r>
    </w:p>
    <w:p w:rsidR="001E6B00" w:rsidRPr="001E6B00" w:rsidP="001E6B00">
      <w:pPr>
        <w:tabs>
          <w:tab w:val="num" w:pos="644"/>
        </w:tabs>
        <w:spacing w:line="276" w:lineRule="auto"/>
        <w:ind w:left="644"/>
        <w:jc w:val="both"/>
        <w:rPr>
          <w:rFonts w:eastAsia="Calibri"/>
        </w:rPr>
      </w:pPr>
    </w:p>
    <w:p w:rsidR="001E6B00" w:rsidRPr="001E6B00" w:rsidP="001E6B00">
      <w:pPr>
        <w:tabs>
          <w:tab w:val="left" w:pos="2835"/>
        </w:tabs>
        <w:ind w:left="2835"/>
        <w:jc w:val="both"/>
        <w:rPr>
          <w:rFonts w:eastAsia="Calibri"/>
          <w:bCs w:val="0"/>
        </w:rPr>
      </w:pPr>
      <w:r w:rsidRPr="001E6B00">
        <w:rPr>
          <w:rFonts w:eastAsia="Calibri"/>
          <w:bCs w:val="0"/>
        </w:rPr>
        <w:t>Navrhovaná úprava nadväzuje na odporúčanie Kancelárie Národnej rady SR a Odboru legislatívy a aproximácie práva Národnej rady SR vyjadrené vo všeobecnej časti stanoviska k návrhu zákona. Navrhovanou úpravou sa zabezpečí úplná transpozícia čl. 4 ods. 7 smernice Rady 2011/16/EÚ, ktorý plynutie lehôt na vybavenie žiadosti o výmenu informácií viaže na deň postúpenia žiadosti ústrednému kontaktnému úradu, ktorým je príslušný orgán Slovenskej republiky.</w:t>
      </w:r>
    </w:p>
    <w:p w:rsidR="00CC28DB" w:rsidRPr="00CC28DB" w:rsidP="00CC28DB">
      <w:pPr>
        <w:jc w:val="both"/>
      </w:pPr>
    </w:p>
    <w:p w:rsidR="00CC28DB" w:rsidRPr="00CC28DB" w:rsidP="001E6B00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28DB">
        <w:rPr>
          <w:rFonts w:ascii="Times New Roman" w:hAnsi="Times New Roman"/>
          <w:b/>
          <w:sz w:val="24"/>
          <w:szCs w:val="24"/>
        </w:rPr>
        <w:t>K § 11</w:t>
      </w:r>
    </w:p>
    <w:p w:rsidR="00CC28DB" w:rsidRPr="00CC28DB" w:rsidP="001E6B00">
      <w:pPr>
        <w:pStyle w:val="ListParagraph"/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CC28DB">
        <w:rPr>
          <w:rFonts w:ascii="Times New Roman" w:hAnsi="Times New Roman"/>
          <w:sz w:val="24"/>
          <w:szCs w:val="24"/>
        </w:rPr>
        <w:t>V § 11 ods. 1 sa za slovo „zamestnancovi“ vkladá slovo „písomné“.</w:t>
      </w:r>
    </w:p>
    <w:p w:rsidR="00CC28DB" w:rsidRPr="00CC28DB" w:rsidP="00CC28D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28DB" w:rsidRPr="00CC28DB" w:rsidP="001E6B00">
      <w:pPr>
        <w:pStyle w:val="ListParagraph"/>
        <w:spacing w:after="0" w:line="240" w:lineRule="auto"/>
        <w:ind w:left="2136" w:firstLine="696"/>
        <w:jc w:val="both"/>
        <w:rPr>
          <w:rFonts w:ascii="Times New Roman" w:hAnsi="Times New Roman"/>
          <w:sz w:val="24"/>
          <w:szCs w:val="24"/>
        </w:rPr>
      </w:pPr>
      <w:r w:rsidRPr="00CC28DB">
        <w:rPr>
          <w:rFonts w:ascii="Times New Roman" w:hAnsi="Times New Roman"/>
          <w:sz w:val="24"/>
          <w:szCs w:val="24"/>
        </w:rPr>
        <w:t xml:space="preserve">Legislatívno-technická pripomienka spresňuje dané ustanovenie. </w:t>
      </w:r>
    </w:p>
    <w:p w:rsidR="00CC28DB" w:rsidP="00CC28DB"/>
    <w:p w:rsidR="001E6B00" w:rsidP="00CC28DB"/>
    <w:p w:rsidR="001E6B00" w:rsidRPr="001E6B00" w:rsidP="001E6B00">
      <w:pPr>
        <w:numPr>
          <w:ilvl w:val="0"/>
          <w:numId w:val="37"/>
        </w:numPr>
        <w:tabs>
          <w:tab w:val="num" w:pos="644"/>
        </w:tabs>
        <w:spacing w:line="276" w:lineRule="auto"/>
        <w:ind w:left="644" w:hanging="644"/>
        <w:jc w:val="both"/>
        <w:rPr>
          <w:rFonts w:eastAsia="Calibri"/>
          <w:b/>
        </w:rPr>
      </w:pPr>
      <w:r w:rsidRPr="001E6B00">
        <w:rPr>
          <w:rFonts w:eastAsia="Calibri"/>
          <w:b/>
        </w:rPr>
        <w:t>K § 11</w:t>
      </w:r>
    </w:p>
    <w:p w:rsidR="001E6B00" w:rsidRPr="001E6B00" w:rsidP="001E6B00">
      <w:pPr>
        <w:tabs>
          <w:tab w:val="num" w:pos="644"/>
        </w:tabs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      </w:t>
      </w:r>
      <w:r w:rsidRPr="001E6B00">
        <w:rPr>
          <w:rFonts w:eastAsia="Calibri"/>
        </w:rPr>
        <w:t>V § 11 ods. 1 sa slovo „totožnosť“ nahrádza slovami „meno, priezvisko, dátum narodenia“.</w:t>
      </w:r>
    </w:p>
    <w:p w:rsidR="001E6B00" w:rsidRPr="001E6B00" w:rsidP="001E6B00">
      <w:pPr>
        <w:autoSpaceDE w:val="0"/>
        <w:autoSpaceDN w:val="0"/>
        <w:adjustRightInd w:val="0"/>
        <w:rPr>
          <w:rFonts w:eastAsia="Calibri"/>
          <w:bCs w:val="0"/>
          <w:lang w:eastAsia="en-US"/>
        </w:rPr>
      </w:pPr>
    </w:p>
    <w:p w:rsidR="001E6B00" w:rsidRPr="001E6B00" w:rsidP="001E6B00">
      <w:pPr>
        <w:tabs>
          <w:tab w:val="left" w:pos="2835"/>
        </w:tabs>
        <w:autoSpaceDE w:val="0"/>
        <w:autoSpaceDN w:val="0"/>
        <w:adjustRightInd w:val="0"/>
        <w:ind w:left="2835"/>
        <w:jc w:val="both"/>
        <w:rPr>
          <w:rFonts w:eastAsia="Calibri"/>
          <w:bCs w:val="0"/>
        </w:rPr>
      </w:pPr>
      <w:r w:rsidRPr="001E6B00">
        <w:rPr>
          <w:rFonts w:eastAsia="Calibri"/>
          <w:bCs w:val="0"/>
        </w:rPr>
        <w:t>Navrhovaná úprava je legislatívno-jazykového charakteru a nadväzuje na odporúčanie Kancelárie Národnej rady SR a Odboru legislatívy a aproximácie práva Národnej rady SR vyjadrené vo všeobecnej časti stanoviska k návrhu zákona.</w:t>
      </w:r>
    </w:p>
    <w:p w:rsidR="001E6B00" w:rsidP="00CC28DB"/>
    <w:p w:rsidR="001E6B00" w:rsidP="00CC28DB"/>
    <w:p w:rsidR="00CC28DB" w:rsidRPr="00CC28DB" w:rsidP="001E6B00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28DB">
        <w:rPr>
          <w:rFonts w:ascii="Times New Roman" w:hAnsi="Times New Roman"/>
          <w:b/>
          <w:sz w:val="24"/>
          <w:szCs w:val="24"/>
        </w:rPr>
        <w:t>K § 14</w:t>
      </w:r>
    </w:p>
    <w:p w:rsidR="00CC28DB" w:rsidRPr="00CC28DB" w:rsidP="001E6B0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C28DB">
        <w:rPr>
          <w:rFonts w:ascii="Times New Roman" w:hAnsi="Times New Roman"/>
          <w:sz w:val="24"/>
          <w:szCs w:val="24"/>
        </w:rPr>
        <w:t>V § 14 ods. 4 sa slová „na účely iné ako uvedené v odseku 1“ nahrádzajú slovami „na iný účel ako uvedený v odseku 1“ a slová „budú sprístupnené“ sa nahrádzajú slovami „bude sprístupnená“.</w:t>
      </w:r>
    </w:p>
    <w:p w:rsidR="00CC28DB" w:rsidRPr="00CC28DB" w:rsidP="00CC28D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8DB" w:rsidRPr="00CC28DB" w:rsidP="001E6B00">
      <w:pPr>
        <w:pStyle w:val="ListParagraph"/>
        <w:spacing w:after="0" w:line="240" w:lineRule="auto"/>
        <w:ind w:left="2136" w:firstLine="696"/>
        <w:jc w:val="both"/>
        <w:rPr>
          <w:rFonts w:ascii="Times New Roman" w:hAnsi="Times New Roman"/>
          <w:sz w:val="24"/>
          <w:szCs w:val="24"/>
        </w:rPr>
      </w:pPr>
      <w:r w:rsidRPr="00CC28DB">
        <w:rPr>
          <w:rFonts w:ascii="Times New Roman" w:hAnsi="Times New Roman"/>
          <w:sz w:val="24"/>
          <w:szCs w:val="24"/>
        </w:rPr>
        <w:t>Legislatívno-technická a gramatická pripomienka.</w:t>
      </w:r>
    </w:p>
    <w:p w:rsidR="00CC28DB" w:rsidP="00CC28DB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6B00" w:rsidRPr="00CC28DB" w:rsidP="00CC28DB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28DB" w:rsidRPr="00CC28DB" w:rsidP="001E6B00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28DB">
        <w:rPr>
          <w:rFonts w:ascii="Times New Roman" w:hAnsi="Times New Roman"/>
          <w:b/>
          <w:sz w:val="24"/>
          <w:szCs w:val="24"/>
        </w:rPr>
        <w:t xml:space="preserve">K § 17 </w:t>
      </w:r>
    </w:p>
    <w:p w:rsidR="00CC28DB" w:rsidRPr="00CC28DB" w:rsidP="001E6B00">
      <w:pPr>
        <w:pStyle w:val="ListParagraph"/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CC28DB">
        <w:rPr>
          <w:rFonts w:ascii="Times New Roman" w:hAnsi="Times New Roman"/>
          <w:sz w:val="24"/>
          <w:szCs w:val="24"/>
        </w:rPr>
        <w:t>V § 17 ods. 5 sa vypúšťajú slová „účasti na“.</w:t>
      </w:r>
    </w:p>
    <w:p w:rsidR="00CC28DB" w:rsidRPr="00CC28DB" w:rsidP="00CC28D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28DB" w:rsidRPr="00CC28DB" w:rsidP="00CC28D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CC28DB">
        <w:rPr>
          <w:rFonts w:ascii="Times New Roman" w:hAnsi="Times New Roman"/>
          <w:sz w:val="24"/>
          <w:szCs w:val="24"/>
        </w:rPr>
        <w:t xml:space="preserve">                                   Pripomienka vypúšťa nadbytočné slová. </w:t>
      </w:r>
    </w:p>
    <w:p w:rsidR="00CC28DB" w:rsidRPr="00CC28DB" w:rsidP="00CC28DB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28DB" w:rsidRPr="00CC28DB" w:rsidP="00CC28DB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28DB" w:rsidRPr="00CC28DB" w:rsidP="001E6B00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28DB">
        <w:rPr>
          <w:rFonts w:ascii="Times New Roman" w:hAnsi="Times New Roman"/>
          <w:b/>
          <w:sz w:val="24"/>
          <w:szCs w:val="24"/>
        </w:rPr>
        <w:t>K Prílohe</w:t>
      </w:r>
    </w:p>
    <w:p w:rsidR="00CC28DB" w:rsidRPr="00CC28DB" w:rsidP="00CC28DB">
      <w:pPr>
        <w:pStyle w:val="BodyTextIndent"/>
        <w:numPr>
          <w:ilvl w:val="0"/>
          <w:numId w:val="36"/>
        </w:numPr>
        <w:jc w:val="both"/>
      </w:pPr>
      <w:r w:rsidRPr="00CC28DB">
        <w:t>V prvom bode prílohy sa za slová „Mimoriadne vydanie Ú. v. EÚ, kap. 09/zv. 01“ vkladá čiarka a slová „Ú. v. ES L 105, 23.4.1983“.</w:t>
      </w:r>
    </w:p>
    <w:p w:rsidR="00CC28DB" w:rsidRPr="00CC28DB" w:rsidP="00CC28DB">
      <w:pPr>
        <w:pStyle w:val="BodyTextIndent"/>
        <w:numPr>
          <w:ilvl w:val="0"/>
          <w:numId w:val="36"/>
        </w:numPr>
        <w:jc w:val="both"/>
      </w:pPr>
      <w:r w:rsidRPr="00CC28DB">
        <w:t>V druhom bode prílohy sa za slová „Mimoriadne vydanie Ú. v. EÚ, kap. 9/zv. 1“ vkladá čiarka a slová „Ú. v. EÚ L 157, 26.6.2003“.</w:t>
      </w:r>
    </w:p>
    <w:p w:rsidR="00CC28DB" w:rsidRPr="00CC28DB" w:rsidP="00CC28DB">
      <w:pPr>
        <w:pStyle w:val="BodyTextIndent"/>
        <w:numPr>
          <w:ilvl w:val="0"/>
          <w:numId w:val="36"/>
        </w:numPr>
        <w:jc w:val="both"/>
      </w:pPr>
      <w:r w:rsidRPr="00CC28DB">
        <w:t>V druhom bode prílohy sa slovo „a“ nahrádza čiarkou a na konci sa pripájajú slová „a smernice Rady 2006/98/ES z 20. novembra 2006 (Ú. v. EÚ L 363, 20.12.2006)“.</w:t>
      </w:r>
    </w:p>
    <w:p w:rsidR="00CC28DB" w:rsidRPr="00CC28DB" w:rsidP="00CC28DB">
      <w:pPr>
        <w:pStyle w:val="BodyTextIndent"/>
        <w:ind w:left="1080"/>
        <w:jc w:val="both"/>
      </w:pPr>
    </w:p>
    <w:p w:rsidR="00CC28DB" w:rsidRPr="001E6B00" w:rsidP="001E6B00">
      <w:pPr>
        <w:pStyle w:val="ListParagraph"/>
        <w:spacing w:after="0" w:line="240" w:lineRule="auto"/>
        <w:ind w:left="2832"/>
        <w:jc w:val="both"/>
        <w:rPr>
          <w:rStyle w:val="Emphasis"/>
          <w:rFonts w:ascii="Times New Roman" w:eastAsia="Calibri" w:hAnsi="Times New Roman"/>
          <w:i w:val="0"/>
          <w:iCs w:val="0"/>
          <w:sz w:val="24"/>
          <w:szCs w:val="24"/>
        </w:rPr>
      </w:pPr>
      <w:r w:rsidRPr="001E6B00">
        <w:rPr>
          <w:rStyle w:val="Emphasis"/>
          <w:rFonts w:ascii="Times New Roman" w:eastAsia="Calibri" w:hAnsi="Times New Roman"/>
          <w:i w:val="0"/>
          <w:sz w:val="24"/>
          <w:szCs w:val="24"/>
        </w:rPr>
        <w:t xml:space="preserve">Legislatívno-technická pripomienka súvisiaca so zaužívaným spôsobom uvádzania citácií právne záväzných aktov Európskej únie v poznámkach pod čiarou. </w:t>
      </w:r>
    </w:p>
    <w:p w:rsidR="000741D0" w:rsidP="008B2507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6B00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6DC122F"/>
    <w:multiLevelType w:val="hybridMultilevel"/>
    <w:tmpl w:val="017657D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FF029F"/>
    <w:multiLevelType w:val="hybridMultilevel"/>
    <w:tmpl w:val="A2366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410655"/>
    <w:multiLevelType w:val="hybridMultilevel"/>
    <w:tmpl w:val="6688E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A721D9"/>
    <w:multiLevelType w:val="hybridMultilevel"/>
    <w:tmpl w:val="EADA3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325E52"/>
    <w:multiLevelType w:val="hybridMultilevel"/>
    <w:tmpl w:val="841A5C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824076"/>
    <w:multiLevelType w:val="hybridMultilevel"/>
    <w:tmpl w:val="99EC8A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6CC6419"/>
    <w:multiLevelType w:val="hybridMultilevel"/>
    <w:tmpl w:val="636A34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4"/>
  </w:num>
  <w:num w:numId="5">
    <w:abstractNumId w:val="27"/>
  </w:num>
  <w:num w:numId="6">
    <w:abstractNumId w:val="5"/>
  </w:num>
  <w:num w:numId="7">
    <w:abstractNumId w:val="14"/>
  </w:num>
  <w:num w:numId="8">
    <w:abstractNumId w:val="30"/>
  </w:num>
  <w:num w:numId="9">
    <w:abstractNumId w:val="31"/>
  </w:num>
  <w:num w:numId="10">
    <w:abstractNumId w:val="1"/>
  </w:num>
  <w:num w:numId="11">
    <w:abstractNumId w:val="18"/>
  </w:num>
  <w:num w:numId="12">
    <w:abstractNumId w:val="7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3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1"/>
  </w:num>
  <w:num w:numId="19">
    <w:abstractNumId w:val="9"/>
  </w:num>
  <w:num w:numId="20">
    <w:abstractNumId w:val="25"/>
  </w:num>
  <w:num w:numId="21">
    <w:abstractNumId w:val="6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20"/>
  </w:num>
  <w:num w:numId="25">
    <w:abstractNumId w:val="34"/>
  </w:num>
  <w:num w:numId="26">
    <w:abstractNumId w:val="19"/>
  </w:num>
  <w:num w:numId="27">
    <w:abstractNumId w:val="16"/>
  </w:num>
  <w:num w:numId="28">
    <w:abstractNumId w:val="8"/>
  </w:num>
  <w:num w:numId="29">
    <w:abstractNumId w:val="2"/>
  </w:num>
  <w:num w:numId="30">
    <w:abstractNumId w:val="29"/>
  </w:num>
  <w:num w:numId="31">
    <w:abstractNumId w:val="24"/>
  </w:num>
  <w:num w:numId="32">
    <w:abstractNumId w:val="26"/>
  </w:num>
  <w:num w:numId="33">
    <w:abstractNumId w:val="11"/>
  </w:num>
  <w:num w:numId="34">
    <w:abstractNumId w:val="15"/>
  </w:num>
  <w:num w:numId="35">
    <w:abstractNumId w:val="13"/>
  </w:num>
  <w:num w:numId="36">
    <w:abstractNumId w:val="22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19F4"/>
    <w:rsid w:val="000B4AAD"/>
    <w:rsid w:val="000C5845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26EB"/>
    <w:rsid w:val="0016446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B00"/>
    <w:rsid w:val="001E6E4A"/>
    <w:rsid w:val="001E6F56"/>
    <w:rsid w:val="001F1FB7"/>
    <w:rsid w:val="00201108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21A20"/>
    <w:rsid w:val="00323852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47F14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17E1B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2DEE"/>
    <w:rsid w:val="006437A1"/>
    <w:rsid w:val="006443CB"/>
    <w:rsid w:val="0065582E"/>
    <w:rsid w:val="00665A38"/>
    <w:rsid w:val="0066682E"/>
    <w:rsid w:val="00670BE9"/>
    <w:rsid w:val="006732DF"/>
    <w:rsid w:val="00697397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0E28"/>
    <w:rsid w:val="007C3A2E"/>
    <w:rsid w:val="007C6EC6"/>
    <w:rsid w:val="007E168E"/>
    <w:rsid w:val="0081158D"/>
    <w:rsid w:val="00830899"/>
    <w:rsid w:val="008458BA"/>
    <w:rsid w:val="0085189B"/>
    <w:rsid w:val="0087118F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34971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046C"/>
    <w:rsid w:val="009A5069"/>
    <w:rsid w:val="009B1A9B"/>
    <w:rsid w:val="009B629D"/>
    <w:rsid w:val="009C5634"/>
    <w:rsid w:val="009D0655"/>
    <w:rsid w:val="009D25C5"/>
    <w:rsid w:val="009D3928"/>
    <w:rsid w:val="009E4434"/>
    <w:rsid w:val="009E58D6"/>
    <w:rsid w:val="009E6FD9"/>
    <w:rsid w:val="009F0117"/>
    <w:rsid w:val="009F434A"/>
    <w:rsid w:val="00A13BFD"/>
    <w:rsid w:val="00A20F25"/>
    <w:rsid w:val="00A22570"/>
    <w:rsid w:val="00A26DE4"/>
    <w:rsid w:val="00A35DBB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A24"/>
    <w:rsid w:val="00AC22E2"/>
    <w:rsid w:val="00AC65F9"/>
    <w:rsid w:val="00AC7EC3"/>
    <w:rsid w:val="00AE1F88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C28DB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95A89"/>
    <w:rsid w:val="00DB14FA"/>
    <w:rsid w:val="00DB15FF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5590"/>
    <w:rsid w:val="00E8666A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295</cp:revision>
  <cp:lastPrinted>2011-06-10T10:52:00Z</cp:lastPrinted>
  <dcterms:created xsi:type="dcterms:W3CDTF">2003-06-05T11:59:00Z</dcterms:created>
  <dcterms:modified xsi:type="dcterms:W3CDTF">2012-11-15T14:29:00Z</dcterms:modified>
</cp:coreProperties>
</file>