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5A10">
      <w:pPr>
        <w:pStyle w:val="NormalWeb"/>
        <w:bidi w:val="0"/>
        <w:spacing w:before="0" w:after="0"/>
        <w:jc w:val="center"/>
        <w:rPr>
          <w:rFonts w:ascii="Times New Roman" w:hAnsi="Times New Roman"/>
        </w:rPr>
      </w:pPr>
      <w:r>
        <w:rPr>
          <w:rFonts w:ascii="Times New Roman" w:hAnsi="Times New Roman"/>
          <w:b/>
          <w:caps/>
          <w:spacing w:val="30"/>
        </w:rPr>
        <w:t>Dôvodová správa</w:t>
      </w:r>
    </w:p>
    <w:p w:rsidR="00BE5A10">
      <w:pPr>
        <w:pStyle w:val="Heading1"/>
        <w:bidi w:val="0"/>
        <w:rPr>
          <w:rFonts w:ascii="Times New Roman" w:hAnsi="Times New Roman"/>
        </w:rPr>
      </w:pPr>
      <w:r>
        <w:rPr>
          <w:rFonts w:ascii="Times New Roman" w:hAnsi="Times New Roman"/>
          <w:b w:val="0"/>
        </w:rPr>
        <w:t> </w:t>
      </w:r>
    </w:p>
    <w:p w:rsidR="00BE5A10">
      <w:pPr>
        <w:pStyle w:val="Heading1"/>
        <w:bidi w:val="0"/>
        <w:jc w:val="left"/>
        <w:rPr>
          <w:rFonts w:ascii="Times New Roman" w:hAnsi="Times New Roman"/>
          <w:sz w:val="24"/>
        </w:rPr>
      </w:pPr>
      <w:r>
        <w:rPr>
          <w:rFonts w:ascii="Times New Roman" w:hAnsi="Times New Roman"/>
          <w:sz w:val="24"/>
        </w:rPr>
        <w:t xml:space="preserve">A. Všeobecná </w:t>
      </w:r>
      <w:r>
        <w:rPr>
          <w:rFonts w:ascii="Times New Roman" w:hAnsi="Times New Roman"/>
          <w:sz w:val="24"/>
          <w:lang w:val="sk-SK" w:eastAsia="x-none"/>
        </w:rPr>
        <w:t>časť</w:t>
      </w:r>
    </w:p>
    <w:p w:rsidR="00BE5A10">
      <w:pPr>
        <w:pStyle w:val="NormalWeb"/>
        <w:bidi w:val="0"/>
        <w:spacing w:before="0" w:after="0"/>
        <w:jc w:val="both"/>
        <w:rPr>
          <w:rFonts w:ascii="Times New Roman" w:hAnsi="Times New Roman"/>
          <w:b/>
        </w:rPr>
      </w:pPr>
    </w:p>
    <w:p w:rsidR="009A3557" w:rsidP="009A3557">
      <w:pPr>
        <w:pStyle w:val="NormalWeb"/>
        <w:bidi w:val="0"/>
        <w:spacing w:before="0" w:beforeAutospacing="0" w:after="0" w:afterAutospacing="0"/>
        <w:ind w:firstLine="708"/>
        <w:jc w:val="both"/>
        <w:rPr>
          <w:rFonts w:ascii="Times New Roman" w:hAnsi="Times New Roman"/>
        </w:rPr>
      </w:pPr>
      <w:r w:rsidRPr="00B21D22">
        <w:rPr>
          <w:rFonts w:ascii="Times New Roman" w:hAnsi="Times New Roman"/>
        </w:rPr>
        <w:t xml:space="preserve">Návrh zákona, </w:t>
      </w:r>
      <w:r w:rsidRPr="00B21D22">
        <w:rPr>
          <w:rFonts w:ascii="Times New Roman" w:hAnsi="Times New Roman"/>
          <w:bCs/>
        </w:rPr>
        <w:t xml:space="preserve">ktorým sa mení </w:t>
      </w:r>
      <w:r>
        <w:rPr>
          <w:rFonts w:ascii="Times New Roman" w:hAnsi="Times New Roman"/>
          <w:bCs/>
        </w:rPr>
        <w:t xml:space="preserve">a dopĺňa zákon č. 260/2011 Z. z.  o ukončení a spôsobe usporiadania niektorých nájomných bytov a o doplnení zákona Národnej rady Slovenskej republiky č. 18/1996 Z. z. o cenách v znení neskorších predpisov </w:t>
      </w:r>
      <w:r w:rsidRPr="00D01C92">
        <w:rPr>
          <w:rFonts w:ascii="Times New Roman" w:hAnsi="Times New Roman"/>
        </w:rPr>
        <w:t>(ďalej len „návrh zákona“) predkladá</w:t>
      </w:r>
      <w:r w:rsidRPr="00515BEF">
        <w:rPr>
          <w:rFonts w:ascii="Times New Roman" w:hAnsi="Times New Roman"/>
        </w:rPr>
        <w:t xml:space="preserve"> poslan</w:t>
      </w:r>
      <w:r>
        <w:rPr>
          <w:rFonts w:ascii="Times New Roman" w:hAnsi="Times New Roman"/>
        </w:rPr>
        <w:t xml:space="preserve">kyňa </w:t>
      </w:r>
      <w:r w:rsidRPr="00515BEF">
        <w:rPr>
          <w:rFonts w:ascii="Times New Roman" w:hAnsi="Times New Roman"/>
        </w:rPr>
        <w:t>Nár</w:t>
      </w:r>
      <w:r>
        <w:rPr>
          <w:rFonts w:ascii="Times New Roman" w:hAnsi="Times New Roman"/>
        </w:rPr>
        <w:t>odnej rady Slovenskej republiky Helena Mezenská.</w:t>
      </w:r>
    </w:p>
    <w:p w:rsidR="009A3557" w:rsidP="00F6673A">
      <w:pPr>
        <w:bidi w:val="0"/>
        <w:contextualSpacing/>
        <w:jc w:val="both"/>
        <w:rPr>
          <w:rFonts w:ascii="Times New Roman" w:hAnsi="Times New Roman"/>
          <w:b/>
        </w:rPr>
      </w:pPr>
    </w:p>
    <w:p w:rsidR="00F6673A" w:rsidRPr="00F6673A" w:rsidP="009A3557">
      <w:pPr>
        <w:bidi w:val="0"/>
        <w:ind w:firstLine="708"/>
        <w:contextualSpacing/>
        <w:jc w:val="both"/>
        <w:rPr>
          <w:rFonts w:ascii="Times New Roman" w:hAnsi="Times New Roman"/>
        </w:rPr>
      </w:pPr>
      <w:r w:rsidRPr="00F6673A">
        <w:rPr>
          <w:rFonts w:ascii="Times New Roman" w:hAnsi="Times New Roman"/>
          <w:b/>
        </w:rPr>
        <w:t>Zákon č. 260/2011 Z. z. o ukončení a spôsobe usporiadania niektorých nájomných vzťahov k bytom</w:t>
      </w:r>
      <w:r w:rsidRPr="00F6673A">
        <w:rPr>
          <w:rFonts w:ascii="Times New Roman" w:hAnsi="Times New Roman"/>
        </w:rPr>
        <w:t xml:space="preserve"> a o doplnení zákona Národnej rady Slovenskej republiky č. 18/1996 Z. z. o cená</w:t>
      </w:r>
      <w:r w:rsidR="009A3557">
        <w:rPr>
          <w:rFonts w:ascii="Times New Roman" w:hAnsi="Times New Roman"/>
        </w:rPr>
        <w:t>ch v znení neskorších predpisov (ďalej len „zákon“)</w:t>
      </w:r>
      <w:r w:rsidRPr="00F6673A">
        <w:rPr>
          <w:rFonts w:ascii="Times New Roman" w:hAnsi="Times New Roman"/>
        </w:rPr>
        <w:t xml:space="preserve"> </w:t>
      </w:r>
      <w:r w:rsidRPr="00F6673A">
        <w:rPr>
          <w:rFonts w:ascii="Times New Roman" w:hAnsi="Times New Roman"/>
          <w:b/>
        </w:rPr>
        <w:t>prijatý Radičovej vládou si kládol za cieľ spravodlivo upraviť vzťahy nájomcov a prenajímateľov (vlastníkov) bytov</w:t>
      </w:r>
      <w:r w:rsidRPr="00F6673A">
        <w:rPr>
          <w:rFonts w:ascii="Times New Roman" w:hAnsi="Times New Roman"/>
        </w:rPr>
        <w:t xml:space="preserve">, ktoré boli týmto prenajímateľom vrátené v rámci rehabilitácií alebo reštitúcií. </w:t>
      </w:r>
      <w:r w:rsidRPr="00F6673A">
        <w:rPr>
          <w:rFonts w:ascii="Times New Roman" w:hAnsi="Times New Roman"/>
          <w:b/>
        </w:rPr>
        <w:t>Spoločným menovateľom týchto opatrení je zmiernenie majetkových krívd, ktoré sa udiali ešte pred rokom 1989</w:t>
      </w:r>
      <w:r w:rsidRPr="00F6673A">
        <w:rPr>
          <w:rFonts w:ascii="Times New Roman" w:hAnsi="Times New Roman"/>
        </w:rPr>
        <w:t xml:space="preserve"> a v určitej podobe pretrvávajú stále aj v po viac ako 20 rokoch od nežnej revolúcie.</w:t>
      </w:r>
    </w:p>
    <w:p w:rsidR="00F6673A" w:rsidRPr="00F6673A" w:rsidP="00F6673A">
      <w:pPr>
        <w:bidi w:val="0"/>
        <w:contextualSpacing/>
        <w:jc w:val="both"/>
        <w:rPr>
          <w:rFonts w:ascii="Times New Roman" w:hAnsi="Times New Roman"/>
        </w:rPr>
      </w:pPr>
    </w:p>
    <w:p w:rsidR="00F6673A" w:rsidRPr="00F6673A" w:rsidP="009A3557">
      <w:pPr>
        <w:bidi w:val="0"/>
        <w:ind w:firstLine="708"/>
        <w:contextualSpacing/>
        <w:jc w:val="both"/>
        <w:rPr>
          <w:rFonts w:ascii="Times New Roman" w:hAnsi="Times New Roman"/>
        </w:rPr>
      </w:pPr>
      <w:r w:rsidRPr="00F6673A">
        <w:rPr>
          <w:rFonts w:ascii="Times New Roman" w:hAnsi="Times New Roman"/>
          <w:b/>
        </w:rPr>
        <w:t>Uvedený zákon však upravuje vzťahy medzi prenajímateľmi a nájomcami nevyvážene, a to v prospech prenajímateľov</w:t>
      </w:r>
      <w:r w:rsidRPr="00F6673A">
        <w:rPr>
          <w:rFonts w:ascii="Times New Roman" w:hAnsi="Times New Roman"/>
        </w:rPr>
        <w:t xml:space="preserve">, pričom do riešenia týchto vzťahov sú zatiahnuté tak obce, ktoré sú povinné poskytnúť nájomcom v prípade výpovede z nájmu bytové náhrady, ako aj štát, ktorý poskytuje obciam zo svojho rozpočtu dotácie, aby mohli bremeno bytových náhrad finančne utiahnuť. </w:t>
      </w:r>
      <w:r w:rsidRPr="00F6673A">
        <w:rPr>
          <w:rFonts w:ascii="Times New Roman" w:hAnsi="Times New Roman"/>
          <w:b/>
        </w:rPr>
        <w:t>Mechanizmus, ktorý tento zákon vytvoril síce na jednej strane zmierňuje, resp. odstraňuje majetkové krivdy na strane prenajímateľov, zároveň však vytvára nové majetkové krivdy na strane nájomcov</w:t>
      </w:r>
      <w:r w:rsidRPr="00F6673A">
        <w:rPr>
          <w:rFonts w:ascii="Times New Roman" w:hAnsi="Times New Roman"/>
        </w:rPr>
        <w:t>.</w:t>
      </w:r>
    </w:p>
    <w:p w:rsidR="00F6673A" w:rsidRPr="00F6673A" w:rsidP="00F6673A">
      <w:pPr>
        <w:bidi w:val="0"/>
        <w:contextualSpacing/>
        <w:jc w:val="both"/>
        <w:rPr>
          <w:rFonts w:ascii="Times New Roman" w:hAnsi="Times New Roman"/>
        </w:rPr>
      </w:pPr>
    </w:p>
    <w:p w:rsidR="00F6673A" w:rsidRPr="00B24450" w:rsidP="009A3557">
      <w:pPr>
        <w:bidi w:val="0"/>
        <w:ind w:firstLine="708"/>
        <w:contextualSpacing/>
        <w:jc w:val="both"/>
        <w:rPr>
          <w:rFonts w:ascii="Times New Roman" w:hAnsi="Times New Roman"/>
        </w:rPr>
      </w:pPr>
      <w:r w:rsidRPr="00B24450">
        <w:rPr>
          <w:rFonts w:ascii="Times New Roman" w:hAnsi="Times New Roman"/>
          <w:b/>
        </w:rPr>
        <w:t>Terajšie znenie zákona totiž vytvára právnu fikciu tzv. tolerovaného nájmu</w:t>
      </w:r>
      <w:r w:rsidRPr="00B24450">
        <w:rPr>
          <w:rFonts w:ascii="Times New Roman" w:hAnsi="Times New Roman"/>
        </w:rPr>
        <w:t xml:space="preserve">, t.j. situácie, keď prenajímateľ dal výpoveď z nájmu nájomcovi, ale ani po uplynutí 12 mesiacov, keď výpovedná lehota skončí, nájomca ešte stále nemá od obce pridelenú bytovú náhradu. </w:t>
      </w:r>
      <w:r w:rsidRPr="00B24450">
        <w:rPr>
          <w:rFonts w:ascii="Times New Roman" w:hAnsi="Times New Roman"/>
          <w:b/>
        </w:rPr>
        <w:t>Súdy však takúto právnu f</w:t>
      </w:r>
      <w:r w:rsidRPr="00B24450" w:rsidR="009A3557">
        <w:rPr>
          <w:rFonts w:ascii="Times New Roman" w:hAnsi="Times New Roman"/>
          <w:b/>
        </w:rPr>
        <w:t xml:space="preserve">ikciu neboli ochotné akceptovať, </w:t>
      </w:r>
      <w:r w:rsidRPr="00B24450">
        <w:rPr>
          <w:rFonts w:ascii="Times New Roman" w:hAnsi="Times New Roman"/>
          <w:b/>
        </w:rPr>
        <w:t>a tak bol priamo nevyhnutný zásah zákonodarcu, ktorý prišiel v podobe poslaneckého návrhu M. Kondróta priznávajúcemu ochranu takýmto nájomcom, o ktorých bytovej náhrade ešte nebolo rozhodnuté a pritom sú v stave, keď im už končí výpovedná lehota z nájmu a mohli by sa ocitnúť na ulici ako bezdomovci.</w:t>
      </w:r>
    </w:p>
    <w:p w:rsidR="00F6673A" w:rsidRPr="00B24450" w:rsidP="00F6673A">
      <w:pPr>
        <w:bidi w:val="0"/>
        <w:contextualSpacing/>
        <w:jc w:val="both"/>
        <w:rPr>
          <w:rFonts w:ascii="Times New Roman" w:hAnsi="Times New Roman"/>
        </w:rPr>
      </w:pPr>
    </w:p>
    <w:p w:rsidR="00F6673A" w:rsidRPr="00B24450" w:rsidP="009A3557">
      <w:pPr>
        <w:bidi w:val="0"/>
        <w:ind w:firstLine="708"/>
        <w:contextualSpacing/>
        <w:jc w:val="both"/>
        <w:rPr>
          <w:rFonts w:ascii="Times New Roman" w:hAnsi="Times New Roman"/>
          <w:b/>
        </w:rPr>
      </w:pPr>
      <w:r w:rsidRPr="00B24450">
        <w:rPr>
          <w:rFonts w:ascii="Times New Roman" w:hAnsi="Times New Roman"/>
          <w:b/>
        </w:rPr>
        <w:t>Keďže platný zákon zvyšuje regulované nájomné v priebehu najbližších 5 rokov o viac ako 100 % oproti súčasnosti a v prípade tzv. tolerovaného nájmu obec nie je nútená sa s bytovými náhradami p</w:t>
      </w:r>
      <w:r w:rsidRPr="00B24450" w:rsidR="009A3557">
        <w:rPr>
          <w:rFonts w:ascii="Times New Roman" w:hAnsi="Times New Roman"/>
          <w:b/>
        </w:rPr>
        <w:t xml:space="preserve">onáhľať – keďže prenajímateľov </w:t>
      </w:r>
      <w:r w:rsidRPr="00B24450">
        <w:rPr>
          <w:rFonts w:ascii="Times New Roman" w:hAnsi="Times New Roman"/>
          <w:b/>
        </w:rPr>
        <w:t>dopláca len rozdiel medzi trhovým nájomným a regulovaným nájomným</w:t>
      </w:r>
      <w:r w:rsidRPr="00B24450">
        <w:rPr>
          <w:rFonts w:ascii="Times New Roman" w:hAnsi="Times New Roman"/>
        </w:rPr>
        <w:t xml:space="preserve"> až do času, kým poskytne nájomcovi bytovú </w:t>
      </w:r>
      <w:r w:rsidRPr="00942BEF">
        <w:rPr>
          <w:rFonts w:ascii="Times New Roman" w:hAnsi="Times New Roman"/>
        </w:rPr>
        <w:t xml:space="preserve">náhradu, </w:t>
      </w:r>
      <w:r w:rsidRPr="00942BEF" w:rsidR="00B24450">
        <w:rPr>
          <w:rFonts w:ascii="Times New Roman" w:hAnsi="Times New Roman"/>
          <w:b/>
        </w:rPr>
        <w:t>horúci zemiak</w:t>
      </w:r>
      <w:r w:rsidRPr="00942BEF">
        <w:rPr>
          <w:rFonts w:ascii="Times New Roman" w:hAnsi="Times New Roman"/>
          <w:b/>
        </w:rPr>
        <w:t xml:space="preserve"> drží</w:t>
      </w:r>
      <w:r w:rsidRPr="00B24450">
        <w:rPr>
          <w:rFonts w:ascii="Times New Roman" w:hAnsi="Times New Roman"/>
          <w:b/>
        </w:rPr>
        <w:t xml:space="preserve"> v rukách bežný občan – obyčajný človek – nájomca</w:t>
      </w:r>
      <w:r w:rsidRPr="00B24450">
        <w:rPr>
          <w:rFonts w:ascii="Times New Roman" w:hAnsi="Times New Roman"/>
        </w:rPr>
        <w:t xml:space="preserve">, ktorého životné náklady sa zvyšovaním regulovaného nájomného budú len zvyšovať a bytová náhrada je v nedohľadne, a to aj s prihliadnutím na priemernú dĺžku stavebného konania (výstavba nájomných bytov obcami). </w:t>
      </w:r>
    </w:p>
    <w:p w:rsidR="00F6673A" w:rsidRPr="00B24450" w:rsidP="00F6673A">
      <w:pPr>
        <w:bidi w:val="0"/>
        <w:contextualSpacing/>
        <w:jc w:val="both"/>
        <w:rPr>
          <w:rFonts w:ascii="Times New Roman" w:hAnsi="Times New Roman"/>
        </w:rPr>
      </w:pPr>
    </w:p>
    <w:p w:rsidR="00F6673A" w:rsidRPr="00B24450" w:rsidP="009A3557">
      <w:pPr>
        <w:bidi w:val="0"/>
        <w:ind w:firstLine="708"/>
        <w:contextualSpacing/>
        <w:jc w:val="both"/>
        <w:rPr>
          <w:rFonts w:ascii="Times New Roman" w:hAnsi="Times New Roman"/>
        </w:rPr>
      </w:pPr>
      <w:r w:rsidRPr="00B24450">
        <w:rPr>
          <w:rFonts w:ascii="Times New Roman" w:hAnsi="Times New Roman"/>
          <w:b/>
        </w:rPr>
        <w:t>Tento návrh</w:t>
      </w:r>
      <w:r w:rsidRPr="00B24450">
        <w:rPr>
          <w:rFonts w:ascii="Times New Roman" w:hAnsi="Times New Roman"/>
        </w:rPr>
        <w:t xml:space="preserve"> zákona nadväzuje na </w:t>
      </w:r>
      <w:r w:rsidRPr="00B24450" w:rsidR="009A3557">
        <w:rPr>
          <w:rFonts w:ascii="Times New Roman" w:hAnsi="Times New Roman"/>
        </w:rPr>
        <w:t xml:space="preserve">už </w:t>
      </w:r>
      <w:r w:rsidRPr="00B24450">
        <w:rPr>
          <w:rFonts w:ascii="Times New Roman" w:hAnsi="Times New Roman"/>
        </w:rPr>
        <w:t>schválený poslanecký návrh</w:t>
      </w:r>
      <w:r w:rsidRPr="00B24450" w:rsidR="009A3557">
        <w:rPr>
          <w:rFonts w:ascii="Times New Roman" w:hAnsi="Times New Roman"/>
        </w:rPr>
        <w:t xml:space="preserve"> zákona</w:t>
      </w:r>
      <w:r w:rsidRPr="00B24450">
        <w:rPr>
          <w:rFonts w:ascii="Times New Roman" w:hAnsi="Times New Roman"/>
        </w:rPr>
        <w:t xml:space="preserve">, ale nie je len „hasením požiaru“. </w:t>
      </w:r>
      <w:r w:rsidRPr="00B24450">
        <w:rPr>
          <w:rFonts w:ascii="Times New Roman" w:hAnsi="Times New Roman"/>
          <w:b/>
        </w:rPr>
        <w:t>Prináša skutočné riešenie vzájomných vzťahov prenajímateľ – nájomca – obec – štát, a to tak, aby tieto vzťahy boli vyvážené a v prospech všetkých zainteresovaných skupín.</w:t>
      </w:r>
      <w:r w:rsidRPr="00B24450">
        <w:rPr>
          <w:rFonts w:ascii="Times New Roman" w:hAnsi="Times New Roman"/>
        </w:rPr>
        <w:t xml:space="preserve"> </w:t>
      </w:r>
      <w:r w:rsidRPr="00B24450">
        <w:rPr>
          <w:rFonts w:ascii="Times New Roman" w:hAnsi="Times New Roman"/>
          <w:b/>
        </w:rPr>
        <w:t>Kľúčovými prínosmi sú zavedenie finančnej náhrady</w:t>
      </w:r>
      <w:r w:rsidRPr="00B24450">
        <w:rPr>
          <w:rFonts w:ascii="Times New Roman" w:hAnsi="Times New Roman"/>
        </w:rPr>
        <w:t xml:space="preserve"> (tak, ako si to želá viac ako 80% dotknutých nájomcov),</w:t>
      </w:r>
      <w:r w:rsidRPr="00B24450">
        <w:rPr>
          <w:rFonts w:ascii="Times New Roman" w:hAnsi="Times New Roman"/>
          <w:b/>
        </w:rPr>
        <w:t xml:space="preserve"> princíp dobrovoľnosti a slobodného výberu nájomcu medzi bytovou náhradou a finančnou náhradou, spravodlivý mechanizmus prispievania na nájomné zo strany obce prenajímateľovi a možnosť obce získať dotáciu od štátu na poskytovanie finančných náhrad.</w:t>
      </w:r>
    </w:p>
    <w:p w:rsidR="00BE5A10" w:rsidRPr="00B24450">
      <w:pPr>
        <w:pStyle w:val="NormalWeb"/>
        <w:bidi w:val="0"/>
        <w:spacing w:before="0" w:after="0"/>
        <w:ind w:firstLine="708"/>
        <w:jc w:val="both"/>
        <w:rPr>
          <w:rFonts w:ascii="Times New Roman" w:hAnsi="Times New Roman"/>
        </w:rPr>
      </w:pPr>
    </w:p>
    <w:p w:rsidR="00BE5A10" w:rsidRPr="00B24450">
      <w:pPr>
        <w:pStyle w:val="NormalWeb"/>
        <w:bidi w:val="0"/>
        <w:spacing w:before="0" w:after="0"/>
        <w:ind w:firstLine="708"/>
        <w:jc w:val="both"/>
        <w:rPr>
          <w:rFonts w:ascii="Times New Roman" w:hAnsi="Times New Roman"/>
        </w:rPr>
      </w:pPr>
      <w:r w:rsidRPr="00B24450">
        <w:rPr>
          <w:rFonts w:ascii="Times New Roman" w:hAnsi="Times New Roman"/>
        </w:rPr>
        <w:t>Predkladaný návrh</w:t>
      </w:r>
      <w:r w:rsidRPr="00B24450" w:rsidR="009A3557">
        <w:rPr>
          <w:rFonts w:ascii="Times New Roman" w:hAnsi="Times New Roman"/>
        </w:rPr>
        <w:t xml:space="preserve"> zákona</w:t>
      </w:r>
      <w:r w:rsidRPr="00B24450">
        <w:rPr>
          <w:rFonts w:ascii="Times New Roman" w:hAnsi="Times New Roman"/>
        </w:rPr>
        <w:t xml:space="preserve"> </w:t>
      </w:r>
      <w:r w:rsidRPr="00B24450" w:rsidR="00F6673A">
        <w:rPr>
          <w:rFonts w:ascii="Times New Roman" w:hAnsi="Times New Roman"/>
        </w:rPr>
        <w:t>má</w:t>
      </w:r>
      <w:r w:rsidRPr="00B24450">
        <w:rPr>
          <w:rFonts w:ascii="Times New Roman" w:hAnsi="Times New Roman"/>
        </w:rPr>
        <w:t xml:space="preserve"> </w:t>
      </w:r>
      <w:r w:rsidRPr="00B24450" w:rsidR="00F6673A">
        <w:rPr>
          <w:rFonts w:ascii="Times New Roman" w:hAnsi="Times New Roman"/>
        </w:rPr>
        <w:t>pozitívny</w:t>
      </w:r>
      <w:r w:rsidRPr="00B24450">
        <w:rPr>
          <w:rFonts w:ascii="Times New Roman" w:hAnsi="Times New Roman"/>
        </w:rPr>
        <w:t xml:space="preserve"> vplyv na štátny rozpočet, resp. rozpočet verejnej správy,</w:t>
      </w:r>
      <w:r w:rsidRPr="00B24450" w:rsidR="00F6673A">
        <w:rPr>
          <w:rFonts w:ascii="Times New Roman" w:hAnsi="Times New Roman"/>
        </w:rPr>
        <w:t xml:space="preserve"> keďže riešenie formou finančnej náhrady vyčíslené na 66</w:t>
      </w:r>
      <w:r w:rsidRPr="00B24450" w:rsidR="002A4060">
        <w:rPr>
          <w:rFonts w:ascii="Times New Roman" w:hAnsi="Times New Roman"/>
        </w:rPr>
        <w:t>.</w:t>
      </w:r>
      <w:r w:rsidRPr="00B24450" w:rsidR="00F6673A">
        <w:rPr>
          <w:rFonts w:ascii="Times New Roman" w:hAnsi="Times New Roman"/>
        </w:rPr>
        <w:t>062</w:t>
      </w:r>
      <w:r w:rsidRPr="00B24450" w:rsidR="002A4060">
        <w:rPr>
          <w:rFonts w:ascii="Times New Roman" w:hAnsi="Times New Roman"/>
        </w:rPr>
        <w:t>.</w:t>
      </w:r>
      <w:r w:rsidRPr="00B24450" w:rsidR="00F6673A">
        <w:rPr>
          <w:rFonts w:ascii="Times New Roman" w:hAnsi="Times New Roman"/>
        </w:rPr>
        <w:t xml:space="preserve">973,5 eur je </w:t>
      </w:r>
      <w:r w:rsidRPr="00B24450" w:rsidR="009A3557">
        <w:rPr>
          <w:rFonts w:ascii="Times New Roman" w:hAnsi="Times New Roman"/>
        </w:rPr>
        <w:t>približne</w:t>
      </w:r>
      <w:r w:rsidRPr="00B24450" w:rsidR="00F6673A">
        <w:rPr>
          <w:rFonts w:ascii="Times New Roman" w:hAnsi="Times New Roman"/>
        </w:rPr>
        <w:t xml:space="preserve"> o</w:t>
      </w:r>
      <w:r w:rsidRPr="00B24450" w:rsidR="009A3557">
        <w:rPr>
          <w:rFonts w:ascii="Times New Roman" w:hAnsi="Times New Roman"/>
        </w:rPr>
        <w:t> </w:t>
      </w:r>
      <w:r w:rsidRPr="00B24450" w:rsidR="00F6673A">
        <w:rPr>
          <w:rFonts w:ascii="Times New Roman" w:hAnsi="Times New Roman"/>
        </w:rPr>
        <w:t>10</w:t>
      </w:r>
      <w:r w:rsidRPr="00B24450" w:rsidR="009A3557">
        <w:rPr>
          <w:rFonts w:ascii="Times New Roman" w:hAnsi="Times New Roman"/>
        </w:rPr>
        <w:t xml:space="preserve"> </w:t>
      </w:r>
      <w:r w:rsidRPr="00B24450" w:rsidR="00F6673A">
        <w:rPr>
          <w:rFonts w:ascii="Times New Roman" w:hAnsi="Times New Roman"/>
        </w:rPr>
        <w:t xml:space="preserve">% lacnejšie ako riešenie formou výstavby náhradných bytov, ktorých </w:t>
      </w:r>
      <w:r w:rsidRPr="00B24450" w:rsidR="009A3557">
        <w:rPr>
          <w:rFonts w:ascii="Times New Roman" w:hAnsi="Times New Roman"/>
        </w:rPr>
        <w:t xml:space="preserve">predpokladané náklady </w:t>
      </w:r>
      <w:r w:rsidRPr="00B24450" w:rsidR="00F6673A">
        <w:rPr>
          <w:rFonts w:ascii="Times New Roman" w:hAnsi="Times New Roman"/>
        </w:rPr>
        <w:t>prevyšuj</w:t>
      </w:r>
      <w:r w:rsidRPr="00B24450" w:rsidR="009A3557">
        <w:rPr>
          <w:rFonts w:ascii="Times New Roman" w:hAnsi="Times New Roman"/>
        </w:rPr>
        <w:t>ú</w:t>
      </w:r>
      <w:r w:rsidRPr="00B24450" w:rsidR="00F6673A">
        <w:rPr>
          <w:rFonts w:ascii="Times New Roman" w:hAnsi="Times New Roman"/>
        </w:rPr>
        <w:t xml:space="preserve"> 70 miliónov eur. Návrh zákona</w:t>
      </w:r>
      <w:r w:rsidRPr="00B24450">
        <w:rPr>
          <w:rFonts w:ascii="Times New Roman" w:hAnsi="Times New Roman"/>
        </w:rPr>
        <w:t xml:space="preserve"> nemá vplyv na životné prostredie a ani na informatizáciu spoločnosti. </w:t>
      </w:r>
    </w:p>
    <w:p w:rsidR="00BE5A10" w:rsidRPr="00B24450">
      <w:pPr>
        <w:pStyle w:val="NormalWeb"/>
        <w:bidi w:val="0"/>
        <w:spacing w:before="0" w:after="0"/>
        <w:ind w:firstLine="708"/>
        <w:jc w:val="both"/>
        <w:rPr>
          <w:rFonts w:ascii="Times New Roman" w:hAnsi="Times New Roman"/>
        </w:rPr>
      </w:pPr>
    </w:p>
    <w:p w:rsidR="00BE5A10">
      <w:pPr>
        <w:pStyle w:val="NormalWeb"/>
        <w:bidi w:val="0"/>
        <w:spacing w:before="0" w:after="0"/>
        <w:ind w:firstLine="708"/>
        <w:jc w:val="both"/>
        <w:rPr>
          <w:rFonts w:ascii="Times New Roman" w:hAnsi="Times New Roman"/>
        </w:rPr>
      </w:pPr>
      <w:r w:rsidRPr="00B24450">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E5A10">
      <w:pPr>
        <w:pStyle w:val="NormalWeb"/>
        <w:bidi w:val="0"/>
        <w:spacing w:before="0" w:after="0"/>
        <w:ind w:firstLine="708"/>
        <w:jc w:val="both"/>
        <w:rPr>
          <w:rFonts w:ascii="Times New Roman" w:hAnsi="Times New Roman"/>
        </w:rPr>
      </w:pPr>
    </w:p>
    <w:p w:rsidR="00BE5A10">
      <w:pPr>
        <w:pStyle w:val="NormalWeb"/>
        <w:bidi w:val="0"/>
        <w:spacing w:before="0" w:after="0"/>
        <w:ind w:firstLine="708"/>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center"/>
        <w:rPr>
          <w:rFonts w:ascii="Times New Roman" w:hAnsi="Times New Roman"/>
          <w:b/>
          <w:caps/>
          <w:spacing w:val="30"/>
        </w:rPr>
      </w:pPr>
    </w:p>
    <w:p w:rsidR="00BE5A10">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F6673A">
      <w:pPr>
        <w:pStyle w:val="NormalWeb"/>
        <w:bidi w:val="0"/>
        <w:spacing w:before="0" w:after="0"/>
        <w:jc w:val="center"/>
        <w:rPr>
          <w:rFonts w:ascii="Times New Roman" w:hAnsi="Times New Roman"/>
          <w:b/>
          <w:caps/>
          <w:spacing w:val="30"/>
        </w:rPr>
      </w:pPr>
    </w:p>
    <w:p w:rsidR="009A3557">
      <w:pPr>
        <w:pStyle w:val="NormalWeb"/>
        <w:bidi w:val="0"/>
        <w:spacing w:before="0" w:after="0"/>
        <w:jc w:val="center"/>
        <w:rPr>
          <w:rFonts w:ascii="Times New Roman" w:hAnsi="Times New Roman"/>
          <w:b/>
          <w:caps/>
          <w:spacing w:val="30"/>
        </w:rPr>
      </w:pPr>
    </w:p>
    <w:p w:rsidR="00BE5A10">
      <w:pPr>
        <w:pStyle w:val="NormalWeb"/>
        <w:bidi w:val="0"/>
        <w:spacing w:before="0" w:after="0"/>
        <w:jc w:val="center"/>
        <w:rPr>
          <w:rFonts w:ascii="Times New Roman" w:hAnsi="Times New Roman"/>
        </w:rPr>
      </w:pPr>
      <w:r>
        <w:rPr>
          <w:rFonts w:ascii="Times New Roman" w:hAnsi="Times New Roman"/>
          <w:b/>
          <w:caps/>
          <w:spacing w:val="30"/>
        </w:rPr>
        <w:t>DOLOŽKA ZLUČITEĽNOSTI</w:t>
      </w:r>
    </w:p>
    <w:p w:rsidR="00BE5A10">
      <w:pPr>
        <w:pStyle w:val="NormalWeb"/>
        <w:bidi w:val="0"/>
        <w:spacing w:before="0" w:after="0"/>
        <w:jc w:val="center"/>
        <w:rPr>
          <w:rFonts w:ascii="Times New Roman" w:hAnsi="Times New Roman"/>
        </w:rPr>
      </w:pPr>
      <w:r>
        <w:rPr>
          <w:rFonts w:ascii="Times New Roman" w:hAnsi="Times New Roman"/>
          <w:b/>
        </w:rPr>
        <w:t>návrhu zákona</w:t>
      </w:r>
      <w:r>
        <w:rPr>
          <w:rFonts w:ascii="Times New Roman" w:hAnsi="Times New Roman"/>
        </w:rPr>
        <w:t xml:space="preserve"> </w:t>
      </w:r>
      <w:r>
        <w:rPr>
          <w:rFonts w:ascii="Times New Roman" w:hAnsi="Times New Roman"/>
          <w:b/>
        </w:rPr>
        <w:t>s právom Európskej únie</w:t>
      </w:r>
    </w:p>
    <w:p w:rsidR="00BE5A10">
      <w:pPr>
        <w:pStyle w:val="NormalWeb"/>
        <w:bidi w:val="0"/>
        <w:spacing w:before="0" w:after="0"/>
        <w:jc w:val="both"/>
        <w:rPr>
          <w:rFonts w:ascii="Times New Roman" w:hAnsi="Times New Roman"/>
        </w:rPr>
      </w:pPr>
      <w:r>
        <w:rPr>
          <w:rFonts w:ascii="Times New Roman" w:hAnsi="Times New Roman"/>
        </w:rPr>
        <w:t> </w:t>
      </w:r>
    </w:p>
    <w:p w:rsidR="00BE5A10">
      <w:pPr>
        <w:pStyle w:val="NormalWeb"/>
        <w:bidi w:val="0"/>
        <w:spacing w:before="0" w:after="0"/>
        <w:jc w:val="both"/>
        <w:rPr>
          <w:rFonts w:ascii="Times New Roman" w:hAnsi="Times New Roman"/>
        </w:rPr>
      </w:pPr>
      <w:r>
        <w:rPr>
          <w:rFonts w:ascii="Times New Roman" w:hAnsi="Times New Roman"/>
        </w:rPr>
        <w:t> </w:t>
      </w:r>
    </w:p>
    <w:p w:rsidR="00BE5A10">
      <w:pPr>
        <w:pStyle w:val="NormalWeb"/>
        <w:bidi w:val="0"/>
        <w:spacing w:before="0" w:after="0"/>
        <w:jc w:val="both"/>
        <w:rPr>
          <w:rFonts w:ascii="Times New Roman" w:hAnsi="Times New Roman"/>
          <w:color w:val="FF0000"/>
        </w:rPr>
      </w:pPr>
      <w:r>
        <w:rPr>
          <w:rFonts w:ascii="Times New Roman" w:hAnsi="Times New Roman"/>
          <w:b/>
        </w:rPr>
        <w:t>1. Navrhovateľ zákona:</w:t>
      </w:r>
      <w:r>
        <w:rPr>
          <w:rFonts w:ascii="Times New Roman" w:hAnsi="Times New Roman"/>
        </w:rPr>
        <w:t xml:space="preserve"> p</w:t>
      </w:r>
      <w:r w:rsidR="009A3557">
        <w:rPr>
          <w:rFonts w:ascii="Times New Roman" w:hAnsi="Times New Roman"/>
        </w:rPr>
        <w:t>oslankyňa</w:t>
      </w:r>
      <w:r>
        <w:rPr>
          <w:rFonts w:ascii="Times New Roman" w:hAnsi="Times New Roman"/>
        </w:rPr>
        <w:t xml:space="preserve"> Národnej rady Slovenskej republiky </w:t>
      </w:r>
      <w:r w:rsidR="00F6673A">
        <w:rPr>
          <w:rFonts w:ascii="Times New Roman" w:hAnsi="Times New Roman"/>
        </w:rPr>
        <w:t>Helena Mezenská</w:t>
      </w:r>
    </w:p>
    <w:p w:rsidR="00BE5A10">
      <w:pPr>
        <w:pStyle w:val="NormalWeb"/>
        <w:bidi w:val="0"/>
        <w:spacing w:before="0" w:after="0"/>
        <w:jc w:val="both"/>
        <w:rPr>
          <w:rFonts w:ascii="Times New Roman" w:hAnsi="Times New Roman"/>
        </w:rPr>
      </w:pPr>
      <w:r>
        <w:rPr>
          <w:rFonts w:ascii="Times New Roman" w:hAnsi="Times New Roman"/>
        </w:rPr>
        <w:t> </w:t>
      </w:r>
    </w:p>
    <w:p w:rsidR="00BE5A10">
      <w:pPr>
        <w:pStyle w:val="NormalWeb"/>
        <w:bidi w:val="0"/>
        <w:spacing w:before="0" w:after="0"/>
        <w:jc w:val="both"/>
        <w:rPr>
          <w:rFonts w:ascii="Times New Roman" w:hAnsi="Times New Roman"/>
        </w:rPr>
      </w:pPr>
      <w:r>
        <w:rPr>
          <w:rFonts w:ascii="Times New Roman" w:hAnsi="Times New Roman"/>
          <w:b/>
        </w:rPr>
        <w:t>2. Názov návrhu zákona:</w:t>
      </w:r>
      <w:r w:rsidR="009A3557">
        <w:rPr>
          <w:rFonts w:ascii="Times New Roman" w:hAnsi="Times New Roman"/>
        </w:rPr>
        <w:t xml:space="preserve"> n</w:t>
      </w:r>
      <w:r>
        <w:rPr>
          <w:rFonts w:ascii="Times New Roman" w:hAnsi="Times New Roman"/>
        </w:rPr>
        <w:t xml:space="preserve">ávrh zákona, </w:t>
      </w:r>
      <w:r w:rsidRPr="00876288" w:rsidR="00A119E0">
        <w:rPr>
          <w:rFonts w:ascii="Times New Roman" w:hAnsi="Times New Roman"/>
          <w:noProof/>
        </w:rPr>
        <w:t>ktorým sa mení a dopĺňa zákon č. 260/2011 Z. z. o ukončení a spôsobe usporiadania niektorých nájomných vzťahov k bytom a o doplnení zákona Národnej rady Slovenskej republiky č. 18/1996 Z. z. o cenách v znení neskorších predpisov</w:t>
      </w: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b/>
        </w:rPr>
      </w:pPr>
      <w:r>
        <w:rPr>
          <w:rFonts w:ascii="Times New Roman" w:hAnsi="Times New Roman"/>
          <w:b/>
        </w:rPr>
        <w:t>3. Predmet návrhu zákona:</w:t>
      </w:r>
    </w:p>
    <w:p w:rsidR="00BE5A10">
      <w:pPr>
        <w:pStyle w:val="NormalWeb"/>
        <w:bidi w:val="0"/>
        <w:spacing w:before="0" w:after="0"/>
        <w:jc w:val="both"/>
        <w:rPr>
          <w:rFonts w:ascii="Times New Roman" w:hAnsi="Times New Roman"/>
          <w:b/>
        </w:rPr>
      </w:pPr>
    </w:p>
    <w:p w:rsidR="00BE5A10">
      <w:pPr>
        <w:pStyle w:val="NormalWeb"/>
        <w:numPr>
          <w:numId w:val="12"/>
        </w:numPr>
        <w:bidi w:val="0"/>
        <w:spacing w:before="0" w:after="0"/>
        <w:jc w:val="both"/>
        <w:rPr>
          <w:rFonts w:ascii="Times New Roman" w:hAnsi="Times New Roman"/>
        </w:rPr>
      </w:pPr>
      <w:r>
        <w:rPr>
          <w:rFonts w:ascii="Times New Roman" w:hAnsi="Times New Roman"/>
        </w:rPr>
        <w:t>nie je upravený v primárnom práve Európskej únie,</w:t>
      </w:r>
    </w:p>
    <w:p w:rsidR="00BE5A10">
      <w:pPr>
        <w:pStyle w:val="NormalWeb"/>
        <w:numPr>
          <w:numId w:val="12"/>
        </w:numPr>
        <w:bidi w:val="0"/>
        <w:spacing w:before="0" w:after="0"/>
        <w:jc w:val="both"/>
        <w:rPr>
          <w:rFonts w:ascii="Times New Roman" w:hAnsi="Times New Roman"/>
        </w:rPr>
      </w:pPr>
      <w:r w:rsidR="004E4380">
        <w:rPr>
          <w:rFonts w:ascii="Times New Roman" w:hAnsi="Times New Roman"/>
        </w:rPr>
        <w:t>nie je</w:t>
      </w:r>
      <w:r>
        <w:rPr>
          <w:rFonts w:ascii="Times New Roman" w:hAnsi="Times New Roman"/>
        </w:rPr>
        <w:t xml:space="preserve"> upravená v  sekundárnom práve Európskej únie</w:t>
      </w:r>
      <w:r>
        <w:rPr>
          <w:rFonts w:ascii="Times New Roman" w:hAnsi="Times New Roman"/>
          <w:lang w:eastAsia="cs-CZ"/>
        </w:rPr>
        <w:t>,</w:t>
      </w:r>
    </w:p>
    <w:p w:rsidR="00BE5A10">
      <w:pPr>
        <w:pStyle w:val="NormalWeb"/>
        <w:numPr>
          <w:numId w:val="12"/>
        </w:numPr>
        <w:bidi w:val="0"/>
        <w:spacing w:before="0" w:after="0"/>
        <w:jc w:val="both"/>
        <w:rPr>
          <w:rFonts w:ascii="Times New Roman" w:hAnsi="Times New Roman"/>
        </w:rPr>
      </w:pPr>
      <w:r>
        <w:rPr>
          <w:rFonts w:ascii="Times New Roman" w:hAnsi="Times New Roman"/>
        </w:rPr>
        <w:t>nie je upravený v judikatúre Súdneho dvora Európskej únie. </w:t>
      </w:r>
    </w:p>
    <w:p w:rsidR="00BE5A10">
      <w:pPr>
        <w:pStyle w:val="NormalWeb"/>
        <w:bidi w:val="0"/>
        <w:spacing w:before="0" w:after="0"/>
        <w:jc w:val="both"/>
        <w:rPr>
          <w:rFonts w:ascii="Times New Roman" w:hAnsi="Times New Roman"/>
          <w:b/>
        </w:rPr>
      </w:pPr>
    </w:p>
    <w:p w:rsidR="00BE5A10">
      <w:pPr>
        <w:pStyle w:val="NormalWeb"/>
        <w:bidi w:val="0"/>
        <w:spacing w:before="0" w:after="0"/>
        <w:jc w:val="both"/>
        <w:rPr>
          <w:rFonts w:ascii="Times New Roman" w:hAnsi="Times New Roman"/>
        </w:rPr>
      </w:pPr>
      <w:r>
        <w:rPr>
          <w:rFonts w:ascii="Times New Roman" w:hAnsi="Times New Roman"/>
          <w:b/>
        </w:rPr>
        <w:t>Vzhľadom na to, že predmet návrhu zákona nie je upravený v práve Európskej únie, je bezpredmetné vyjadrovať sa k bodom 4. a 5.</w:t>
      </w: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F6673A">
      <w:pPr>
        <w:pStyle w:val="NormalWeb"/>
        <w:bidi w:val="0"/>
        <w:spacing w:before="0" w:after="0"/>
        <w:jc w:val="both"/>
        <w:rPr>
          <w:rFonts w:ascii="Times New Roman" w:hAnsi="Times New Roman"/>
        </w:rPr>
      </w:pPr>
    </w:p>
    <w:p w:rsidR="00F6673A">
      <w:pPr>
        <w:pStyle w:val="NormalWeb"/>
        <w:bidi w:val="0"/>
        <w:spacing w:before="0" w:after="0"/>
        <w:jc w:val="both"/>
        <w:rPr>
          <w:rFonts w:ascii="Times New Roman" w:hAnsi="Times New Roman"/>
        </w:rPr>
      </w:pPr>
    </w:p>
    <w:p w:rsidR="00F6673A">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both"/>
        <w:rPr>
          <w:rFonts w:ascii="Times New Roman" w:hAnsi="Times New Roman"/>
        </w:rPr>
      </w:pPr>
    </w:p>
    <w:p w:rsidR="00BE5A10">
      <w:pPr>
        <w:pStyle w:val="NormalWeb"/>
        <w:bidi w:val="0"/>
        <w:spacing w:before="0" w:after="0"/>
        <w:jc w:val="center"/>
        <w:rPr>
          <w:rFonts w:ascii="Times New Roman" w:hAnsi="Times New Roman"/>
        </w:rPr>
      </w:pPr>
      <w:r>
        <w:rPr>
          <w:rFonts w:ascii="Times New Roman" w:hAnsi="Times New Roman"/>
          <w:b/>
          <w:caps/>
          <w:color w:val="000000"/>
          <w:spacing w:val="30"/>
        </w:rPr>
        <w:t>Doložka</w:t>
      </w:r>
    </w:p>
    <w:p w:rsidR="00BE5A10">
      <w:pPr>
        <w:pStyle w:val="NormalWeb"/>
        <w:bidi w:val="0"/>
        <w:spacing w:before="0" w:after="0"/>
        <w:jc w:val="center"/>
        <w:rPr>
          <w:rFonts w:ascii="Times New Roman" w:hAnsi="Times New Roman"/>
        </w:rPr>
      </w:pPr>
      <w:r>
        <w:rPr>
          <w:rFonts w:ascii="Times New Roman" w:hAnsi="Times New Roman"/>
          <w:b/>
          <w:color w:val="000000"/>
        </w:rPr>
        <w:t>vybraných vplyvov</w:t>
      </w:r>
    </w:p>
    <w:p w:rsidR="00BE5A10">
      <w:pPr>
        <w:pStyle w:val="NormalWeb"/>
        <w:bidi w:val="0"/>
        <w:spacing w:before="0" w:after="0"/>
        <w:rPr>
          <w:rFonts w:ascii="Times New Roman" w:hAnsi="Times New Roman"/>
        </w:rPr>
      </w:pPr>
      <w:r>
        <w:rPr>
          <w:rFonts w:ascii="Times New Roman" w:hAnsi="Times New Roman"/>
          <w:color w:val="000000"/>
        </w:rPr>
        <w:t> </w:t>
      </w:r>
    </w:p>
    <w:p w:rsidR="00BE5A10">
      <w:pPr>
        <w:pStyle w:val="NormalWeb"/>
        <w:bidi w:val="0"/>
        <w:spacing w:before="0" w:after="0"/>
        <w:jc w:val="both"/>
        <w:rPr>
          <w:rFonts w:ascii="Times New Roman" w:hAnsi="Times New Roman"/>
        </w:rPr>
      </w:pPr>
      <w:r>
        <w:rPr>
          <w:rFonts w:ascii="Times New Roman" w:hAnsi="Times New Roman"/>
          <w:b/>
          <w:color w:val="000000"/>
        </w:rPr>
        <w:t xml:space="preserve">A.1. Názov materiálu: </w:t>
      </w:r>
      <w:r>
        <w:rPr>
          <w:rFonts w:ascii="Times New Roman" w:hAnsi="Times New Roman"/>
        </w:rPr>
        <w:t>n</w:t>
      </w:r>
      <w:r>
        <w:rPr>
          <w:rFonts w:ascii="Times New Roman" w:hAnsi="Times New Roman"/>
          <w:color w:val="000000"/>
        </w:rPr>
        <w:t xml:space="preserve">ávrh </w:t>
      </w:r>
      <w:r>
        <w:rPr>
          <w:rFonts w:ascii="Times New Roman" w:hAnsi="Times New Roman"/>
        </w:rPr>
        <w:t xml:space="preserve">zákona, </w:t>
      </w:r>
      <w:r w:rsidRPr="00876288" w:rsidR="00A119E0">
        <w:rPr>
          <w:rFonts w:ascii="Times New Roman" w:hAnsi="Times New Roman"/>
          <w:noProof/>
        </w:rPr>
        <w:t>ktorým sa mení a dopĺňa zákon č. 260/2011 Z. z. o ukončení a spôsobe usporiadania niektorých nájomných vzťahov k bytom a o doplnení zákona Národnej rady Slovenskej republiky č. 18/1996 Z. z. o cenách v znení neskorších predpisov</w:t>
      </w:r>
    </w:p>
    <w:p w:rsidR="00BE5A10">
      <w:pPr>
        <w:pStyle w:val="NormalWeb"/>
        <w:bidi w:val="0"/>
        <w:spacing w:before="0" w:after="0"/>
        <w:jc w:val="both"/>
        <w:rPr>
          <w:rFonts w:ascii="Times New Roman" w:hAnsi="Times New Roman"/>
          <w:b/>
          <w:color w:val="000000"/>
        </w:rPr>
      </w:pPr>
    </w:p>
    <w:p w:rsidR="00BE5A10">
      <w:pPr>
        <w:pStyle w:val="NormalWeb"/>
        <w:bidi w:val="0"/>
        <w:spacing w:before="0" w:after="0"/>
        <w:jc w:val="both"/>
        <w:rPr>
          <w:rFonts w:ascii="Times New Roman" w:hAnsi="Times New Roman"/>
        </w:rPr>
      </w:pPr>
      <w:r>
        <w:rPr>
          <w:rFonts w:ascii="Times New Roman" w:hAnsi="Times New Roman"/>
          <w:b/>
          <w:color w:val="000000"/>
        </w:rPr>
        <w:t>        Termín začatia a ukončenia PPK:</w:t>
      </w:r>
      <w:r>
        <w:rPr>
          <w:rFonts w:ascii="Times New Roman" w:hAnsi="Times New Roman"/>
          <w:color w:val="000000"/>
        </w:rPr>
        <w:t xml:space="preserve"> </w:t>
      </w:r>
      <w:r>
        <w:rPr>
          <w:rFonts w:ascii="Times New Roman" w:hAnsi="Times New Roman"/>
          <w:i/>
          <w:color w:val="000000"/>
        </w:rPr>
        <w:t>bezpredmetné</w:t>
      </w:r>
    </w:p>
    <w:p w:rsidR="00BE5A10">
      <w:pPr>
        <w:pStyle w:val="NormalWeb"/>
        <w:bidi w:val="0"/>
        <w:spacing w:before="0" w:after="0"/>
        <w:jc w:val="both"/>
        <w:rPr>
          <w:rFonts w:ascii="Times New Roman" w:hAnsi="Times New Roman"/>
        </w:rPr>
      </w:pPr>
      <w:r>
        <w:rPr>
          <w:rFonts w:ascii="Times New Roman" w:hAnsi="Times New Roman"/>
          <w:b/>
          <w:color w:val="000000"/>
        </w:rPr>
        <w:t> </w:t>
      </w:r>
    </w:p>
    <w:p w:rsidR="00BE5A10">
      <w:pPr>
        <w:pStyle w:val="NormalWeb"/>
        <w:bidi w:val="0"/>
        <w:spacing w:before="0" w:after="0"/>
        <w:jc w:val="both"/>
        <w:rPr>
          <w:rFonts w:ascii="Times New Roman" w:hAnsi="Times New Roman"/>
        </w:rPr>
      </w:pPr>
      <w:r>
        <w:rPr>
          <w:rFonts w:ascii="Times New Roman" w:hAnsi="Times New Roman"/>
          <w:b/>
          <w:color w:val="000000"/>
        </w:rPr>
        <w:t>A.2. Vplyvy:</w:t>
      </w:r>
    </w:p>
    <w:tbl>
      <w:tblPr>
        <w:tblStyle w:val="TableNormal"/>
        <w:tblW w:w="0" w:type="auto"/>
        <w:tblLayout w:type="fixed"/>
        <w:tblCellMar>
          <w:top w:w="0" w:type="dxa"/>
          <w:left w:w="0" w:type="dxa"/>
          <w:bottom w:w="0" w:type="dxa"/>
          <w:right w:w="0" w:type="dxa"/>
        </w:tblCellMar>
      </w:tblPr>
      <w:tblGrid>
        <w:gridCol w:w="5519"/>
        <w:gridCol w:w="1192"/>
        <w:gridCol w:w="1181"/>
        <w:gridCol w:w="1196"/>
      </w:tblGrid>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Negatívne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sidR="00F6673A">
              <w:rPr>
                <w:rFonts w:ascii="Times New Roman" w:hAnsi="Times New Roman"/>
                <w:color w:val="000000"/>
              </w:rPr>
              <w:t>X</w:t>
            </w: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sidR="00F6673A">
              <w:rPr>
                <w:rFonts w:ascii="Times New Roman" w:hAnsi="Times New Roman"/>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r>
        <w:tblPrEx>
          <w:tblW w:w="0" w:type="auto"/>
          <w:tblLayout w:type="fixed"/>
          <w:tblCellMar>
            <w:top w:w="0" w:type="dxa"/>
            <w:left w:w="0" w:type="dxa"/>
            <w:bottom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rPr>
                <w:rFonts w:ascii="Times New Roman" w:hAnsi="Times New Roman"/>
              </w:rPr>
            </w:pPr>
            <w:r>
              <w:rPr>
                <w:rFonts w:ascii="Times New Roman" w:hAnsi="Times New Roman"/>
                <w:color w:val="000000"/>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BE5A10">
            <w:pPr>
              <w:pStyle w:val="NormalWeb"/>
              <w:bidi w:val="0"/>
              <w:spacing w:before="0" w:after="0" w:line="360" w:lineRule="auto"/>
              <w:jc w:val="center"/>
              <w:rPr>
                <w:rFonts w:ascii="Times New Roman" w:hAnsi="Times New Roman"/>
              </w:rPr>
            </w:pPr>
            <w:r>
              <w:rPr>
                <w:rFonts w:ascii="Times New Roman" w:hAnsi="Times New Roman"/>
                <w:color w:val="000000"/>
              </w:rPr>
              <w:t> </w:t>
            </w:r>
          </w:p>
        </w:tc>
      </w:tr>
    </w:tbl>
    <w:p w:rsidR="00BE5A10">
      <w:pPr>
        <w:pStyle w:val="NormalWeb"/>
        <w:bidi w:val="0"/>
        <w:spacing w:before="0" w:after="0"/>
        <w:rPr>
          <w:rFonts w:ascii="Times New Roman" w:hAnsi="Times New Roman"/>
        </w:rPr>
      </w:pPr>
      <w:r>
        <w:rPr>
          <w:rFonts w:ascii="Times New Roman" w:hAnsi="Times New Roman"/>
          <w:color w:val="000000"/>
        </w:rPr>
        <w:t> </w:t>
      </w:r>
    </w:p>
    <w:p w:rsidR="00BE5A10">
      <w:pPr>
        <w:pStyle w:val="NormalWeb"/>
        <w:bidi w:val="0"/>
        <w:spacing w:before="0" w:after="0"/>
        <w:jc w:val="both"/>
        <w:rPr>
          <w:rFonts w:ascii="Times New Roman" w:hAnsi="Times New Roman"/>
        </w:rPr>
      </w:pPr>
      <w:r>
        <w:rPr>
          <w:rFonts w:ascii="Times New Roman" w:hAnsi="Times New Roman"/>
          <w:b/>
          <w:color w:val="000000"/>
        </w:rPr>
        <w:t>A.3. Poznámky</w:t>
      </w:r>
    </w:p>
    <w:p w:rsidR="00BE5A10">
      <w:pPr>
        <w:pStyle w:val="NormalWeb"/>
        <w:bidi w:val="0"/>
        <w:spacing w:before="0" w:after="0"/>
        <w:jc w:val="both"/>
        <w:rPr>
          <w:rFonts w:ascii="Times New Roman" w:hAnsi="Times New Roman"/>
        </w:rPr>
      </w:pPr>
      <w:r>
        <w:rPr>
          <w:rFonts w:ascii="Times New Roman" w:hAnsi="Times New Roman"/>
          <w:color w:val="000000"/>
        </w:rPr>
        <w:t> </w:t>
      </w:r>
    </w:p>
    <w:p w:rsidR="002A4060">
      <w:pPr>
        <w:pStyle w:val="NormalWeb"/>
        <w:bidi w:val="0"/>
        <w:spacing w:before="0" w:after="0"/>
        <w:jc w:val="both"/>
        <w:rPr>
          <w:rFonts w:ascii="Times New Roman" w:hAnsi="Times New Roman"/>
          <w:i/>
          <w:color w:val="000000"/>
        </w:rPr>
      </w:pPr>
      <w:r w:rsidR="00F6673A">
        <w:rPr>
          <w:rFonts w:ascii="Times New Roman" w:hAnsi="Times New Roman"/>
          <w:i/>
          <w:color w:val="000000"/>
        </w:rPr>
        <w:t>Ako je uvedené v nižšie priloženej tabuľke, celkové odhadované náklady na riešenie problému formou finančnej náhrady predstavujú sumu vo výške 66</w:t>
      </w:r>
      <w:r>
        <w:rPr>
          <w:rFonts w:ascii="Times New Roman" w:hAnsi="Times New Roman"/>
          <w:i/>
          <w:color w:val="000000"/>
        </w:rPr>
        <w:t xml:space="preserve">.062.979,5 eur. Oproti plánovanej výstavbe náhradných bytov vo výške prevyšujúcej 70 miliónov </w:t>
      </w:r>
      <w:r w:rsidR="009A3557">
        <w:rPr>
          <w:rFonts w:ascii="Times New Roman" w:hAnsi="Times New Roman"/>
          <w:i/>
          <w:color w:val="000000"/>
        </w:rPr>
        <w:t>eur</w:t>
      </w:r>
      <w:r>
        <w:rPr>
          <w:rFonts w:ascii="Times New Roman" w:hAnsi="Times New Roman"/>
          <w:i/>
          <w:color w:val="000000"/>
        </w:rPr>
        <w:t xml:space="preserve"> sa jedná o úsporu vo výške vyše 10%.</w:t>
      </w:r>
      <w:r w:rsidR="00AC3F10">
        <w:rPr>
          <w:rFonts w:ascii="Times New Roman" w:hAnsi="Times New Roman"/>
          <w:i/>
          <w:color w:val="000000"/>
        </w:rPr>
        <w:t xml:space="preserve"> Finančná náhrada za vypratávaný byt je navyše koncipovaná na základe priemerných cien v kraji a nie priemerných cien v krajskom meste. Tým, že do priemeru sú započítavané ceny nehnuteľností aj v okrajových zónach miest a satelitných sídlach, tieto tlačia priemernú cenu finančnej náhrady smerom nadol a zvolením tohto parametra dochádza k ďalšej úspore finančných prostriedkov. </w:t>
      </w: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C91266">
      <w:pPr>
        <w:pStyle w:val="NormalWeb"/>
        <w:bidi w:val="0"/>
        <w:spacing w:before="0" w:after="0"/>
        <w:jc w:val="both"/>
        <w:rPr>
          <w:rFonts w:ascii="Times New Roman" w:hAnsi="Times New Roman"/>
          <w:i/>
          <w:color w:val="000000"/>
        </w:rPr>
      </w:pPr>
    </w:p>
    <w:p w:rsidR="002A4060">
      <w:pPr>
        <w:pStyle w:val="NormalWeb"/>
        <w:bidi w:val="0"/>
        <w:spacing w:before="0" w:after="0"/>
        <w:jc w:val="both"/>
        <w:rPr>
          <w:rFonts w:ascii="Times New Roman" w:hAnsi="Times New Roman"/>
          <w:i/>
          <w:color w:val="00000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gridCol w:w="1843"/>
        <w:gridCol w:w="184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Pr>
                <w:rFonts w:ascii="Times New Roman" w:hAnsi="Times New Roman"/>
                <w:b/>
                <w:color w:val="000000"/>
              </w:rPr>
              <w:t>Kraj</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Pr>
                <w:rFonts w:ascii="Times New Roman" w:hAnsi="Times New Roman"/>
                <w:b/>
                <w:color w:val="000000"/>
              </w:rPr>
              <w:t>Trhová cena m 2 bytu podľa NBS 2 Q 2012</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Pr>
                <w:rFonts w:ascii="Times New Roman" w:hAnsi="Times New Roman"/>
                <w:b/>
                <w:color w:val="000000"/>
              </w:rPr>
              <w:t>Počet bytov podľa prihlásení na MVaRR SR</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Pr>
                <w:rFonts w:ascii="Times New Roman" w:hAnsi="Times New Roman"/>
                <w:b/>
                <w:color w:val="000000"/>
              </w:rPr>
              <w:t>Prepočítaná cena priemernej finančnej náhrady/1 byt (trhová cena bytu x priemerná rozloha 71m2 x koeficient 0,7)</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Pr>
                <w:rFonts w:ascii="Times New Roman" w:hAnsi="Times New Roman"/>
                <w:b/>
                <w:color w:val="000000"/>
              </w:rPr>
              <w:t>Celková výška nákladov na finančné náhrady (prepočítaná cena 1 finančnej náhrady x počet bytov)</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Bratislavský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1644</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713</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81706,8</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58256948,4</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Trnavský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818</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34</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40654,9</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1382256,4</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Nitriansky</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626</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51</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31112,2</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1586722,2</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Trenčiansky</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658</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32</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32702,6</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1046483,5</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Banskobytrický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770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15</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38269</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574035</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Žilinský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754</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38</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37473,8</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1424004,4</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Košický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954</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27</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Pr>
                <w:rFonts w:ascii="Times New Roman" w:hAnsi="Times New Roman"/>
                <w:color w:val="000000"/>
              </w:rPr>
              <w:t>47413,8</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1280175,6</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Prešovský</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793</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13</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39412,1</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r w:rsidRPr="007A5E3A" w:rsidR="00530D74">
              <w:rPr>
                <w:rFonts w:ascii="Times New Roman" w:hAnsi="Times New Roman"/>
                <w:color w:val="000000"/>
              </w:rPr>
              <w:t>512357,3</w:t>
            </w:r>
          </w:p>
        </w:tc>
      </w:tr>
      <w:tr>
        <w:tblPrEx>
          <w:tblW w:w="0" w:type="auto"/>
          <w:tblLook w:val="04A0"/>
        </w:tblPrEx>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sidR="00530D74">
              <w:rPr>
                <w:rFonts w:ascii="Times New Roman" w:hAnsi="Times New Roman"/>
                <w:b/>
                <w:color w:val="000000"/>
              </w:rPr>
              <w:t>Náklady na finančné náhrady za SR</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A4060" w:rsidRPr="007A5E3A" w:rsidP="007A5E3A">
            <w:pPr>
              <w:pStyle w:val="NormalWeb"/>
              <w:bidi w:val="0"/>
              <w:spacing w:before="0" w:after="0"/>
              <w:jc w:val="both"/>
              <w:rPr>
                <w:rFonts w:ascii="Times New Roman" w:hAnsi="Times New Roman"/>
                <w:b/>
                <w:color w:val="000000"/>
              </w:rPr>
            </w:pPr>
            <w:r w:rsidRPr="007A5E3A" w:rsidR="00530D74">
              <w:rPr>
                <w:rFonts w:ascii="Times New Roman" w:hAnsi="Times New Roman"/>
                <w:b/>
                <w:color w:val="000000"/>
              </w:rPr>
              <w:t>66.062.979,5</w:t>
            </w:r>
          </w:p>
        </w:tc>
      </w:tr>
    </w:tbl>
    <w:p w:rsidR="00BE5A10">
      <w:pPr>
        <w:pStyle w:val="NormalWeb"/>
        <w:bidi w:val="0"/>
        <w:spacing w:before="0" w:after="0"/>
        <w:jc w:val="both"/>
        <w:rPr>
          <w:rFonts w:ascii="Times New Roman" w:hAnsi="Times New Roman"/>
          <w:i/>
          <w:color w:val="000000"/>
        </w:rPr>
      </w:pPr>
      <w:r w:rsidR="002A4060">
        <w:rPr>
          <w:rFonts w:ascii="Times New Roman" w:hAnsi="Times New Roman"/>
          <w:i/>
          <w:color w:val="000000"/>
        </w:rPr>
        <w:t xml:space="preserve"> </w:t>
      </w:r>
    </w:p>
    <w:p w:rsidR="00F6673A">
      <w:pPr>
        <w:pStyle w:val="NormalWeb"/>
        <w:bidi w:val="0"/>
        <w:spacing w:before="0" w:after="0"/>
        <w:jc w:val="both"/>
        <w:rPr>
          <w:rFonts w:ascii="Times New Roman" w:hAnsi="Times New Roman"/>
          <w:i/>
          <w:color w:val="000000"/>
        </w:rPr>
      </w:pPr>
    </w:p>
    <w:p w:rsidR="00BE5A10">
      <w:pPr>
        <w:pStyle w:val="NormalWeb"/>
        <w:bidi w:val="0"/>
        <w:spacing w:before="0" w:after="0"/>
        <w:jc w:val="both"/>
        <w:rPr>
          <w:rFonts w:ascii="Times New Roman" w:hAnsi="Times New Roman"/>
          <w:i/>
          <w:color w:val="000000"/>
        </w:rPr>
      </w:pPr>
      <w:r>
        <w:rPr>
          <w:rFonts w:ascii="Times New Roman" w:hAnsi="Times New Roman"/>
          <w:b/>
          <w:color w:val="000000"/>
        </w:rPr>
        <w:t>A.4. Alternatívne riešenia</w:t>
      </w:r>
    </w:p>
    <w:p w:rsidR="00BE5A10">
      <w:pPr>
        <w:pStyle w:val="NormalWeb"/>
        <w:bidi w:val="0"/>
        <w:spacing w:before="0" w:after="0"/>
        <w:jc w:val="both"/>
        <w:rPr>
          <w:rFonts w:ascii="Times New Roman" w:hAnsi="Times New Roman"/>
        </w:rPr>
      </w:pPr>
      <w:r>
        <w:rPr>
          <w:rFonts w:ascii="Times New Roman" w:hAnsi="Times New Roman"/>
          <w:color w:val="000000"/>
        </w:rPr>
        <w:t> </w:t>
      </w:r>
    </w:p>
    <w:p w:rsidR="00BE5A10">
      <w:pPr>
        <w:pStyle w:val="NormalWeb"/>
        <w:bidi w:val="0"/>
        <w:spacing w:before="0" w:after="0"/>
        <w:jc w:val="both"/>
        <w:rPr>
          <w:rFonts w:ascii="Times New Roman" w:hAnsi="Times New Roman"/>
        </w:rPr>
      </w:pPr>
      <w:r>
        <w:rPr>
          <w:rFonts w:ascii="Times New Roman" w:hAnsi="Times New Roman"/>
          <w:i/>
          <w:color w:val="000000"/>
        </w:rPr>
        <w:t>bezpredmetné</w:t>
      </w:r>
    </w:p>
    <w:p w:rsidR="00BE5A10">
      <w:pPr>
        <w:pStyle w:val="NormalWeb"/>
        <w:bidi w:val="0"/>
        <w:spacing w:before="0" w:after="0"/>
        <w:jc w:val="both"/>
        <w:rPr>
          <w:rFonts w:ascii="Times New Roman" w:hAnsi="Times New Roman"/>
        </w:rPr>
      </w:pPr>
      <w:r>
        <w:rPr>
          <w:rFonts w:ascii="Times New Roman" w:hAnsi="Times New Roman"/>
          <w:b/>
          <w:color w:val="000000"/>
        </w:rPr>
        <w:t> </w:t>
      </w:r>
    </w:p>
    <w:p w:rsidR="00BE5A10">
      <w:pPr>
        <w:pStyle w:val="NormalWeb"/>
        <w:bidi w:val="0"/>
        <w:spacing w:before="0" w:after="0"/>
        <w:jc w:val="both"/>
        <w:rPr>
          <w:rFonts w:ascii="Times New Roman" w:hAnsi="Times New Roman"/>
        </w:rPr>
      </w:pPr>
      <w:r>
        <w:rPr>
          <w:rFonts w:ascii="Times New Roman" w:hAnsi="Times New Roman"/>
          <w:b/>
          <w:color w:val="000000"/>
        </w:rPr>
        <w:t>A.5. Stanovisko gestorov</w:t>
      </w:r>
    </w:p>
    <w:p w:rsidR="00BE5A10">
      <w:pPr>
        <w:pStyle w:val="NormalWeb"/>
        <w:bidi w:val="0"/>
        <w:spacing w:before="0" w:after="0"/>
        <w:jc w:val="both"/>
        <w:rPr>
          <w:rFonts w:ascii="Times New Roman" w:hAnsi="Times New Roman"/>
        </w:rPr>
      </w:pPr>
      <w:r>
        <w:rPr>
          <w:rFonts w:ascii="Times New Roman" w:hAnsi="Times New Roman"/>
          <w:b/>
        </w:rPr>
        <w:t> </w:t>
      </w:r>
    </w:p>
    <w:p w:rsidR="00BE5A10">
      <w:pPr>
        <w:pStyle w:val="NormalWeb"/>
        <w:bidi w:val="0"/>
        <w:spacing w:before="0" w:after="0"/>
        <w:jc w:val="both"/>
        <w:rPr>
          <w:rFonts w:ascii="Times New Roman" w:hAnsi="Times New Roman"/>
          <w:i/>
        </w:rPr>
      </w:pPr>
      <w:r>
        <w:rPr>
          <w:rFonts w:ascii="Times New Roman" w:hAnsi="Times New Roman"/>
          <w:i/>
          <w:color w:val="000000"/>
        </w:rPr>
        <w:t>Návrh zákona bol zaslaný na vyjadrenie Ministerstvu financií SR a stanovisko tohto ministerstva tvorí súčasť predkladaného materiálu.</w:t>
      </w:r>
    </w:p>
    <w:p w:rsidR="00BE5A10">
      <w:pPr>
        <w:pStyle w:val="NormalWeb"/>
        <w:bidi w:val="0"/>
        <w:spacing w:before="0" w:after="0"/>
        <w:jc w:val="both"/>
        <w:rPr>
          <w:rFonts w:ascii="Times New Roman" w:hAnsi="Times New Roman"/>
        </w:rPr>
      </w:pPr>
      <w:r>
        <w:rPr>
          <w:rFonts w:ascii="Times New Roman" w:hAnsi="Times New Roman"/>
          <w:i/>
        </w:rPr>
        <w:br w:type="page"/>
      </w:r>
    </w:p>
    <w:p w:rsidR="00BE5A10">
      <w:pPr>
        <w:pStyle w:val="NormalWeb"/>
        <w:bidi w:val="0"/>
        <w:spacing w:before="0" w:after="0" w:line="276" w:lineRule="auto"/>
        <w:jc w:val="both"/>
        <w:rPr>
          <w:rFonts w:ascii="Times New Roman" w:hAnsi="Times New Roman"/>
        </w:rPr>
      </w:pPr>
      <w:r>
        <w:rPr>
          <w:rFonts w:ascii="Times New Roman" w:hAnsi="Times New Roman"/>
          <w:b/>
        </w:rPr>
        <w:t>B. Osobitná časť</w:t>
      </w:r>
    </w:p>
    <w:p w:rsidR="00BE5A10">
      <w:pPr>
        <w:pStyle w:val="NormalWeb"/>
        <w:bidi w:val="0"/>
        <w:spacing w:before="0" w:after="0" w:line="276" w:lineRule="auto"/>
        <w:jc w:val="both"/>
        <w:rPr>
          <w:rFonts w:ascii="Times New Roman" w:hAnsi="Times New Roman"/>
        </w:rPr>
      </w:pPr>
      <w:r>
        <w:rPr>
          <w:rFonts w:ascii="Times New Roman" w:hAnsi="Times New Roman"/>
        </w:rPr>
        <w:t> </w:t>
      </w:r>
    </w:p>
    <w:p w:rsidR="00C751A4" w:rsidRPr="00C751A4" w:rsidP="00C751A4">
      <w:pPr>
        <w:bidi w:val="0"/>
        <w:contextualSpacing/>
        <w:jc w:val="both"/>
        <w:rPr>
          <w:rFonts w:ascii="Times New Roman" w:hAnsi="Times New Roman"/>
          <w:u w:val="single"/>
        </w:rPr>
      </w:pPr>
      <w:r w:rsidRPr="00C751A4">
        <w:rPr>
          <w:rFonts w:ascii="Times New Roman" w:hAnsi="Times New Roman"/>
          <w:u w:val="single"/>
        </w:rPr>
        <w:t>K bodu 1</w:t>
      </w:r>
    </w:p>
    <w:p w:rsidR="00C751A4" w:rsidRPr="00C751A4" w:rsidP="00C751A4">
      <w:pPr>
        <w:bidi w:val="0"/>
        <w:jc w:val="both"/>
        <w:rPr>
          <w:rFonts w:ascii="Times New Roman" w:hAnsi="Times New Roman"/>
        </w:rPr>
      </w:pPr>
    </w:p>
    <w:p w:rsidR="00C751A4" w:rsidRPr="00C751A4" w:rsidP="00C751A4">
      <w:pPr>
        <w:bidi w:val="0"/>
        <w:jc w:val="both"/>
        <w:rPr>
          <w:rFonts w:ascii="Times New Roman" w:hAnsi="Times New Roman"/>
        </w:rPr>
      </w:pPr>
      <w:r w:rsidRPr="00C751A4">
        <w:rPr>
          <w:rFonts w:ascii="Times New Roman" w:hAnsi="Times New Roman"/>
        </w:rPr>
        <w:t>Ide o novo ustanovenú možnosť poskytnutia finančnej náhrady za vypratávaný byt, ktorá je up</w:t>
      </w:r>
      <w:r w:rsidR="00C91266">
        <w:rPr>
          <w:rFonts w:ascii="Times New Roman" w:hAnsi="Times New Roman"/>
        </w:rPr>
        <w:t>ravená v novom § 5 zákona (bod 4</w:t>
      </w:r>
      <w:r w:rsidRPr="00C751A4">
        <w:rPr>
          <w:rFonts w:ascii="Times New Roman" w:hAnsi="Times New Roman"/>
        </w:rPr>
        <w:t xml:space="preserve"> tohto návrhu</w:t>
      </w:r>
      <w:r w:rsidR="00C91266">
        <w:rPr>
          <w:rFonts w:ascii="Times New Roman" w:hAnsi="Times New Roman"/>
        </w:rPr>
        <w:t xml:space="preserve"> zákona</w:t>
      </w:r>
      <w:r w:rsidRPr="00C751A4">
        <w:rPr>
          <w:rFonts w:ascii="Times New Roman" w:hAnsi="Times New Roman"/>
        </w:rPr>
        <w:t>), pričom suma tejto náhrady, resp. spôsob jej určenia vyrovnáva podmienky, za ktorých nadobudli vlastníctvo svojho bytu nájomcovia porovnateľného bytového fondu, podľa zákona Národnej rady Slovenskej republiky č. 182/1993 Z. z. o vlastníctve bytov a nebytových priestorov v znení neskorších predpisov (majetkové nadobudnutie).</w:t>
      </w:r>
      <w:r w:rsidR="00942BEF">
        <w:rPr>
          <w:rFonts w:ascii="Times New Roman" w:hAnsi="Times New Roman"/>
        </w:rPr>
        <w:t xml:space="preserve"> Keďže finančná náhrada je jednou z foriem náhrady za vypratávaný byt, je potrebné pojem „bytová náhrada“ nahradiť týmto všeobecnejším pojmom „náhrada za vypratávaný byt“, ktorá zahŕňa tak finančnú náhradu, ako aj bytovú náhradu.</w:t>
      </w:r>
    </w:p>
    <w:p w:rsidR="00C751A4" w:rsidRPr="00C751A4" w:rsidP="00C751A4">
      <w:pPr>
        <w:bidi w:val="0"/>
        <w:jc w:val="both"/>
        <w:rPr>
          <w:rFonts w:ascii="Times New Roman" w:hAnsi="Times New Roman"/>
        </w:rPr>
      </w:pPr>
    </w:p>
    <w:p w:rsidR="00C751A4" w:rsidRPr="00C751A4" w:rsidP="00C751A4">
      <w:pPr>
        <w:bidi w:val="0"/>
        <w:jc w:val="both"/>
        <w:rPr>
          <w:rFonts w:ascii="Times New Roman" w:hAnsi="Times New Roman"/>
        </w:rPr>
      </w:pPr>
      <w:r w:rsidRPr="00C751A4">
        <w:rPr>
          <w:rFonts w:ascii="Times New Roman" w:hAnsi="Times New Roman"/>
          <w:u w:val="single"/>
        </w:rPr>
        <w:t>K bodu 2</w:t>
      </w:r>
    </w:p>
    <w:p w:rsidR="00C751A4" w:rsidRPr="00C751A4" w:rsidP="00C751A4">
      <w:pPr>
        <w:bidi w:val="0"/>
        <w:jc w:val="both"/>
        <w:rPr>
          <w:rFonts w:ascii="Times New Roman" w:hAnsi="Times New Roman"/>
        </w:rPr>
      </w:pPr>
    </w:p>
    <w:p w:rsidR="00C751A4" w:rsidP="00C751A4">
      <w:pPr>
        <w:bidi w:val="0"/>
        <w:jc w:val="both"/>
        <w:rPr>
          <w:rFonts w:ascii="Times New Roman" w:hAnsi="Times New Roman"/>
        </w:rPr>
      </w:pPr>
      <w:r w:rsidRPr="00C751A4">
        <w:rPr>
          <w:rFonts w:ascii="Times New Roman" w:hAnsi="Times New Roman"/>
        </w:rPr>
        <w:t>Odlišným spôsobom, ako je tomu v platnom zákone, sa vymedzenie okruh spoločne posudzovaných osôb, na ktoré sa vzťahuje novelizovaný zákon - upúšťa sa od podmienky spolužitia v domácnosti aspoň tri roky (nesplniteľné napr. v prípade novonarodených detí), ako aj od podmienky neexistencie vlastného bytu alebo iného bytu v nájme. Iný byt v nájme môže mať dotknutá osoba napr. v inom meste za účelom zamestnania - ide teda vo svojich dôsledkoch o prekážku mobility pracovnej sily. Podmienka trvalého pobytu a žitia v domácnosti je podľa navrhovateľa postačujúcou na splnenie podmienky spoločne posudzovanej osoby.</w:t>
      </w:r>
    </w:p>
    <w:p w:rsidR="00DD13BD" w:rsidP="00C751A4">
      <w:pPr>
        <w:bidi w:val="0"/>
        <w:jc w:val="both"/>
        <w:rPr>
          <w:rFonts w:ascii="Times New Roman" w:hAnsi="Times New Roman"/>
        </w:rPr>
      </w:pPr>
    </w:p>
    <w:p w:rsidR="00DD13BD" w:rsidRPr="001A58D7" w:rsidP="00DD13BD">
      <w:pPr>
        <w:bidi w:val="0"/>
        <w:contextualSpacing/>
        <w:jc w:val="both"/>
        <w:rPr>
          <w:rFonts w:ascii="Times New Roman" w:hAnsi="Times New Roman"/>
          <w:u w:val="single"/>
        </w:rPr>
      </w:pPr>
      <w:r w:rsidRPr="001A58D7" w:rsidR="001A58D7">
        <w:rPr>
          <w:rFonts w:ascii="Times New Roman" w:hAnsi="Times New Roman"/>
          <w:u w:val="single"/>
        </w:rPr>
        <w:t>K bodu 3</w:t>
      </w:r>
    </w:p>
    <w:p w:rsidR="00DD13BD" w:rsidRPr="001A58D7" w:rsidP="00DD13BD">
      <w:pPr>
        <w:bidi w:val="0"/>
        <w:contextualSpacing/>
        <w:jc w:val="both"/>
        <w:rPr>
          <w:rFonts w:ascii="Times New Roman" w:hAnsi="Times New Roman"/>
          <w:u w:val="single"/>
        </w:rPr>
      </w:pPr>
    </w:p>
    <w:p w:rsidR="00DD13BD" w:rsidRPr="001A58D7" w:rsidP="00DD13BD">
      <w:pPr>
        <w:bidi w:val="0"/>
        <w:contextualSpacing/>
        <w:jc w:val="both"/>
        <w:rPr>
          <w:rFonts w:ascii="Times New Roman" w:hAnsi="Times New Roman"/>
        </w:rPr>
      </w:pPr>
      <w:r w:rsidRPr="00942BEF">
        <w:rPr>
          <w:rFonts w:ascii="Times New Roman" w:hAnsi="Times New Roman"/>
        </w:rPr>
        <w:t xml:space="preserve">Ide o legislatívno-technickú úpravu, ktorá ponecháva takmer nedotknutý </w:t>
      </w:r>
      <w:r w:rsidRPr="00942BEF" w:rsidR="00C91266">
        <w:rPr>
          <w:rFonts w:ascii="Times New Roman" w:hAnsi="Times New Roman"/>
        </w:rPr>
        <w:t>§ 3 ods. 6</w:t>
      </w:r>
      <w:r w:rsidRPr="00942BEF">
        <w:rPr>
          <w:rFonts w:ascii="Times New Roman" w:hAnsi="Times New Roman"/>
        </w:rPr>
        <w:t xml:space="preserve"> zákona s tým, že dochádza len k prečís</w:t>
      </w:r>
      <w:r w:rsidRPr="00942BEF" w:rsidR="00C91266">
        <w:rPr>
          <w:rFonts w:ascii="Times New Roman" w:hAnsi="Times New Roman"/>
        </w:rPr>
        <w:t>lovaniu § 5 ods. 4 na § 5 ods. 8</w:t>
      </w:r>
      <w:r w:rsidRPr="00942BEF">
        <w:rPr>
          <w:rFonts w:ascii="Times New Roman" w:hAnsi="Times New Roman"/>
        </w:rPr>
        <w:t>, č</w:t>
      </w:r>
      <w:r w:rsidRPr="00942BEF" w:rsidR="000260C3">
        <w:rPr>
          <w:rFonts w:ascii="Times New Roman" w:hAnsi="Times New Roman"/>
        </w:rPr>
        <w:t>o bezprostredne súvisí s bodom 4</w:t>
      </w:r>
      <w:r w:rsidRPr="00942BEF">
        <w:rPr>
          <w:rFonts w:ascii="Times New Roman" w:hAnsi="Times New Roman"/>
        </w:rPr>
        <w:t xml:space="preserve"> tohto návrhu</w:t>
      </w:r>
      <w:r w:rsidRPr="00942BEF" w:rsidR="000260C3">
        <w:rPr>
          <w:rFonts w:ascii="Times New Roman" w:hAnsi="Times New Roman"/>
        </w:rPr>
        <w:t xml:space="preserve"> zákona</w:t>
      </w:r>
      <w:r w:rsidRPr="00942BEF">
        <w:rPr>
          <w:rFonts w:ascii="Times New Roman" w:hAnsi="Times New Roman"/>
        </w:rPr>
        <w:t>. Vzhľadom na to, že návrh</w:t>
      </w:r>
      <w:r w:rsidRPr="00942BEF" w:rsidR="000260C3">
        <w:rPr>
          <w:rFonts w:ascii="Times New Roman" w:hAnsi="Times New Roman"/>
        </w:rPr>
        <w:t xml:space="preserve"> zákona</w:t>
      </w:r>
      <w:r w:rsidRPr="00942BEF">
        <w:rPr>
          <w:rFonts w:ascii="Times New Roman" w:hAnsi="Times New Roman"/>
        </w:rPr>
        <w:t xml:space="preserve"> zavádza nový druh náhrady za vyprataný byt – finančnú náhradu, je nevyhnutné zr</w:t>
      </w:r>
      <w:r w:rsidRPr="00942BEF" w:rsidR="00B24450">
        <w:rPr>
          <w:rFonts w:ascii="Times New Roman" w:hAnsi="Times New Roman"/>
        </w:rPr>
        <w:t>ovnoprávniť obe skupiny nájomcov</w:t>
      </w:r>
      <w:r w:rsidRPr="00942BEF">
        <w:rPr>
          <w:rFonts w:ascii="Times New Roman" w:hAnsi="Times New Roman"/>
        </w:rPr>
        <w:t>, aj pokiaľ ide o termín, do kt</w:t>
      </w:r>
      <w:r w:rsidRPr="00942BEF" w:rsidR="00B24450">
        <w:rPr>
          <w:rFonts w:ascii="Times New Roman" w:hAnsi="Times New Roman"/>
        </w:rPr>
        <w:t>orého sú povinní</w:t>
      </w:r>
      <w:r w:rsidRPr="00942BEF">
        <w:rPr>
          <w:rFonts w:ascii="Times New Roman" w:hAnsi="Times New Roman"/>
        </w:rPr>
        <w:t xml:space="preserve"> vypratať byt v prípade skončenia nájmu. Tak, ako platný zákon určuje termín v prípade bytových náhrad – kým obec neposkytne bytovú náhradu, aj tento návrh</w:t>
      </w:r>
      <w:r w:rsidRPr="00942BEF" w:rsidR="000260C3">
        <w:rPr>
          <w:rFonts w:ascii="Times New Roman" w:hAnsi="Times New Roman"/>
        </w:rPr>
        <w:t xml:space="preserve"> zákona</w:t>
      </w:r>
      <w:r w:rsidRPr="001A58D7">
        <w:rPr>
          <w:rFonts w:ascii="Times New Roman" w:hAnsi="Times New Roman"/>
        </w:rPr>
        <w:t xml:space="preserve"> určuje termín v prípade finančných náhrad – kým obec neposkytne finančnú náhradu.</w:t>
      </w:r>
    </w:p>
    <w:p w:rsidR="00DD13BD" w:rsidP="00C751A4">
      <w:pPr>
        <w:bidi w:val="0"/>
        <w:jc w:val="both"/>
        <w:rPr>
          <w:rFonts w:ascii="Times New Roman" w:hAnsi="Times New Roman"/>
        </w:rPr>
      </w:pPr>
    </w:p>
    <w:p w:rsidR="001A58D7" w:rsidRPr="001A58D7" w:rsidP="001A58D7">
      <w:pPr>
        <w:bidi w:val="0"/>
        <w:contextualSpacing/>
        <w:jc w:val="both"/>
        <w:rPr>
          <w:rFonts w:ascii="Times New Roman" w:hAnsi="Times New Roman"/>
          <w:u w:val="single"/>
        </w:rPr>
      </w:pPr>
      <w:r w:rsidRPr="001A58D7">
        <w:rPr>
          <w:rFonts w:ascii="Times New Roman" w:hAnsi="Times New Roman"/>
          <w:u w:val="single"/>
        </w:rPr>
        <w:t xml:space="preserve">K bodu </w:t>
      </w:r>
      <w:r>
        <w:rPr>
          <w:rFonts w:ascii="Times New Roman" w:hAnsi="Times New Roman"/>
          <w:u w:val="single"/>
        </w:rPr>
        <w:t>4</w:t>
      </w:r>
    </w:p>
    <w:p w:rsidR="001A58D7" w:rsidRPr="00C751A4" w:rsidP="00C751A4">
      <w:pPr>
        <w:bidi w:val="0"/>
        <w:jc w:val="both"/>
        <w:rPr>
          <w:rFonts w:ascii="Times New Roman" w:hAnsi="Times New Roman"/>
        </w:rPr>
      </w:pPr>
    </w:p>
    <w:p w:rsidR="001A58D7" w:rsidP="000260C3">
      <w:pPr>
        <w:pStyle w:val="NormalWeb"/>
        <w:bidi w:val="0"/>
        <w:jc w:val="both"/>
        <w:rPr>
          <w:rFonts w:ascii="Times New Roman" w:hAnsi="Times New Roman"/>
        </w:rPr>
      </w:pPr>
      <w:r>
        <w:rPr>
          <w:rFonts w:ascii="Times New Roman" w:hAnsi="Times New Roman"/>
        </w:rPr>
        <w:t xml:space="preserve">Navrhuje sa ustanoviť možnosť poskytnutia finančnej náhrady pre dotknutých nájomcov a spoločne posudzované osoby a zároveň sa určujú podmienky na poskytnutie takejto formy náhrady za vypratávaný byt. Takéto riešenie je aj z pohľadu nájomcov vnímané ako prijateľnejšie, rýchlejšie a jednoduchšie a je ho možné zrealizovať v priebehu 2 rokov. </w:t>
      </w:r>
    </w:p>
    <w:p w:rsidR="001A58D7" w:rsidP="000260C3">
      <w:pPr>
        <w:pStyle w:val="NormalWeb"/>
        <w:bidi w:val="0"/>
        <w:jc w:val="both"/>
        <w:rPr>
          <w:rFonts w:ascii="Times New Roman" w:hAnsi="Times New Roman"/>
        </w:rPr>
      </w:pPr>
      <w:r>
        <w:rPr>
          <w:rFonts w:ascii="Times New Roman" w:hAnsi="Times New Roman"/>
        </w:rPr>
        <w:t xml:space="preserve">Z pohľadu nárokov na zdroje štátneho rozpočtu ide o  efektívnejšie a zdrojovo menej náročné riešenie v porovnaní s kalkuláciami dosahu na zdroje verejných rozpočtov pri obstarávaní bytových náhrad, ktoré predložil predkladateľ zákona č. 260/2011 Z. z. počas schvaľovacieho procesu. </w:t>
      </w:r>
    </w:p>
    <w:p w:rsidR="001A58D7" w:rsidP="000260C3">
      <w:pPr>
        <w:pStyle w:val="NormalWeb"/>
        <w:bidi w:val="0"/>
        <w:jc w:val="both"/>
        <w:rPr>
          <w:rFonts w:ascii="Times New Roman" w:hAnsi="Times New Roman"/>
        </w:rPr>
      </w:pPr>
      <w:r>
        <w:rPr>
          <w:rFonts w:ascii="Times New Roman" w:hAnsi="Times New Roman"/>
        </w:rPr>
        <w:t xml:space="preserve">Finančná náhrada z hľadiska nárokov na prostriedky zo štátneho rozpočtu predstavuje spoľahlivejší predpoklad nákladov, keďže v tomto prípade nehrozí riziko „neočakávaného navýšenia nákladov“, ktoré je časté pri realizácii stavieb z verejných zdrojov. Formu finančnej náhrady si praje veľká väčšina dotknutých nájomcov. Táto forma umožní najmä tým, ktorí ju budú môcť skombinovať s vlastnými zdrojmi, zaobstarať si bývanie podľa vlastných predstáv. </w:t>
      </w:r>
    </w:p>
    <w:p w:rsidR="001A58D7" w:rsidP="000260C3">
      <w:pPr>
        <w:pStyle w:val="NormalWeb"/>
        <w:bidi w:val="0"/>
        <w:jc w:val="both"/>
        <w:rPr>
          <w:rFonts w:ascii="Times New Roman" w:hAnsi="Times New Roman"/>
        </w:rPr>
      </w:pPr>
      <w:r>
        <w:rPr>
          <w:rFonts w:ascii="Times New Roman" w:hAnsi="Times New Roman"/>
        </w:rPr>
        <w:t>Forma finančnej náhrady uľahčí situáciu aj obciam, pre ktoré je realizácia navrhovaného jediného variantu bytových náhrad problematická. Navyše, je legitímne očakávať od štátu, ktorý celý problém nájomných vzťahov v reštituovaných a privatizovaných domoch spôsobil sériou krokov (znárodnenie domov, následné pridelenie bytov občanom, následné vrátenie - vydanie domov oprávneným osobám aj s nájomcami, vytvorenie inej štartovacej čiary pre ostatných občanov neštandardne výhodnou a celoplošnou privatizáciou bytového fondu s vylúčením nájomcov v reštituovaných a privatizovaných domoch a pod.), aby pri riešení problému pristupoval k dotknutým nájomcom korektne a rešpektoval formu náhrady tak, ako ju drvivá väčšina postihnutých nájomcov požaduje.</w:t>
      </w:r>
    </w:p>
    <w:p w:rsidR="00942BEF" w:rsidP="001A58D7">
      <w:pPr>
        <w:bidi w:val="0"/>
        <w:contextualSpacing/>
        <w:jc w:val="both"/>
        <w:rPr>
          <w:rFonts w:ascii="Times New Roman" w:hAnsi="Times New Roman"/>
          <w:u w:val="single"/>
        </w:rPr>
      </w:pPr>
    </w:p>
    <w:p w:rsidR="001A58D7" w:rsidRPr="001A58D7" w:rsidP="001A58D7">
      <w:pPr>
        <w:bidi w:val="0"/>
        <w:contextualSpacing/>
        <w:jc w:val="both"/>
        <w:rPr>
          <w:rFonts w:ascii="Times New Roman" w:hAnsi="Times New Roman"/>
          <w:u w:val="single"/>
        </w:rPr>
      </w:pPr>
      <w:r w:rsidRPr="001A58D7">
        <w:rPr>
          <w:rFonts w:ascii="Times New Roman" w:hAnsi="Times New Roman"/>
          <w:u w:val="single"/>
        </w:rPr>
        <w:t>K bod</w:t>
      </w:r>
      <w:r>
        <w:rPr>
          <w:rFonts w:ascii="Times New Roman" w:hAnsi="Times New Roman"/>
          <w:u w:val="single"/>
        </w:rPr>
        <w:t>om</w:t>
      </w:r>
      <w:r w:rsidRPr="001A58D7">
        <w:rPr>
          <w:rFonts w:ascii="Times New Roman" w:hAnsi="Times New Roman"/>
          <w:u w:val="single"/>
        </w:rPr>
        <w:t xml:space="preserve"> </w:t>
      </w:r>
      <w:r w:rsidR="00942BEF">
        <w:rPr>
          <w:rFonts w:ascii="Times New Roman" w:hAnsi="Times New Roman"/>
          <w:u w:val="single"/>
        </w:rPr>
        <w:t>5 až 12</w:t>
      </w:r>
    </w:p>
    <w:p w:rsidR="001A58D7" w:rsidP="004E4380">
      <w:pPr>
        <w:pStyle w:val="NormalWeb"/>
        <w:bidi w:val="0"/>
        <w:spacing w:before="0" w:after="0" w:line="276" w:lineRule="auto"/>
        <w:jc w:val="both"/>
        <w:rPr>
          <w:rFonts w:ascii="Times New Roman" w:hAnsi="Times New Roman"/>
          <w:b/>
        </w:rPr>
      </w:pPr>
    </w:p>
    <w:p w:rsidR="00A12FA1" w:rsidRPr="00942BEF" w:rsidP="00A12FA1">
      <w:pPr>
        <w:bidi w:val="0"/>
        <w:jc w:val="both"/>
        <w:rPr>
          <w:rFonts w:ascii="Times New Roman" w:hAnsi="Times New Roman"/>
        </w:rPr>
      </w:pPr>
      <w:r w:rsidRPr="001A58D7" w:rsidR="001A58D7">
        <w:rPr>
          <w:rFonts w:ascii="Times New Roman" w:hAnsi="Times New Roman"/>
        </w:rPr>
        <w:t xml:space="preserve">Ide o terminologické zosúladenie jednotlivých ustanovením § 7 s jeho nadpisom, ako aj s novým znením § 5 ods. 1 (bod </w:t>
      </w:r>
      <w:r w:rsidR="001A58D7">
        <w:rPr>
          <w:rFonts w:ascii="Times New Roman" w:hAnsi="Times New Roman"/>
        </w:rPr>
        <w:t>4</w:t>
      </w:r>
      <w:r w:rsidRPr="001A58D7" w:rsidR="001A58D7">
        <w:rPr>
          <w:rFonts w:ascii="Times New Roman" w:hAnsi="Times New Roman"/>
        </w:rPr>
        <w:t xml:space="preserve"> tohto návrhu</w:t>
      </w:r>
      <w:r w:rsidR="001A58D7">
        <w:rPr>
          <w:rFonts w:ascii="Times New Roman" w:hAnsi="Times New Roman"/>
        </w:rPr>
        <w:t xml:space="preserve"> zákona</w:t>
      </w:r>
      <w:r w:rsidRPr="001A58D7" w:rsidR="001A58D7">
        <w:rPr>
          <w:rFonts w:ascii="Times New Roman" w:hAnsi="Times New Roman"/>
        </w:rPr>
        <w:t>), ktorý rozlišuje dve formy náhrady za vypratávaný byt, a to f</w:t>
      </w:r>
      <w:r w:rsidR="001A58D7">
        <w:rPr>
          <w:rFonts w:ascii="Times New Roman" w:hAnsi="Times New Roman"/>
        </w:rPr>
        <w:t>inančnú náhradu podľa § 5 ods. 7</w:t>
      </w:r>
      <w:r w:rsidRPr="001A58D7" w:rsidR="001A58D7">
        <w:rPr>
          <w:rFonts w:ascii="Times New Roman" w:hAnsi="Times New Roman"/>
        </w:rPr>
        <w:t xml:space="preserve"> a</w:t>
      </w:r>
      <w:r w:rsidR="001A58D7">
        <w:rPr>
          <w:rFonts w:ascii="Times New Roman" w:hAnsi="Times New Roman"/>
        </w:rPr>
        <w:t> bytovú náhradu podľa § 5 ods. 8</w:t>
      </w:r>
      <w:r w:rsidRPr="001A58D7" w:rsidR="001A58D7">
        <w:rPr>
          <w:rFonts w:ascii="Times New Roman" w:hAnsi="Times New Roman"/>
        </w:rPr>
        <w:t xml:space="preserve"> zákona</w:t>
      </w:r>
      <w:r w:rsidR="001A58D7">
        <w:rPr>
          <w:rFonts w:ascii="Times New Roman" w:hAnsi="Times New Roman"/>
          <w:i/>
        </w:rPr>
        <w:t>.</w:t>
      </w:r>
    </w:p>
    <w:p w:rsidR="00A12FA1" w:rsidP="004E4380">
      <w:pPr>
        <w:pStyle w:val="NormalWeb"/>
        <w:bidi w:val="0"/>
        <w:spacing w:before="0" w:after="0" w:line="276" w:lineRule="auto"/>
        <w:jc w:val="both"/>
        <w:rPr>
          <w:rFonts w:ascii="Times New Roman" w:hAnsi="Times New Roman"/>
          <w:b/>
        </w:rPr>
      </w:pPr>
    </w:p>
    <w:p w:rsidR="0014262D" w:rsidRPr="001A58D7" w:rsidP="0014262D">
      <w:pPr>
        <w:bidi w:val="0"/>
        <w:contextualSpacing/>
        <w:jc w:val="both"/>
        <w:rPr>
          <w:rFonts w:ascii="Times New Roman" w:hAnsi="Times New Roman"/>
          <w:u w:val="single"/>
        </w:rPr>
      </w:pPr>
      <w:r w:rsidRPr="001A58D7">
        <w:rPr>
          <w:rFonts w:ascii="Times New Roman" w:hAnsi="Times New Roman"/>
          <w:u w:val="single"/>
        </w:rPr>
        <w:t>K bod</w:t>
      </w:r>
      <w:r>
        <w:rPr>
          <w:rFonts w:ascii="Times New Roman" w:hAnsi="Times New Roman"/>
          <w:u w:val="single"/>
        </w:rPr>
        <w:t>om</w:t>
      </w:r>
      <w:r w:rsidRPr="001A58D7">
        <w:rPr>
          <w:rFonts w:ascii="Times New Roman" w:hAnsi="Times New Roman"/>
          <w:u w:val="single"/>
        </w:rPr>
        <w:t xml:space="preserve"> </w:t>
      </w:r>
      <w:r w:rsidR="00942BEF">
        <w:rPr>
          <w:rFonts w:ascii="Times New Roman" w:hAnsi="Times New Roman"/>
          <w:u w:val="single"/>
        </w:rPr>
        <w:t>13 a 14</w:t>
      </w:r>
    </w:p>
    <w:p w:rsidR="0014262D" w:rsidP="004E4380">
      <w:pPr>
        <w:pStyle w:val="NormalWeb"/>
        <w:bidi w:val="0"/>
        <w:spacing w:before="0" w:after="0" w:line="276" w:lineRule="auto"/>
        <w:jc w:val="both"/>
        <w:rPr>
          <w:rFonts w:ascii="Times New Roman" w:hAnsi="Times New Roman"/>
          <w:b/>
        </w:rPr>
      </w:pPr>
    </w:p>
    <w:p w:rsidR="0014262D" w:rsidRPr="0014262D" w:rsidP="0014262D">
      <w:pPr>
        <w:bidi w:val="0"/>
        <w:jc w:val="both"/>
        <w:rPr>
          <w:rFonts w:ascii="Times New Roman" w:hAnsi="Times New Roman"/>
        </w:rPr>
      </w:pPr>
      <w:r w:rsidRPr="0014262D">
        <w:rPr>
          <w:rFonts w:ascii="Times New Roman" w:hAnsi="Times New Roman"/>
        </w:rPr>
        <w:t>Špecifikácia formy náhrady za vypratávaný byt v predbežnej žiadosti, resp. k žiadosti je potrebná, keďže v súlade s § 5 ods. 1 vetou za bodkočiarkou možno nájomcovi a spoločne posudzovaným osobám poskytnúť za vypratávaný byt len jednu formu náhrady.</w:t>
      </w:r>
    </w:p>
    <w:p w:rsidR="0014262D" w:rsidP="004E4380">
      <w:pPr>
        <w:pStyle w:val="NormalWeb"/>
        <w:bidi w:val="0"/>
        <w:spacing w:before="0" w:after="0" w:line="276" w:lineRule="auto"/>
        <w:jc w:val="both"/>
        <w:rPr>
          <w:rFonts w:ascii="Times New Roman" w:hAnsi="Times New Roman"/>
          <w:b/>
        </w:rPr>
      </w:pPr>
    </w:p>
    <w:p w:rsidR="0014262D" w:rsidRPr="0014262D" w:rsidP="0014262D">
      <w:pPr>
        <w:bidi w:val="0"/>
        <w:jc w:val="both"/>
        <w:rPr>
          <w:rFonts w:ascii="Times New Roman" w:hAnsi="Times New Roman"/>
          <w:u w:val="single"/>
        </w:rPr>
      </w:pPr>
      <w:r w:rsidRPr="0014262D">
        <w:rPr>
          <w:rFonts w:ascii="Times New Roman" w:hAnsi="Times New Roman"/>
          <w:u w:val="single"/>
        </w:rPr>
        <w:t>K bodom 1</w:t>
      </w:r>
      <w:r w:rsidR="00942BEF">
        <w:rPr>
          <w:rFonts w:ascii="Times New Roman" w:hAnsi="Times New Roman"/>
          <w:u w:val="single"/>
        </w:rPr>
        <w:t>5</w:t>
      </w:r>
      <w:r w:rsidRPr="0014262D">
        <w:rPr>
          <w:rFonts w:ascii="Times New Roman" w:hAnsi="Times New Roman"/>
          <w:u w:val="single"/>
        </w:rPr>
        <w:t>, 1</w:t>
      </w:r>
      <w:r w:rsidR="00942BEF">
        <w:rPr>
          <w:rFonts w:ascii="Times New Roman" w:hAnsi="Times New Roman"/>
          <w:u w:val="single"/>
        </w:rPr>
        <w:t>7 až 19</w:t>
      </w:r>
      <w:r w:rsidRPr="0014262D">
        <w:rPr>
          <w:rFonts w:ascii="Times New Roman" w:hAnsi="Times New Roman"/>
          <w:u w:val="single"/>
        </w:rPr>
        <w:t xml:space="preserve"> a </w:t>
      </w:r>
      <w:r>
        <w:rPr>
          <w:rFonts w:ascii="Times New Roman" w:hAnsi="Times New Roman"/>
          <w:u w:val="single"/>
        </w:rPr>
        <w:t>2</w:t>
      </w:r>
      <w:r w:rsidR="00942BEF">
        <w:rPr>
          <w:rFonts w:ascii="Times New Roman" w:hAnsi="Times New Roman"/>
          <w:u w:val="single"/>
        </w:rPr>
        <w:t>6 až 31</w:t>
      </w:r>
    </w:p>
    <w:p w:rsidR="0014262D" w:rsidRPr="0014262D" w:rsidP="0014262D">
      <w:pPr>
        <w:bidi w:val="0"/>
        <w:jc w:val="both"/>
        <w:rPr>
          <w:rFonts w:ascii="Times New Roman" w:hAnsi="Times New Roman"/>
        </w:rPr>
      </w:pPr>
    </w:p>
    <w:p w:rsidR="0014262D" w:rsidRPr="0014262D" w:rsidP="0014262D">
      <w:pPr>
        <w:bidi w:val="0"/>
        <w:jc w:val="both"/>
        <w:rPr>
          <w:rFonts w:ascii="Times New Roman" w:hAnsi="Times New Roman"/>
        </w:rPr>
      </w:pPr>
      <w:r w:rsidRPr="0014262D">
        <w:rPr>
          <w:rFonts w:ascii="Times New Roman" w:hAnsi="Times New Roman"/>
        </w:rPr>
        <w:t xml:space="preserve">Ide o terminologické zosúladenie pojmov v zákone s prihliadnutím na všeobecný pojem „náhrada za vypratávaný byt“, ktorá môže mať dve formy, a to formu finančnej náhrady alebo formu bytovej náhrady. Keďže doterajší zákon pozná len formu bytovej náhrady, čo sa týmto návrhom </w:t>
      </w:r>
      <w:r w:rsidR="000260C3">
        <w:rPr>
          <w:rFonts w:ascii="Times New Roman" w:hAnsi="Times New Roman"/>
        </w:rPr>
        <w:t xml:space="preserve">zákona </w:t>
      </w:r>
      <w:r w:rsidRPr="0014262D">
        <w:rPr>
          <w:rFonts w:ascii="Times New Roman" w:hAnsi="Times New Roman"/>
        </w:rPr>
        <w:t>mení a dopĺňa, bolo potrebné zosúladiť aj terminológiu zákona v súlade so zavedenými novými pojmami.</w:t>
      </w:r>
    </w:p>
    <w:p w:rsidR="0014262D" w:rsidP="004E4380">
      <w:pPr>
        <w:pStyle w:val="NormalWeb"/>
        <w:bidi w:val="0"/>
        <w:spacing w:before="0" w:after="0" w:line="276" w:lineRule="auto"/>
        <w:jc w:val="both"/>
        <w:rPr>
          <w:rFonts w:ascii="Times New Roman" w:hAnsi="Times New Roman"/>
          <w:b/>
        </w:rPr>
      </w:pPr>
    </w:p>
    <w:p w:rsidR="0079308A" w:rsidRPr="0079308A" w:rsidP="0079308A">
      <w:pPr>
        <w:bidi w:val="0"/>
        <w:jc w:val="both"/>
        <w:rPr>
          <w:rFonts w:ascii="Times New Roman" w:hAnsi="Times New Roman"/>
          <w:u w:val="single"/>
        </w:rPr>
      </w:pPr>
      <w:r w:rsidRPr="0079308A">
        <w:rPr>
          <w:rFonts w:ascii="Times New Roman" w:hAnsi="Times New Roman"/>
          <w:u w:val="single"/>
        </w:rPr>
        <w:t xml:space="preserve">K bodu </w:t>
      </w:r>
      <w:r w:rsidR="00942BEF">
        <w:rPr>
          <w:rFonts w:ascii="Times New Roman" w:hAnsi="Times New Roman"/>
          <w:u w:val="single"/>
        </w:rPr>
        <w:t>16</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Zavedením novej formy náhrady za vypratávaný byt (finančná náhrada) sa javí vhodným najmä z hľadiska transparentnosti zavedenie oddelených zoznamov žiadateľov pre jednotlivé formy náhrady za vypratávaný byt. Okrem toho sa obci ponecháva aj povinnosť viesť zoznam žiadateľov o bytovú náhradu oddelene aj pre každý z náhradných nájomných bytov.</w:t>
      </w:r>
    </w:p>
    <w:p w:rsidR="0079308A" w:rsidRPr="0079308A" w:rsidP="0079308A">
      <w:pPr>
        <w:bidi w:val="0"/>
        <w:jc w:val="both"/>
        <w:rPr>
          <w:rFonts w:ascii="Times New Roman" w:hAnsi="Times New Roman"/>
        </w:rPr>
      </w:pPr>
    </w:p>
    <w:p w:rsidR="0079308A" w:rsidP="0079308A">
      <w:pPr>
        <w:bidi w:val="0"/>
        <w:jc w:val="both"/>
        <w:rPr>
          <w:rFonts w:ascii="Times New Roman" w:hAnsi="Times New Roman"/>
          <w:u w:val="single"/>
        </w:rPr>
      </w:pPr>
      <w:r w:rsidRPr="0079308A">
        <w:rPr>
          <w:rFonts w:ascii="Times New Roman" w:hAnsi="Times New Roman"/>
          <w:u w:val="single"/>
        </w:rPr>
        <w:t xml:space="preserve">K bodu </w:t>
      </w:r>
      <w:r w:rsidR="00942BEF">
        <w:rPr>
          <w:rFonts w:ascii="Times New Roman" w:hAnsi="Times New Roman"/>
          <w:u w:val="single"/>
        </w:rPr>
        <w:t>20</w:t>
      </w:r>
    </w:p>
    <w:p w:rsidR="00E34FDC" w:rsidP="0079308A">
      <w:pPr>
        <w:bidi w:val="0"/>
        <w:jc w:val="both"/>
        <w:rPr>
          <w:rFonts w:ascii="Times New Roman" w:hAnsi="Times New Roman"/>
          <w:u w:val="single"/>
        </w:rPr>
      </w:pPr>
    </w:p>
    <w:p w:rsidR="00E34FDC" w:rsidP="0079308A">
      <w:pPr>
        <w:bidi w:val="0"/>
        <w:jc w:val="both"/>
        <w:rPr>
          <w:rFonts w:ascii="Times New Roman" w:hAnsi="Times New Roman"/>
        </w:rPr>
      </w:pPr>
      <w:r w:rsidRPr="0079308A">
        <w:rPr>
          <w:rFonts w:ascii="Times New Roman" w:hAnsi="Times New Roman"/>
        </w:rPr>
        <w:t>Ide o legislatívno-technickú úpravu bezprostredne súvisiacu</w:t>
      </w:r>
      <w:r>
        <w:rPr>
          <w:rFonts w:ascii="Times New Roman" w:hAnsi="Times New Roman"/>
        </w:rPr>
        <w:t xml:space="preserve"> s novým znení § 5 </w:t>
      </w:r>
      <w:r w:rsidR="000260C3">
        <w:rPr>
          <w:rFonts w:ascii="Times New Roman" w:hAnsi="Times New Roman"/>
        </w:rPr>
        <w:t xml:space="preserve">návrhu </w:t>
      </w:r>
      <w:r>
        <w:rPr>
          <w:rFonts w:ascii="Times New Roman" w:hAnsi="Times New Roman"/>
        </w:rPr>
        <w:t>zákona.</w:t>
      </w:r>
    </w:p>
    <w:p w:rsidR="00E34FDC" w:rsidRPr="00E34FDC" w:rsidP="0079308A">
      <w:pPr>
        <w:bidi w:val="0"/>
        <w:jc w:val="both"/>
        <w:rPr>
          <w:rFonts w:ascii="Times New Roman" w:hAnsi="Times New Roman"/>
        </w:rPr>
      </w:pPr>
    </w:p>
    <w:p w:rsidR="00942BEF" w:rsidP="0079308A">
      <w:pPr>
        <w:bidi w:val="0"/>
        <w:jc w:val="both"/>
        <w:rPr>
          <w:rFonts w:ascii="Times New Roman" w:hAnsi="Times New Roman"/>
          <w:u w:val="single"/>
        </w:rPr>
      </w:pPr>
    </w:p>
    <w:p w:rsidR="00942BEF" w:rsidP="0079308A">
      <w:pPr>
        <w:bidi w:val="0"/>
        <w:jc w:val="both"/>
        <w:rPr>
          <w:rFonts w:ascii="Times New Roman" w:hAnsi="Times New Roman"/>
          <w:u w:val="single"/>
        </w:rPr>
      </w:pPr>
      <w:r w:rsidRPr="0079308A">
        <w:rPr>
          <w:rFonts w:ascii="Times New Roman" w:hAnsi="Times New Roman"/>
          <w:u w:val="single"/>
        </w:rPr>
        <w:t xml:space="preserve">K bodu </w:t>
      </w:r>
      <w:r>
        <w:rPr>
          <w:rFonts w:ascii="Times New Roman" w:hAnsi="Times New Roman"/>
          <w:u w:val="single"/>
        </w:rPr>
        <w:t>21</w:t>
      </w:r>
    </w:p>
    <w:p w:rsidR="00942BEF" w:rsidP="0079308A">
      <w:pPr>
        <w:bidi w:val="0"/>
        <w:jc w:val="both"/>
        <w:rPr>
          <w:rFonts w:ascii="Times New Roman" w:hAnsi="Times New Roman"/>
          <w:u w:val="single"/>
        </w:rPr>
      </w:pPr>
    </w:p>
    <w:p w:rsidR="00942BEF" w:rsidRPr="00942BEF" w:rsidP="0079308A">
      <w:pPr>
        <w:bidi w:val="0"/>
        <w:jc w:val="both"/>
        <w:rPr>
          <w:rFonts w:ascii="Times New Roman" w:hAnsi="Times New Roman"/>
        </w:rPr>
      </w:pPr>
      <w:r>
        <w:rPr>
          <w:rFonts w:ascii="Times New Roman" w:hAnsi="Times New Roman"/>
        </w:rPr>
        <w:t>Rovnako, ako v prípade, ak sa dodatočne zistí, že žiadateľovi bola poskytnutá bytová náhrada neoprávnene, čo sa s konečnou platnosťou konštatuje v právoplatnom rozhodnutí obce o zániku nároku na bytovú náhradu a takáto osoba je povinná podľa § 10 ods. 3 vypratať byt, návrh zákona zavádza túto povinnosť aj v prípade finančnej náhrady, ktorú je takáto osoba povinná vrátiť, ak sa dodatočne zistí, že bola poskytnutá neoprávnene podľa § 10 ods. 1.</w:t>
      </w:r>
    </w:p>
    <w:p w:rsidR="00942BEF" w:rsidP="0079308A">
      <w:pPr>
        <w:bidi w:val="0"/>
        <w:jc w:val="both"/>
        <w:rPr>
          <w:rFonts w:ascii="Times New Roman" w:hAnsi="Times New Roman"/>
          <w:u w:val="single"/>
        </w:rPr>
      </w:pPr>
    </w:p>
    <w:p w:rsidR="00E34FDC" w:rsidRPr="0079308A" w:rsidP="0079308A">
      <w:pPr>
        <w:bidi w:val="0"/>
        <w:jc w:val="both"/>
        <w:rPr>
          <w:rFonts w:ascii="Times New Roman" w:hAnsi="Times New Roman"/>
          <w:u w:val="single"/>
        </w:rPr>
      </w:pPr>
      <w:r w:rsidR="00942BEF">
        <w:rPr>
          <w:rFonts w:ascii="Times New Roman" w:hAnsi="Times New Roman"/>
          <w:u w:val="single"/>
        </w:rPr>
        <w:t>K bodu 22</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Navrhovaná úprava reaguje vytvára právne podmienky pre súčinnosť katastra nehnuteľností pri skúmaní a preverovaní údajov o vlastníctve vypratávaného bytu.</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u w:val="single"/>
        </w:rPr>
      </w:pPr>
      <w:r w:rsidRPr="0079308A">
        <w:rPr>
          <w:rFonts w:ascii="Times New Roman" w:hAnsi="Times New Roman"/>
          <w:u w:val="single"/>
        </w:rPr>
        <w:t xml:space="preserve">K bodom </w:t>
      </w:r>
      <w:r w:rsidR="00FD73AB">
        <w:rPr>
          <w:rFonts w:ascii="Times New Roman" w:hAnsi="Times New Roman"/>
          <w:u w:val="single"/>
        </w:rPr>
        <w:t xml:space="preserve">23, </w:t>
      </w:r>
      <w:r w:rsidR="00942BEF">
        <w:rPr>
          <w:rFonts w:ascii="Times New Roman" w:hAnsi="Times New Roman"/>
          <w:u w:val="single"/>
        </w:rPr>
        <w:t>24</w:t>
      </w:r>
      <w:r w:rsidRPr="0079308A">
        <w:rPr>
          <w:rFonts w:ascii="Times New Roman" w:hAnsi="Times New Roman"/>
          <w:u w:val="single"/>
        </w:rPr>
        <w:t xml:space="preserve"> a </w:t>
      </w:r>
      <w:r w:rsidR="00942BEF">
        <w:rPr>
          <w:rFonts w:ascii="Times New Roman" w:hAnsi="Times New Roman"/>
          <w:u w:val="single"/>
        </w:rPr>
        <w:t>32</w:t>
      </w:r>
    </w:p>
    <w:p w:rsidR="0079308A" w:rsidRPr="0079308A" w:rsidP="0079308A">
      <w:pPr>
        <w:bidi w:val="0"/>
        <w:jc w:val="both"/>
        <w:rPr>
          <w:rFonts w:ascii="Times New Roman" w:hAnsi="Times New Roman"/>
          <w:highlight w:val="yellow"/>
          <w:u w:val="single"/>
        </w:rPr>
      </w:pPr>
    </w:p>
    <w:p w:rsidR="0079308A" w:rsidRPr="0079308A" w:rsidP="0079308A">
      <w:pPr>
        <w:bidi w:val="0"/>
        <w:jc w:val="both"/>
        <w:rPr>
          <w:rFonts w:ascii="Times New Roman" w:hAnsi="Times New Roman"/>
        </w:rPr>
      </w:pPr>
      <w:r w:rsidRPr="0079308A">
        <w:rPr>
          <w:rFonts w:ascii="Times New Roman" w:hAnsi="Times New Roman"/>
        </w:rPr>
        <w:t>Na to, aby obec mohla finančne zvládnuť bremeno vyplácania bytových náhrad jej zákon v      § 11 ods. 3 priznáva oprávnenie žiadať od štátu dotácie na obstaranie náhradných nájomných bytov, obstaranie pozemkov a súvisiacej technickej vybavenosti.</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Rozsah a podmienky poskytovania týchto dotácií upravuje osobitný predpis, ktorým je zákon č. 261/2011 Z. z. o poskytovaní dotácií na obstaranie náhradných nájomných bytov.</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Keďže platný zákon pozná len bytovú náhradu, aj vyššie uvedený zákon o dotáciách upravuje len poskytovanie dotácií na obstaranie nájomných bytov, t.j. bytových náhrad. Vzhľadom na to, že návrh</w:t>
      </w:r>
      <w:r w:rsidR="00C1595D">
        <w:rPr>
          <w:rFonts w:ascii="Times New Roman" w:hAnsi="Times New Roman"/>
        </w:rPr>
        <w:t xml:space="preserve"> zákona</w:t>
      </w:r>
      <w:r w:rsidRPr="0079308A">
        <w:rPr>
          <w:rFonts w:ascii="Times New Roman" w:hAnsi="Times New Roman"/>
        </w:rPr>
        <w:t xml:space="preserve"> zavádza novú formu náhrady za vypratávaný byt, ktorou je finančná náhrada, bude potrebné prijať osobitný zákon upravujúci podmienky a rozsah poskytovania dotácií obciam zo strany štátu aj na úhradu finančných náhrad. </w:t>
      </w:r>
    </w:p>
    <w:p w:rsidR="0079308A" w:rsidRPr="0079308A" w:rsidP="0079308A">
      <w:pPr>
        <w:bidi w:val="0"/>
        <w:jc w:val="both"/>
        <w:rPr>
          <w:rFonts w:ascii="Times New Roman" w:hAnsi="Times New Roman"/>
        </w:rPr>
      </w:pPr>
    </w:p>
    <w:p w:rsidR="0079308A" w:rsidP="0079308A">
      <w:pPr>
        <w:bidi w:val="0"/>
        <w:jc w:val="both"/>
        <w:rPr>
          <w:rFonts w:ascii="Times New Roman" w:hAnsi="Times New Roman"/>
        </w:rPr>
      </w:pPr>
      <w:r w:rsidRPr="0079308A">
        <w:rPr>
          <w:rFonts w:ascii="Times New Roman" w:hAnsi="Times New Roman"/>
        </w:rPr>
        <w:t>Táto otázka má zásadný význam, keďže viac ako 80% súčasných nájomcov bytov, ktorých sa tieto zákony týkajú, uprednostňuje finančnú náhradu pred bytovou náhradou. Bez prijatia takéhoto osobitného dotačného zákona nebude možné realizovať ani príslušné ustanovenia zákona č. 260/2011 Z. z. v znení tohto návrhu</w:t>
      </w:r>
      <w:r w:rsidR="00C1595D">
        <w:rPr>
          <w:rFonts w:ascii="Times New Roman" w:hAnsi="Times New Roman"/>
        </w:rPr>
        <w:t xml:space="preserve"> zákona</w:t>
      </w:r>
      <w:r w:rsidRPr="0079308A">
        <w:rPr>
          <w:rFonts w:ascii="Times New Roman" w:hAnsi="Times New Roman"/>
        </w:rPr>
        <w:t>, ktorý obciam síce priznáva oprávnenie získať od štátu dotácie aj na poskytovanie finančných náhrad, podmienky a rozsah poskytovania takýchto dotácií však musí upraviť práve osobitný predpis, ktorý ešte nie je prijatý a na ktorý odkazuje § 11 ods. 3 zákona v znení tohto návrhu</w:t>
      </w:r>
      <w:r w:rsidR="00C1595D">
        <w:rPr>
          <w:rFonts w:ascii="Times New Roman" w:hAnsi="Times New Roman"/>
        </w:rPr>
        <w:t xml:space="preserve"> zákona.</w:t>
      </w:r>
    </w:p>
    <w:p w:rsidR="00FD73AB" w:rsidP="0079308A">
      <w:pPr>
        <w:bidi w:val="0"/>
        <w:jc w:val="both"/>
        <w:rPr>
          <w:rFonts w:ascii="Times New Roman" w:hAnsi="Times New Roman"/>
        </w:rPr>
      </w:pPr>
    </w:p>
    <w:p w:rsidR="00FD73AB" w:rsidP="0079308A">
      <w:pPr>
        <w:bidi w:val="0"/>
        <w:jc w:val="both"/>
        <w:rPr>
          <w:rFonts w:ascii="Times New Roman" w:hAnsi="Times New Roman"/>
          <w:u w:val="single"/>
        </w:rPr>
      </w:pPr>
      <w:r w:rsidRPr="00FD73AB">
        <w:rPr>
          <w:rFonts w:ascii="Times New Roman" w:hAnsi="Times New Roman"/>
          <w:u w:val="single"/>
        </w:rPr>
        <w:t>K bodu 25</w:t>
      </w:r>
    </w:p>
    <w:p w:rsidR="00FD73AB" w:rsidP="0079308A">
      <w:pPr>
        <w:bidi w:val="0"/>
        <w:jc w:val="both"/>
        <w:rPr>
          <w:rFonts w:ascii="Times New Roman" w:hAnsi="Times New Roman"/>
          <w:u w:val="single"/>
        </w:rPr>
      </w:pPr>
    </w:p>
    <w:p w:rsidR="00FD73AB" w:rsidRPr="00FD73AB" w:rsidP="0079308A">
      <w:pPr>
        <w:bidi w:val="0"/>
        <w:jc w:val="both"/>
        <w:rPr>
          <w:rFonts w:ascii="Times New Roman" w:hAnsi="Times New Roman"/>
        </w:rPr>
      </w:pPr>
      <w:r>
        <w:rPr>
          <w:rFonts w:ascii="Times New Roman" w:hAnsi="Times New Roman"/>
        </w:rPr>
        <w:t>Keďže finančná náhrada nie je podmienená výstavbou nových bytov, termín 31. december 2016 sa v prípade tejto formy náhrady za vypratávaný byt javí ako príliš dlhý. Navrhovaný termín 31. 12. 2014 sa javí ako vhodnejší najmä z dôvodu čo najskoršieho vyriešenia problému nájomcov a vzhľadom na existenciu finančných prostriedkov vyčlenených na tento účel aj ako reálny.</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u w:val="single"/>
        </w:rPr>
      </w:pPr>
      <w:r w:rsidR="00942BEF">
        <w:rPr>
          <w:rFonts w:ascii="Times New Roman" w:hAnsi="Times New Roman"/>
          <w:u w:val="single"/>
        </w:rPr>
        <w:t>K bodu 33</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V zmysle § 12 je obec povinná poskytnúť bytovú náhradu žiadateľovi do 31. decembra 2016 okrem špecifických prípadov uvedených v odsekoch 2 a 3 tohto ustanovenia. Ak v tejto lehote obec neposkytne náhradu, oproti doterajšej právnej úprave sa navrhuje ustanoviť povinnosť obce zaplatiť prenajímateľovi sumu rovnajúcu sa polovici sumy mesačného nájomného podľa § 4 ods. 1 až do poskytnutia náhrady (doterajšia právna úprava ustanovovala nárok prenajímateľa vo výške rozdielu trhového mesačného nájomného a regulovaného mesačného nájomného). Takto upravená výška „sankcie“ pre obec, popri príjmoch prenajímateľa z plateného nájmu od nájomcu, vytvára priestor pre primeranosť príjmu z nájmu pre prenajímateľa, a to aj s kalkuláciou primeraného zisku vzhľadom na ustanovené každoročné  zvyšovanie nájomného a na druhej strane vytvára aj priestor pre „prežitie“ nájomcov, ktorých regulované nájomné sa v rokoch 2011 až 2015 zvýši v zmysle § 4 ods. 1 platného zákona až o 100 %, čo v prípade, ak by obec nebola schopná zabezpečiť bytovú náhradu ani do zákonom stanoveného termínu, znamená podľa doterajšej schémy výpočtu „sankcie“ skutočne neúnosné bremeno pre nájomcov.</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u w:val="single"/>
        </w:rPr>
      </w:pPr>
      <w:r w:rsidR="00942BEF">
        <w:rPr>
          <w:rFonts w:ascii="Times New Roman" w:hAnsi="Times New Roman"/>
          <w:u w:val="single"/>
        </w:rPr>
        <w:t>K bodu 34</w:t>
      </w:r>
    </w:p>
    <w:p w:rsidR="0079308A" w:rsidRPr="0079308A" w:rsidP="0079308A">
      <w:pPr>
        <w:bidi w:val="0"/>
        <w:jc w:val="both"/>
        <w:rPr>
          <w:rFonts w:ascii="Times New Roman" w:hAnsi="Times New Roman"/>
        </w:rPr>
      </w:pPr>
    </w:p>
    <w:p w:rsidR="0079308A" w:rsidRPr="0079308A" w:rsidP="0079308A">
      <w:pPr>
        <w:bidi w:val="0"/>
        <w:jc w:val="both"/>
        <w:rPr>
          <w:rFonts w:ascii="Times New Roman" w:hAnsi="Times New Roman"/>
        </w:rPr>
      </w:pPr>
      <w:r w:rsidRPr="0079308A">
        <w:rPr>
          <w:rFonts w:ascii="Times New Roman" w:hAnsi="Times New Roman"/>
        </w:rPr>
        <w:t xml:space="preserve">Z dôvodu zavedenia novej formy náhrady za vypratávaný byt je potrebné priamo v zákone upraviť aj náležitosti zmluvy, ktorú obec uzatvorí s nájomcom v prípade poskytnutia finančnej náhrady. Náležitosti takejto zmluvy vykazujú niektoré osobitosti a preto ju nie je možné podriadiť režimu nájomnej zmluvy podľa § 13 platného zákona. </w:t>
      </w:r>
      <w:r w:rsidR="00AB6AE5">
        <w:rPr>
          <w:rFonts w:ascii="Times New Roman" w:hAnsi="Times New Roman"/>
        </w:rPr>
        <w:t>Návrhom zákona</w:t>
      </w:r>
      <w:r w:rsidRPr="0079308A">
        <w:rPr>
          <w:rFonts w:ascii="Times New Roman" w:hAnsi="Times New Roman"/>
        </w:rPr>
        <w:t xml:space="preserve"> sa ustanovuje len demonštratívny výpočet náležitostí, ktoré má zmluva obsahovať, čo umožňuje každej obci prispôsobiť si jednotlivé ustanovenia zmluvy o poskytnutí finančnej náhrady tak, ako je potrebné vzhľadom na miestne špecifiká a špecifiká daného prípadu.</w:t>
      </w:r>
    </w:p>
    <w:p w:rsidR="0079308A" w:rsidRPr="0079308A" w:rsidP="0079308A">
      <w:pPr>
        <w:bidi w:val="0"/>
        <w:jc w:val="both"/>
        <w:rPr>
          <w:rFonts w:ascii="Times New Roman" w:hAnsi="Times New Roman"/>
        </w:rPr>
      </w:pPr>
    </w:p>
    <w:p w:rsidR="00AB6AE5" w:rsidRPr="0079308A" w:rsidP="00AB6AE5">
      <w:pPr>
        <w:bidi w:val="0"/>
        <w:jc w:val="both"/>
        <w:rPr>
          <w:rFonts w:ascii="Times New Roman" w:hAnsi="Times New Roman"/>
          <w:u w:val="single"/>
        </w:rPr>
      </w:pPr>
      <w:r w:rsidR="00942BEF">
        <w:rPr>
          <w:rFonts w:ascii="Times New Roman" w:hAnsi="Times New Roman"/>
          <w:u w:val="single"/>
        </w:rPr>
        <w:t>K bodu 35 a 37</w:t>
      </w:r>
    </w:p>
    <w:p w:rsidR="00AB6AE5" w:rsidRPr="0079308A" w:rsidP="00AB6AE5">
      <w:pPr>
        <w:bidi w:val="0"/>
        <w:jc w:val="both"/>
        <w:rPr>
          <w:rFonts w:ascii="Times New Roman" w:hAnsi="Times New Roman"/>
        </w:rPr>
      </w:pPr>
    </w:p>
    <w:p w:rsidR="00AB6AE5" w:rsidP="00AB6AE5">
      <w:pPr>
        <w:bidi w:val="0"/>
        <w:jc w:val="both"/>
        <w:rPr>
          <w:rFonts w:ascii="Times New Roman" w:hAnsi="Times New Roman"/>
        </w:rPr>
      </w:pPr>
      <w:r w:rsidRPr="0079308A">
        <w:rPr>
          <w:rFonts w:ascii="Times New Roman" w:hAnsi="Times New Roman"/>
        </w:rPr>
        <w:t>Ide o legislatívno-technickú úpravu bezprostredne súvisiacu</w:t>
      </w:r>
      <w:r>
        <w:rPr>
          <w:rFonts w:ascii="Times New Roman" w:hAnsi="Times New Roman"/>
        </w:rPr>
        <w:t xml:space="preserve"> s novým znení § 5 zákona (bod 4</w:t>
      </w:r>
      <w:r w:rsidRPr="0079308A">
        <w:rPr>
          <w:rFonts w:ascii="Times New Roman" w:hAnsi="Times New Roman"/>
        </w:rPr>
        <w:t xml:space="preserve"> </w:t>
      </w:r>
      <w:r w:rsidR="00BC3C26">
        <w:rPr>
          <w:rFonts w:ascii="Times New Roman" w:hAnsi="Times New Roman"/>
        </w:rPr>
        <w:t>tohto návrhu zákona</w:t>
      </w:r>
      <w:r w:rsidRPr="0079308A">
        <w:rPr>
          <w:rFonts w:ascii="Times New Roman" w:hAnsi="Times New Roman"/>
        </w:rPr>
        <w:t>).</w:t>
      </w:r>
    </w:p>
    <w:p w:rsidR="00AB6AE5" w:rsidP="0079308A">
      <w:pPr>
        <w:bidi w:val="0"/>
        <w:jc w:val="both"/>
        <w:rPr>
          <w:rFonts w:ascii="Times New Roman" w:hAnsi="Times New Roman"/>
          <w:u w:val="single"/>
        </w:rPr>
      </w:pPr>
    </w:p>
    <w:p w:rsidR="0079308A" w:rsidRPr="0079308A" w:rsidP="0079308A">
      <w:pPr>
        <w:bidi w:val="0"/>
        <w:jc w:val="both"/>
        <w:rPr>
          <w:rFonts w:ascii="Times New Roman" w:hAnsi="Times New Roman"/>
          <w:u w:val="single"/>
        </w:rPr>
      </w:pPr>
      <w:r w:rsidR="00942BEF">
        <w:rPr>
          <w:rFonts w:ascii="Times New Roman" w:hAnsi="Times New Roman"/>
          <w:u w:val="single"/>
        </w:rPr>
        <w:t>K bodu 36</w:t>
      </w:r>
    </w:p>
    <w:p w:rsidR="0079308A" w:rsidRPr="0079308A" w:rsidP="0079308A">
      <w:pPr>
        <w:bidi w:val="0"/>
        <w:jc w:val="both"/>
        <w:rPr>
          <w:rFonts w:ascii="Times New Roman" w:hAnsi="Times New Roman"/>
        </w:rPr>
      </w:pPr>
    </w:p>
    <w:p w:rsidR="0079308A" w:rsidP="0079308A">
      <w:pPr>
        <w:bidi w:val="0"/>
        <w:jc w:val="both"/>
        <w:rPr>
          <w:rFonts w:ascii="Times New Roman" w:hAnsi="Times New Roman"/>
        </w:rPr>
      </w:pPr>
      <w:r w:rsidRPr="0079308A">
        <w:rPr>
          <w:rFonts w:ascii="Times New Roman" w:hAnsi="Times New Roman"/>
        </w:rPr>
        <w:t>Podobný charakter, ako má ustanovenie § 16 zákona Národnej rady Slovenskej republiky č. 182/1993 Z. z. o vlastníctve bytov a nebytových priestorov v znení neskorších predpisov upravujúce osobitné ustanovenia súvisiace s prevodom bytu alebo nebytového priestoru vrátane predkupného práva, má tiež ustanovenie § 29a tohto zákona, ktoré upravuje povinnosť obce uzatvoriť zmluvu s nájomcom o prevode vlastníctva bytu do dvoch rokov od podania jeho žiadosti o takýto prevod za predpokladu, že v bytovom dome požiadalo o to isté viac ako 50% nájomcov bytov. Je preto namieste, aby odkaz na uvedený zákon týkajúci sa predkupného práva uvádzal nielen odkaz na § 16, ale aj odkaz na § 29a ako ďalšie relevantné ustanovenie zákona.</w:t>
      </w:r>
    </w:p>
    <w:p w:rsidR="00942BEF" w:rsidP="0079308A">
      <w:pPr>
        <w:bidi w:val="0"/>
        <w:jc w:val="both"/>
        <w:rPr>
          <w:rFonts w:ascii="Times New Roman" w:hAnsi="Times New Roman"/>
        </w:rPr>
      </w:pPr>
    </w:p>
    <w:p w:rsidR="00942BEF" w:rsidRPr="001A58D7" w:rsidP="00942BEF">
      <w:pPr>
        <w:bidi w:val="0"/>
        <w:contextualSpacing/>
        <w:jc w:val="both"/>
        <w:rPr>
          <w:rFonts w:ascii="Times New Roman" w:hAnsi="Times New Roman"/>
          <w:u w:val="single"/>
        </w:rPr>
      </w:pPr>
      <w:r w:rsidRPr="001A58D7">
        <w:rPr>
          <w:rFonts w:ascii="Times New Roman" w:hAnsi="Times New Roman"/>
          <w:u w:val="single"/>
        </w:rPr>
        <w:t xml:space="preserve">K bodu </w:t>
      </w:r>
      <w:r>
        <w:rPr>
          <w:rFonts w:ascii="Times New Roman" w:hAnsi="Times New Roman"/>
          <w:u w:val="single"/>
        </w:rPr>
        <w:t>38</w:t>
      </w:r>
    </w:p>
    <w:p w:rsidR="00942BEF" w:rsidP="00942BEF">
      <w:pPr>
        <w:pStyle w:val="NormalWeb"/>
        <w:bidi w:val="0"/>
        <w:spacing w:before="0" w:after="0" w:line="276" w:lineRule="auto"/>
        <w:jc w:val="both"/>
        <w:rPr>
          <w:rFonts w:ascii="Times New Roman" w:hAnsi="Times New Roman"/>
          <w:b/>
        </w:rPr>
      </w:pPr>
    </w:p>
    <w:p w:rsidR="00942BEF" w:rsidRPr="00A12FA1" w:rsidP="00942BEF">
      <w:pPr>
        <w:bidi w:val="0"/>
        <w:jc w:val="both"/>
        <w:rPr>
          <w:rFonts w:ascii="Times New Roman" w:hAnsi="Times New Roman"/>
        </w:rPr>
      </w:pPr>
      <w:r w:rsidRPr="00A12FA1">
        <w:rPr>
          <w:rFonts w:ascii="Times New Roman" w:hAnsi="Times New Roman"/>
        </w:rPr>
        <w:t xml:space="preserve">Javí sa ako spravodlivé, aby tí nájomcovia, ktorí nemali možnosť požiadať o finančnú náhradu za vypratávaný bod, hoci takýchto nájomcov je prevažná väčšina (odhaduje sa na viac ako 80% všetkých dotknutých nájomcov), mohli podať novú žiadosť, ak uprednostňujú takúto formu </w:t>
      </w:r>
      <w:r w:rsidRPr="00942BEF">
        <w:rPr>
          <w:rFonts w:ascii="Times New Roman" w:hAnsi="Times New Roman"/>
        </w:rPr>
        <w:t>náhrady pred bytovou náhradou</w:t>
      </w:r>
      <w:r w:rsidRPr="00A12FA1">
        <w:rPr>
          <w:rFonts w:ascii="Times New Roman" w:hAnsi="Times New Roman"/>
        </w:rPr>
        <w:t xml:space="preserve">. Keďže nájomcovi môže byť priznaná len jedna forma náhrady za vypratávaný byt, je náležité, aby nájomca stiahol svoju pôvodnú žiadosť o bytovú náhradu s cieľom zamedziť duplicite žiadostí, resp. predbežných žiadostí a znížiť administratívnu záťaž obcí posudzujúcich žiadosť (resp. súdov v sporných prípadoch). Uvedený mechanizmus upravuje </w:t>
      </w:r>
      <w:r>
        <w:rPr>
          <w:rFonts w:ascii="Times New Roman" w:hAnsi="Times New Roman"/>
        </w:rPr>
        <w:t xml:space="preserve">§ 7 </w:t>
      </w:r>
      <w:r w:rsidRPr="00A12FA1">
        <w:rPr>
          <w:rFonts w:ascii="Times New Roman" w:hAnsi="Times New Roman"/>
        </w:rPr>
        <w:t xml:space="preserve">odsek 2 </w:t>
      </w:r>
      <w:r>
        <w:rPr>
          <w:rFonts w:ascii="Times New Roman" w:hAnsi="Times New Roman"/>
        </w:rPr>
        <w:t>t</w:t>
      </w:r>
      <w:r w:rsidRPr="00A12FA1">
        <w:rPr>
          <w:rFonts w:ascii="Times New Roman" w:hAnsi="Times New Roman"/>
        </w:rPr>
        <w:t>ohto návrhu</w:t>
      </w:r>
      <w:r>
        <w:rPr>
          <w:rFonts w:ascii="Times New Roman" w:hAnsi="Times New Roman"/>
        </w:rPr>
        <w:t xml:space="preserve"> zákona</w:t>
      </w:r>
      <w:r w:rsidRPr="00A12FA1">
        <w:rPr>
          <w:rFonts w:ascii="Times New Roman" w:hAnsi="Times New Roman"/>
        </w:rPr>
        <w:t>.</w:t>
      </w:r>
    </w:p>
    <w:p w:rsidR="00942BEF" w:rsidRPr="00A12FA1" w:rsidP="00942BEF">
      <w:pPr>
        <w:bidi w:val="0"/>
        <w:jc w:val="both"/>
        <w:rPr>
          <w:rFonts w:ascii="Times New Roman" w:hAnsi="Times New Roman"/>
        </w:rPr>
      </w:pPr>
    </w:p>
    <w:p w:rsidR="00942BEF" w:rsidRPr="00A12FA1" w:rsidP="00942BEF">
      <w:pPr>
        <w:bidi w:val="0"/>
        <w:jc w:val="both"/>
        <w:rPr>
          <w:rFonts w:ascii="Times New Roman" w:hAnsi="Times New Roman"/>
        </w:rPr>
      </w:pPr>
      <w:r w:rsidRPr="00A12FA1">
        <w:rPr>
          <w:rFonts w:ascii="Times New Roman" w:hAnsi="Times New Roman"/>
        </w:rPr>
        <w:t>V zmysle odseku 3 môže novú žiadosť do 30. apríla 2013 podať aj ten nájomca, ktorému nebol pred nadobudnutím účinnosti tohto zákona priznaný nárok na bytovú náhradu v konaní podľa § 9.</w:t>
      </w:r>
    </w:p>
    <w:p w:rsidR="00942BEF" w:rsidRPr="00A12FA1" w:rsidP="00942BEF">
      <w:pPr>
        <w:bidi w:val="0"/>
        <w:jc w:val="both"/>
        <w:rPr>
          <w:rFonts w:ascii="Times New Roman" w:hAnsi="Times New Roman"/>
        </w:rPr>
      </w:pPr>
    </w:p>
    <w:p w:rsidR="00942BEF" w:rsidRPr="0079308A" w:rsidP="00942BEF">
      <w:pPr>
        <w:bidi w:val="0"/>
        <w:jc w:val="both"/>
        <w:rPr>
          <w:rFonts w:ascii="Times New Roman" w:hAnsi="Times New Roman"/>
        </w:rPr>
      </w:pPr>
      <w:r w:rsidRPr="00A12FA1">
        <w:rPr>
          <w:rFonts w:ascii="Times New Roman" w:hAnsi="Times New Roman"/>
        </w:rPr>
        <w:t>V odseku 4 sa upravuje štandardné ustanovenie týkajúce sa konaní o priznaní nároku na náhradu za vypratávaný byt, ktoré podľa § 9 zákona prebieha na obci a vo výnimočných prípadoch, keď sa nájomca odvolá voči rozhodnutiu obce, na súde. Konania, ktoré boli začaté, ale neboli právoplatne ukončené pred nadobudnutím účinnosti novely zákona, sa dokončia podľa doterajších predpisov, čím sa zamedzí retroaktívnemu pôsobeniu ustanovení novely zákona.</w:t>
      </w:r>
    </w:p>
    <w:p w:rsidR="0079308A" w:rsidRPr="0079308A" w:rsidP="0079308A">
      <w:pPr>
        <w:bidi w:val="0"/>
        <w:jc w:val="both"/>
        <w:rPr>
          <w:rFonts w:ascii="Times New Roman" w:hAnsi="Times New Roman"/>
        </w:rPr>
      </w:pPr>
    </w:p>
    <w:p w:rsidR="001A58D7" w:rsidP="004E4380">
      <w:pPr>
        <w:pStyle w:val="NormalWeb"/>
        <w:bidi w:val="0"/>
        <w:spacing w:before="0" w:after="0" w:line="276" w:lineRule="auto"/>
        <w:jc w:val="both"/>
        <w:rPr>
          <w:rFonts w:ascii="Times New Roman" w:hAnsi="Times New Roman"/>
          <w:b/>
        </w:rPr>
      </w:pPr>
    </w:p>
    <w:p w:rsidR="00BE5A10">
      <w:pPr>
        <w:pStyle w:val="NormalWeb"/>
        <w:bidi w:val="0"/>
        <w:spacing w:before="0" w:after="0" w:line="276" w:lineRule="auto"/>
        <w:jc w:val="both"/>
        <w:rPr>
          <w:rFonts w:ascii="Times New Roman" w:hAnsi="Times New Roman"/>
          <w:b/>
        </w:rPr>
      </w:pPr>
      <w:r>
        <w:rPr>
          <w:rFonts w:ascii="Times New Roman" w:hAnsi="Times New Roman"/>
          <w:b/>
        </w:rPr>
        <w:t>K Čl. II</w:t>
      </w:r>
    </w:p>
    <w:p w:rsidR="00BE5A10">
      <w:pPr>
        <w:pStyle w:val="NormalWeb"/>
        <w:bidi w:val="0"/>
        <w:spacing w:before="0" w:after="0" w:line="276" w:lineRule="auto"/>
        <w:ind w:firstLine="708"/>
        <w:jc w:val="both"/>
        <w:rPr>
          <w:rFonts w:ascii="Times New Roman" w:hAnsi="Times New Roman"/>
        </w:rPr>
      </w:pPr>
    </w:p>
    <w:p w:rsidR="00BE5A10">
      <w:pPr>
        <w:pStyle w:val="NormalWeb"/>
        <w:bidi w:val="0"/>
        <w:spacing w:before="0" w:after="0" w:line="276" w:lineRule="auto"/>
        <w:ind w:firstLine="708"/>
        <w:jc w:val="both"/>
        <w:rPr>
          <w:rFonts w:ascii="Times New Roman" w:hAnsi="Times New Roman"/>
          <w:b/>
        </w:rPr>
      </w:pPr>
      <w:r>
        <w:rPr>
          <w:rFonts w:ascii="Times New Roman" w:hAnsi="Times New Roman"/>
        </w:rPr>
        <w:t xml:space="preserve">Navrhuje sa účinnosť predkladaného zákona so zohľadnením legisvakančnej lehoty, a to od </w:t>
      </w:r>
      <w:r w:rsidR="0028120C">
        <w:rPr>
          <w:rFonts w:ascii="Times New Roman" w:hAnsi="Times New Roman"/>
        </w:rPr>
        <w:t>1. februára</w:t>
      </w:r>
      <w:r>
        <w:rPr>
          <w:rFonts w:ascii="Times New Roman" w:hAnsi="Times New Roman"/>
        </w:rPr>
        <w:t xml:space="preserve"> 2013.</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F6814">
      <w:rPr>
        <w:rStyle w:val="PageNumber"/>
        <w:rFonts w:ascii="Times New Roman" w:hAnsi="Times New Roman"/>
        <w:noProof/>
      </w:rPr>
      <w:t>1</w:t>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25D45"/>
    <w:rsid w:val="000260C3"/>
    <w:rsid w:val="0013484C"/>
    <w:rsid w:val="0014262D"/>
    <w:rsid w:val="001A58D7"/>
    <w:rsid w:val="0028120C"/>
    <w:rsid w:val="002A4060"/>
    <w:rsid w:val="00462431"/>
    <w:rsid w:val="004E4380"/>
    <w:rsid w:val="00515BEF"/>
    <w:rsid w:val="00530D74"/>
    <w:rsid w:val="00534274"/>
    <w:rsid w:val="005C487A"/>
    <w:rsid w:val="006C50EF"/>
    <w:rsid w:val="00787760"/>
    <w:rsid w:val="0079308A"/>
    <w:rsid w:val="007A5E3A"/>
    <w:rsid w:val="007C7B5D"/>
    <w:rsid w:val="00876288"/>
    <w:rsid w:val="008F6814"/>
    <w:rsid w:val="00942BEF"/>
    <w:rsid w:val="009A3557"/>
    <w:rsid w:val="00A119E0"/>
    <w:rsid w:val="00A12FA1"/>
    <w:rsid w:val="00A96648"/>
    <w:rsid w:val="00AB6AE5"/>
    <w:rsid w:val="00AC3F10"/>
    <w:rsid w:val="00B21D22"/>
    <w:rsid w:val="00B24450"/>
    <w:rsid w:val="00BC3C26"/>
    <w:rsid w:val="00BE5A10"/>
    <w:rsid w:val="00C1595D"/>
    <w:rsid w:val="00C25D45"/>
    <w:rsid w:val="00C751A4"/>
    <w:rsid w:val="00C91266"/>
    <w:rsid w:val="00D01C92"/>
    <w:rsid w:val="00D43BC8"/>
    <w:rsid w:val="00D82CCA"/>
    <w:rsid w:val="00DC46F8"/>
    <w:rsid w:val="00DD13BD"/>
    <w:rsid w:val="00E34FDC"/>
    <w:rsid w:val="00F6673A"/>
    <w:rsid w:val="00FD73A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qFormat/>
    <w:pPr>
      <w:keepNext/>
      <w:spacing w:before="240" w:after="60"/>
      <w:jc w:val="left"/>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ocked/>
    <w:rPr>
      <w:rFonts w:ascii="Cambria" w:hAnsi="Cambria" w:cs="Cambria"/>
      <w:b/>
      <w:kern w:val="32"/>
      <w:sz w:val="32"/>
    </w:rPr>
  </w:style>
  <w:style w:type="character" w:customStyle="1" w:styleId="Nadpis3Char">
    <w:name w:val="Nadpis 3 Char"/>
    <w:semiHidden/>
    <w:locked/>
    <w:rPr>
      <w:rFonts w:ascii="Cambria" w:hAnsi="Cambria" w:cs="Cambria"/>
      <w:b/>
      <w:sz w:val="26"/>
    </w:rPr>
  </w:style>
  <w:style w:type="paragraph" w:styleId="BalloonText">
    <w:name w:val="Balloon Text"/>
    <w:basedOn w:val="Normal"/>
    <w:semiHidden/>
    <w:pPr>
      <w:jc w:val="left"/>
    </w:pPr>
    <w:rPr>
      <w:rFonts w:ascii="Tahoma" w:hAnsi="Tahoma"/>
      <w:sz w:val="16"/>
      <w:szCs w:val="16"/>
    </w:rPr>
  </w:style>
  <w:style w:type="character" w:customStyle="1" w:styleId="TextbublinyChar">
    <w:name w:val="Text bubliny Char"/>
    <w:semiHidden/>
    <w:locked/>
    <w:rPr>
      <w:rFonts w:ascii="Tahoma" w:hAnsi="Tahoma" w:cs="Tahoma"/>
      <w:sz w:val="16"/>
    </w:rPr>
  </w:style>
  <w:style w:type="paragraph" w:styleId="Footer">
    <w:name w:val="footer"/>
    <w:basedOn w:val="Normal"/>
    <w:semiHidden/>
    <w:pPr>
      <w:tabs>
        <w:tab w:val="center" w:pos="4536"/>
        <w:tab w:val="right" w:pos="9072"/>
      </w:tabs>
      <w:jc w:val="left"/>
    </w:pPr>
  </w:style>
  <w:style w:type="character" w:customStyle="1" w:styleId="PtaChar">
    <w:name w:val="Päta Char"/>
    <w:semiHidden/>
    <w:locked/>
    <w:rPr>
      <w:sz w:val="24"/>
    </w:rPr>
  </w:style>
  <w:style w:type="character" w:styleId="PageNumber">
    <w:name w:val="page number"/>
    <w:semiHidden/>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pPr>
      <w:spacing w:before="100" w:beforeAutospacing="1" w:after="100" w:afterAutospacing="1"/>
      <w:jc w:val="left"/>
    </w:pPr>
  </w:style>
  <w:style w:type="character" w:customStyle="1" w:styleId="apple-converted-space">
    <w:name w:val="apple-converted-space"/>
  </w:style>
  <w:style w:type="character" w:styleId="Hyperlink">
    <w:name w:val="Hyperlink"/>
    <w:semiHidden/>
    <w:unhideWhenUsed/>
    <w:rPr>
      <w:color w:val="0000FF"/>
      <w:u w:val="single"/>
    </w:rPr>
  </w:style>
  <w:style w:type="paragraph" w:styleId="ListParagraph">
    <w:name w:val="List Paragraph"/>
    <w:basedOn w:val="Normal"/>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pPr>
      <w:autoSpaceDE/>
      <w:autoSpaceDN/>
      <w:adjustRightInd/>
      <w:jc w:val="left"/>
    </w:pPr>
    <w:rPr>
      <w:rFonts w:ascii="Times New Roman" w:hAnsi="Times New Roman"/>
      <w:color w:val="auto"/>
      <w:lang w:val="cs-CZ" w:eastAsia="cs-CZ"/>
    </w:rPr>
  </w:style>
  <w:style w:type="table" w:styleId="TableGrid">
    <w:name w:val="Table Grid"/>
    <w:basedOn w:val="TableNormal"/>
    <w:uiPriority w:val="5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2843</Words>
  <Characters>16210</Characters>
  <Application>Microsoft Office Word</Application>
  <DocSecurity>0</DocSecurity>
  <Lines>0</Lines>
  <Paragraphs>0</Paragraphs>
  <ScaleCrop>false</ScaleCrop>
  <Company>UVSR</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2012-10-03T14:34:00Z</cp:lastPrinted>
  <dcterms:created xsi:type="dcterms:W3CDTF">2012-11-09T17:50:00Z</dcterms:created>
  <dcterms:modified xsi:type="dcterms:W3CDTF">2012-11-09T17:50:00Z</dcterms:modified>
</cp:coreProperties>
</file>