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A0393" w:rsidRPr="00BF6BBA" w:rsidP="00EC3B55">
      <w:pPr>
        <w:pStyle w:val="Title"/>
        <w:bidi w:val="0"/>
        <w:rPr>
          <w:rFonts w:ascii="Times New Roman" w:hAnsi="Times New Roman" w:cs="Times New Roman"/>
          <w:caps/>
          <w:spacing w:val="30"/>
        </w:rPr>
      </w:pPr>
      <w:r w:rsidRPr="00BF6BBA">
        <w:rPr>
          <w:rFonts w:ascii="Times New Roman" w:hAnsi="Times New Roman" w:cs="Times New Roman"/>
          <w:caps/>
          <w:spacing w:val="30"/>
        </w:rPr>
        <w:t>Dôvodová správa</w:t>
      </w:r>
    </w:p>
    <w:p w:rsidR="002A0393" w:rsidRPr="00BF6BBA" w:rsidP="00EC3B55">
      <w:pPr>
        <w:pStyle w:val="Heading1"/>
        <w:numPr>
          <w:numId w:val="0"/>
        </w:numPr>
        <w:tabs>
          <w:tab w:val="clear" w:pos="567"/>
        </w:tabs>
        <w:bidi w:val="0"/>
        <w:spacing w:before="0"/>
        <w:ind w:firstLine="0"/>
        <w:rPr>
          <w:rFonts w:ascii="Times New Roman" w:hAnsi="Times New Roman"/>
          <w:b w:val="0"/>
          <w:bCs w:val="0"/>
          <w:sz w:val="24"/>
          <w:szCs w:val="24"/>
        </w:rPr>
      </w:pPr>
    </w:p>
    <w:p w:rsidR="002A0393" w:rsidRPr="00BF6BBA" w:rsidP="00EC3B55">
      <w:pPr>
        <w:pStyle w:val="Heading1"/>
        <w:numPr>
          <w:numId w:val="0"/>
        </w:numPr>
        <w:tabs>
          <w:tab w:val="clear" w:pos="567"/>
        </w:tabs>
        <w:bidi w:val="0"/>
        <w:spacing w:before="0"/>
        <w:ind w:firstLine="0"/>
        <w:rPr>
          <w:rFonts w:ascii="Times New Roman" w:hAnsi="Times New Roman"/>
          <w:sz w:val="24"/>
          <w:szCs w:val="24"/>
        </w:rPr>
      </w:pPr>
      <w:r w:rsidRPr="00BF6BBA">
        <w:rPr>
          <w:rFonts w:ascii="Times New Roman" w:hAnsi="Times New Roman"/>
          <w:sz w:val="24"/>
          <w:szCs w:val="24"/>
        </w:rPr>
        <w:t>A. Všeobecná časť</w:t>
      </w:r>
    </w:p>
    <w:p w:rsidR="002A0393" w:rsidRPr="00BF6BBA" w:rsidP="00EC3B55">
      <w:pPr>
        <w:bidi w:val="0"/>
        <w:jc w:val="both"/>
        <w:rPr>
          <w:rFonts w:ascii="Times New Roman" w:hAnsi="Times New Roman"/>
          <w:b/>
          <w:bCs/>
        </w:rPr>
      </w:pPr>
    </w:p>
    <w:p w:rsidR="002A0393" w:rsidRPr="00BF6BBA" w:rsidP="004C5E7D">
      <w:pPr>
        <w:bidi w:val="0"/>
        <w:ind w:firstLine="708"/>
        <w:jc w:val="both"/>
        <w:rPr>
          <w:rFonts w:ascii="Times New Roman" w:hAnsi="Times New Roman"/>
        </w:rPr>
      </w:pPr>
      <w:r w:rsidRPr="00BF6BBA" w:rsidR="00DF6B77">
        <w:rPr>
          <w:rFonts w:ascii="Times New Roman" w:hAnsi="Times New Roman"/>
        </w:rPr>
        <w:t>Vláda</w:t>
      </w:r>
      <w:r w:rsidRPr="00BF6BBA">
        <w:rPr>
          <w:rFonts w:ascii="Times New Roman" w:hAnsi="Times New Roman"/>
        </w:rPr>
        <w:t xml:space="preserve"> Slovenskej republiky </w:t>
      </w:r>
      <w:r w:rsidRPr="00BF6BBA" w:rsidR="00000A65">
        <w:rPr>
          <w:rFonts w:ascii="Times New Roman" w:hAnsi="Times New Roman"/>
        </w:rPr>
        <w:t xml:space="preserve">predkladá na rokovanie </w:t>
      </w:r>
      <w:r w:rsidRPr="00BF6BBA" w:rsidR="00DF6B77">
        <w:rPr>
          <w:rFonts w:ascii="Times New Roman" w:hAnsi="Times New Roman"/>
        </w:rPr>
        <w:t>Národnej rady</w:t>
      </w:r>
      <w:r w:rsidRPr="00BF6BBA" w:rsidR="002B3E1E">
        <w:rPr>
          <w:rFonts w:ascii="Times New Roman" w:hAnsi="Times New Roman"/>
        </w:rPr>
        <w:t xml:space="preserve"> Slovenskej republiky</w:t>
      </w:r>
      <w:r w:rsidRPr="00BF6BBA">
        <w:rPr>
          <w:rFonts w:ascii="Times New Roman" w:hAnsi="Times New Roman"/>
        </w:rPr>
        <w:t xml:space="preserve"> </w:t>
      </w:r>
      <w:r w:rsidRPr="00BF6BBA" w:rsidR="00DF6B77">
        <w:rPr>
          <w:rFonts w:ascii="Times New Roman" w:hAnsi="Times New Roman"/>
        </w:rPr>
        <w:t xml:space="preserve">vládny </w:t>
      </w:r>
      <w:r w:rsidRPr="00BF6BBA">
        <w:rPr>
          <w:rFonts w:ascii="Times New Roman" w:hAnsi="Times New Roman"/>
        </w:rPr>
        <w:t xml:space="preserve">návrh zákona, </w:t>
      </w:r>
      <w:r w:rsidRPr="00BF6BBA" w:rsidR="00BF6BBA">
        <w:rPr>
          <w:rFonts w:ascii="Times New Roman" w:hAnsi="Times New Roman"/>
        </w:rPr>
        <w:t>ktorým sa mení a dopĺňa zákon č. 365/2004 Z. z. o rovnakom zaobchádzaní v niektorých oblastiach a o ochrane pred diskrimináciou a o zmene a doplnení niektorých zákonov (antidiskriminačný zákon) v znení neskorších predpisov a ktorým sa mení zákon č. 8/2008 Z. z. o poisťovníctve a o zmene a doplnení niektorých zákonov v znení neskorších predpisov</w:t>
      </w:r>
      <w:r w:rsidRPr="00BF6BBA">
        <w:rPr>
          <w:rFonts w:ascii="Times New Roman" w:hAnsi="Times New Roman"/>
        </w:rPr>
        <w:t xml:space="preserve">. </w:t>
      </w:r>
    </w:p>
    <w:p w:rsidR="002A0393" w:rsidRPr="00BF6BBA" w:rsidP="00EC3B55">
      <w:pPr>
        <w:bidi w:val="0"/>
        <w:ind w:firstLine="708"/>
        <w:jc w:val="both"/>
        <w:rPr>
          <w:rFonts w:ascii="Times New Roman" w:hAnsi="Times New Roman"/>
        </w:rPr>
      </w:pPr>
    </w:p>
    <w:p w:rsidR="00BF6BBA" w:rsidP="00BF6BBA">
      <w:pPr>
        <w:bidi w:val="0"/>
        <w:ind w:firstLine="709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Slovenskej republike bolo v júni roku 2012 zo strany Európskej komisie doručené oznámenie (prípad č. 3531/12/JUST), predmetom ktorého je otázka správnosti transpozície smernice Rady č. 2004/113/ES z 13. decembra 2004 o vykonávaní zásady rovnakého zaobchádzania medzi mužmi a ženami v prístupe k tovarom a službám (ďalej len „smernica“).</w:t>
      </w:r>
    </w:p>
    <w:p w:rsidR="00BF6BBA" w:rsidP="00BF6BBA">
      <w:pPr>
        <w:bidi w:val="0"/>
        <w:ind w:firstLine="709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BF6BBA" w:rsidP="00BF6BBA">
      <w:pPr>
        <w:bidi w:val="0"/>
        <w:spacing w:after="200"/>
        <w:ind w:firstLine="709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Európska komisia v oznámení upozorňuje aj na</w:t>
      </w:r>
    </w:p>
    <w:p w:rsidR="00BF6BBA" w:rsidP="00BF6BBA">
      <w:pPr>
        <w:bidi w:val="0"/>
        <w:ind w:left="1069" w:hanging="360"/>
        <w:jc w:val="both"/>
        <w:rPr>
          <w:rStyle w:val="PlaceholderText"/>
          <w:color w:val="000000"/>
        </w:rPr>
      </w:pPr>
      <w:r>
        <w:rPr>
          <w:rStyle w:val="PlaceholderText"/>
          <w:rFonts w:ascii="Georgia" w:hAnsi="Georgia" w:cs="Georgia"/>
          <w:color w:val="000000"/>
        </w:rPr>
        <w:t>-</w:t>
      </w:r>
      <w:r>
        <w:rPr>
          <w:rStyle w:val="PlaceholderText"/>
          <w:color w:val="000000"/>
          <w:sz w:val="14"/>
        </w:rPr>
        <w:t xml:space="preserve">         </w:t>
      </w:r>
      <w:r>
        <w:rPr>
          <w:rStyle w:val="PlaceholderText"/>
          <w:color w:val="000000"/>
        </w:rPr>
        <w:t>nesprávnosť vymedzenia definície nepriamej diskriminácie,</w:t>
      </w:r>
    </w:p>
    <w:p w:rsidR="00BF6BBA" w:rsidP="00BF6BBA">
      <w:pPr>
        <w:bidi w:val="0"/>
        <w:spacing w:after="200"/>
        <w:ind w:left="1069" w:hanging="360"/>
        <w:jc w:val="both"/>
        <w:rPr>
          <w:rStyle w:val="PlaceholderText"/>
          <w:color w:val="000000"/>
        </w:rPr>
      </w:pPr>
      <w:r>
        <w:rPr>
          <w:rStyle w:val="PlaceholderText"/>
          <w:rFonts w:ascii="Georgia" w:hAnsi="Georgia" w:cs="Georgia"/>
          <w:color w:val="000000"/>
        </w:rPr>
        <w:t>-</w:t>
      </w:r>
      <w:r>
        <w:rPr>
          <w:rStyle w:val="PlaceholderText"/>
          <w:color w:val="000000"/>
          <w:sz w:val="14"/>
        </w:rPr>
        <w:t xml:space="preserve">         </w:t>
      </w:r>
      <w:r>
        <w:rPr>
          <w:rStyle w:val="PlaceholderText"/>
          <w:color w:val="000000"/>
        </w:rPr>
        <w:t xml:space="preserve">rozhodnutie zo dňa 4. marca 2011 vo veci Test-Achats (C-236/09, Ú. V. EÚ C 130, 30.4.2011, s. 4), v ktorom Európsky súdny dvor vyhlásil Článok 5 ods. 2 smernice za neplatný s účinnosťou od 21. decembra 2012. </w:t>
      </w:r>
    </w:p>
    <w:p w:rsidR="00BF6BBA" w:rsidP="00BF6BBA">
      <w:pPr>
        <w:bidi w:val="0"/>
        <w:spacing w:after="200"/>
        <w:ind w:firstLine="709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Slovenská republika vyslovila potrebu novelizácie príslušných právnych predpisov. </w:t>
      </w:r>
    </w:p>
    <w:p w:rsidR="00BF6BBA" w:rsidP="00BF6BBA">
      <w:pPr>
        <w:bidi w:val="0"/>
        <w:ind w:firstLine="709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V návrhu zákona sa upravuje aj negatívne vymedzenie diskriminácie v súvislosti s dočasnými vyrovnávacími opatreniami. V tejto súvislosti sa rozširuje možnosť ich prijatia pre všetky subjekty verejnej správy a poskytuje sa táto možnosť aj iným právnickým osobám. Ustanovenie sa tým dáva do súladu so smernicou a súčasne vyhovuje aj odporúčaniam Výboru pre odstránenie diskriminácie žien pri OSN, vyslovených v záverečných zisteniach k druhej, tretej a štvrtej periodickej správy SR k Dohovoru o odstránení všetkých foriem diskriminácie žien.</w:t>
      </w:r>
    </w:p>
    <w:p w:rsidR="00BF6BBA" w:rsidP="00BF6BBA">
      <w:pPr>
        <w:bidi w:val="0"/>
        <w:ind w:firstLine="709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2A0393" w:rsidRPr="00BF6BBA" w:rsidP="00EC3B55">
      <w:pPr>
        <w:pStyle w:val="BodyText"/>
        <w:bidi w:val="0"/>
        <w:ind w:firstLine="708"/>
        <w:rPr>
          <w:rFonts w:ascii="Times New Roman" w:hAnsi="Times New Roman" w:cs="Times New Roman"/>
        </w:rPr>
      </w:pPr>
      <w:r w:rsidRPr="00BF6BBA">
        <w:rPr>
          <w:rFonts w:ascii="Times New Roman" w:hAnsi="Times New Roman" w:cs="Times New Roman"/>
        </w:rPr>
        <w:t>Návrh zákona je v súlade s Ústavou, ústavnými zákonmi, medzinárodnými zmluvami, ktorými je Slove</w:t>
      </w:r>
      <w:r w:rsidRPr="00BF6BBA" w:rsidR="0013613F">
        <w:rPr>
          <w:rFonts w:ascii="Times New Roman" w:hAnsi="Times New Roman" w:cs="Times New Roman"/>
        </w:rPr>
        <w:t>nská republika viazaná</w:t>
      </w:r>
      <w:r w:rsidRPr="00BF6BBA">
        <w:rPr>
          <w:rFonts w:ascii="Times New Roman" w:hAnsi="Times New Roman" w:cs="Times New Roman"/>
        </w:rPr>
        <w:t xml:space="preserve"> a súčasne je v súlade s právom Európskej únie.</w:t>
      </w:r>
    </w:p>
    <w:p w:rsidR="002A0393" w:rsidRPr="00BF6BBA" w:rsidP="00EC3B55">
      <w:pPr>
        <w:bidi w:val="0"/>
        <w:ind w:firstLine="708"/>
        <w:jc w:val="both"/>
        <w:rPr>
          <w:rFonts w:ascii="Times New Roman" w:hAnsi="Times New Roman"/>
        </w:rPr>
      </w:pPr>
    </w:p>
    <w:p w:rsidR="002A0393" w:rsidRPr="00BF6BBA" w:rsidP="00EC3B55">
      <w:pPr>
        <w:bidi w:val="0"/>
        <w:ind w:firstLine="708"/>
        <w:jc w:val="both"/>
        <w:rPr>
          <w:rFonts w:ascii="Times New Roman" w:hAnsi="Times New Roman"/>
        </w:rPr>
      </w:pPr>
      <w:r w:rsidRPr="00BF6BBA" w:rsidR="00CE72D9">
        <w:rPr>
          <w:rFonts w:ascii="Times New Roman" w:hAnsi="Times New Roman"/>
        </w:rPr>
        <w:t>Materiál nemá finančný, ekonomický, environmentálny</w:t>
      </w:r>
      <w:r w:rsidRPr="00BF6BBA" w:rsidR="00C21111">
        <w:rPr>
          <w:rFonts w:ascii="Times New Roman" w:hAnsi="Times New Roman"/>
        </w:rPr>
        <w:t>, sociálny vplyv ani vplyv na podnikateľské prostredie a</w:t>
      </w:r>
      <w:r w:rsidRPr="00BF6BBA" w:rsidR="00CE72D9">
        <w:rPr>
          <w:rFonts w:ascii="Times New Roman" w:hAnsi="Times New Roman"/>
        </w:rPr>
        <w:t xml:space="preserve"> informatizáciu spoločnosti.</w:t>
      </w:r>
    </w:p>
    <w:p w:rsidR="00DF6B77" w:rsidRPr="00BF6BBA" w:rsidP="00EC3B55">
      <w:pPr>
        <w:bidi w:val="0"/>
        <w:ind w:firstLine="708"/>
        <w:jc w:val="both"/>
        <w:rPr>
          <w:rFonts w:ascii="Times New Roman" w:hAnsi="Times New Roman"/>
        </w:rPr>
      </w:pPr>
    </w:p>
    <w:p w:rsidR="00DF6B77" w:rsidRPr="00BF6BBA" w:rsidP="00DF6B77">
      <w:pPr>
        <w:tabs>
          <w:tab w:val="left" w:pos="9072"/>
        </w:tabs>
        <w:bidi w:val="0"/>
        <w:ind w:firstLine="709"/>
        <w:jc w:val="both"/>
        <w:rPr>
          <w:rFonts w:ascii="Times New Roman" w:hAnsi="Times New Roman"/>
        </w:rPr>
      </w:pPr>
      <w:r w:rsidRPr="00BF6BBA">
        <w:rPr>
          <w:rFonts w:ascii="Times New Roman" w:hAnsi="Times New Roman"/>
        </w:rPr>
        <w:t xml:space="preserve">Návrh zákona bol predmetom </w:t>
      </w:r>
      <w:r w:rsidRPr="00BF6BBA" w:rsidR="00BF6BBA">
        <w:rPr>
          <w:rFonts w:ascii="Times New Roman" w:hAnsi="Times New Roman"/>
        </w:rPr>
        <w:t>skráteného</w:t>
      </w:r>
      <w:r w:rsidRPr="00BF6BBA">
        <w:rPr>
          <w:rFonts w:ascii="Times New Roman" w:hAnsi="Times New Roman"/>
        </w:rPr>
        <w:t xml:space="preserve"> pripomienkového konania</w:t>
      </w:r>
      <w:r w:rsidRPr="00BF6BBA" w:rsidR="00BF6BBA">
        <w:rPr>
          <w:rFonts w:ascii="Times New Roman" w:hAnsi="Times New Roman"/>
        </w:rPr>
        <w:t xml:space="preserve"> odôvodneného hrozbou nedodržania lehoty určenej na implementáciu rozhodnutia Súdneho dvora EÚ (21. december 2012) v súlade s čl. 13 ods. 7 Legislatívnych pravidiel vlády Slovenskej republiky</w:t>
      </w:r>
      <w:r w:rsidRPr="00BF6BBA">
        <w:rPr>
          <w:rFonts w:ascii="Times New Roman" w:hAnsi="Times New Roman"/>
        </w:rPr>
        <w:t xml:space="preserve"> a dňa </w:t>
      </w:r>
      <w:r w:rsidRPr="00BF6BBA" w:rsidR="00BF6BBA">
        <w:rPr>
          <w:rFonts w:ascii="Times New Roman" w:hAnsi="Times New Roman"/>
        </w:rPr>
        <w:t>31</w:t>
      </w:r>
      <w:r w:rsidRPr="00BF6BBA">
        <w:rPr>
          <w:rFonts w:ascii="Times New Roman" w:hAnsi="Times New Roman"/>
        </w:rPr>
        <w:t xml:space="preserve">. </w:t>
      </w:r>
      <w:r w:rsidRPr="00BF6BBA" w:rsidR="00BF6BBA">
        <w:rPr>
          <w:rFonts w:ascii="Times New Roman" w:hAnsi="Times New Roman"/>
        </w:rPr>
        <w:t>októbra</w:t>
      </w:r>
      <w:r w:rsidRPr="00BF6BBA">
        <w:rPr>
          <w:rFonts w:ascii="Times New Roman" w:hAnsi="Times New Roman"/>
        </w:rPr>
        <w:t xml:space="preserve"> 2012 bol schválený vládou Slovenskej republiky.</w:t>
      </w:r>
    </w:p>
    <w:p w:rsidR="00DF6B77" w:rsidRPr="00BF6BBA" w:rsidP="00EC3B55">
      <w:pPr>
        <w:bidi w:val="0"/>
        <w:ind w:firstLine="708"/>
        <w:jc w:val="both"/>
        <w:rPr>
          <w:rFonts w:ascii="Times New Roman" w:hAnsi="Times New Roman"/>
        </w:rPr>
      </w:pPr>
    </w:p>
    <w:p w:rsidR="00BF6BBA" w:rsidRPr="00BF6BBA" w:rsidP="00BF6BBA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BF6BBA" w:rsidR="00D308DC">
        <w:rPr>
          <w:rFonts w:ascii="Times New Roman" w:hAnsi="Times New Roman"/>
          <w:b/>
          <w:bCs/>
          <w:caps/>
          <w:spacing w:val="30"/>
        </w:rPr>
        <w:br w:type="page"/>
      </w:r>
      <w:r w:rsidRPr="00BF6BBA">
        <w:rPr>
          <w:rFonts w:ascii="Times New Roman" w:hAnsi="Times New Roman"/>
          <w:b/>
          <w:caps/>
          <w:spacing w:val="30"/>
        </w:rPr>
        <w:t>Doložka zlučiteľnosti</w:t>
      </w:r>
    </w:p>
    <w:p w:rsidR="00BF6BBA" w:rsidRPr="00BF6BBA" w:rsidP="00BF6BBA">
      <w:pPr>
        <w:bidi w:val="0"/>
        <w:jc w:val="center"/>
        <w:rPr>
          <w:rFonts w:ascii="Times New Roman" w:hAnsi="Times New Roman"/>
          <w:b/>
        </w:rPr>
      </w:pPr>
      <w:r w:rsidRPr="00BF6BBA">
        <w:rPr>
          <w:rFonts w:ascii="Times New Roman" w:hAnsi="Times New Roman"/>
          <w:b/>
        </w:rPr>
        <w:t>právneho predpisu s právom Európskej únie </w:t>
      </w:r>
    </w:p>
    <w:p w:rsidR="00BF6BBA" w:rsidRPr="00BF6BBA" w:rsidP="00BF6BBA">
      <w:pPr>
        <w:bidi w:val="0"/>
        <w:rPr>
          <w:rFonts w:ascii="Times New Roman" w:hAnsi="Times New Roman"/>
        </w:rPr>
      </w:pPr>
    </w:p>
    <w:p w:rsidR="00BF6BBA" w:rsidRPr="00BF6BBA" w:rsidP="00BF6BBA">
      <w:pPr>
        <w:bidi w:val="0"/>
        <w:rPr>
          <w:rFonts w:ascii="Times New Roman" w:hAnsi="Times New Roman"/>
        </w:rPr>
      </w:pPr>
    </w:p>
    <w:p w:rsidR="00BF6BBA" w:rsidRPr="00BF6BBA" w:rsidP="00BF6BBA">
      <w:pPr>
        <w:bidi w:val="0"/>
        <w:ind w:left="360" w:hanging="360"/>
        <w:rPr>
          <w:rFonts w:ascii="Times New Roman" w:hAnsi="Times New Roman"/>
          <w:b/>
        </w:rPr>
      </w:pPr>
      <w:r w:rsidRPr="00BF6BBA">
        <w:rPr>
          <w:rFonts w:ascii="Times New Roman" w:hAnsi="Times New Roman"/>
          <w:b/>
        </w:rPr>
        <w:t>1.</w:t>
        <w:tab/>
        <w:t>Predkladateľ právneho predpisu:</w:t>
      </w:r>
      <w:r w:rsidRPr="00BF6BBA">
        <w:rPr>
          <w:rFonts w:ascii="Times New Roman" w:hAnsi="Times New Roman"/>
        </w:rPr>
        <w:t xml:space="preserve"> vláda Slovenskej republiky </w:t>
      </w:r>
    </w:p>
    <w:p w:rsidR="00BF6BBA" w:rsidRPr="00BF6BBA" w:rsidP="00BF6BBA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  <w:r w:rsidRPr="00BF6BBA">
        <w:rPr>
          <w:rFonts w:ascii="Times New Roman" w:hAnsi="Times New Roman"/>
        </w:rPr>
        <w:t xml:space="preserve"> </w:t>
      </w:r>
    </w:p>
    <w:p w:rsidR="00BF6BBA" w:rsidRPr="00BF6BBA" w:rsidP="00BF6BBA">
      <w:pPr>
        <w:bidi w:val="0"/>
        <w:ind w:left="360" w:hanging="360"/>
        <w:rPr>
          <w:rFonts w:ascii="Times New Roman" w:hAnsi="Times New Roman"/>
          <w:b/>
        </w:rPr>
      </w:pPr>
      <w:r w:rsidRPr="00BF6BBA">
        <w:rPr>
          <w:rFonts w:ascii="Times New Roman" w:hAnsi="Times New Roman"/>
          <w:b/>
        </w:rPr>
        <w:t>2.</w:t>
        <w:tab/>
        <w:t>Názov návrhu právneho predpisu:</w:t>
      </w:r>
      <w:r w:rsidRPr="00BF6BBA">
        <w:rPr>
          <w:rFonts w:ascii="Times New Roman" w:hAnsi="Times New Roman"/>
        </w:rPr>
        <w:t xml:space="preserve"> Návrh zákona, ktorým sa mení a dopĺňa zákon č. 365/2004 Z. z. o rovnakom zaobchádzaní v niektorých oblastiach a o ochrane pred diskrimináciou a o zmene a doplnení niektorých zákonov (antidiskriminačný zákon) v znení neskorších predpisov a ktorým sa mení zákon č. 8/2008 Z. z. o poisťovníctve a o zmene a doplnení niektorých zákonov v znení neskorších predpisov </w:t>
      </w:r>
    </w:p>
    <w:p w:rsidR="00BF6BBA" w:rsidRPr="00BF6BBA" w:rsidP="00BF6BBA">
      <w:pPr>
        <w:bidi w:val="0"/>
        <w:rPr>
          <w:rFonts w:ascii="Times New Roman" w:hAnsi="Times New Roman"/>
        </w:rPr>
      </w:pPr>
    </w:p>
    <w:p w:rsidR="00BF6BBA" w:rsidRPr="00BF6BBA" w:rsidP="00BF6BBA">
      <w:pPr>
        <w:bidi w:val="0"/>
        <w:ind w:left="360" w:hanging="360"/>
        <w:rPr>
          <w:rFonts w:ascii="Times New Roman" w:hAnsi="Times New Roman"/>
          <w:b/>
        </w:rPr>
      </w:pPr>
      <w:r w:rsidRPr="00BF6BBA">
        <w:rPr>
          <w:rFonts w:ascii="Times New Roman" w:hAnsi="Times New Roman"/>
          <w:b/>
        </w:rPr>
        <w:t>3.</w:t>
        <w:tab/>
        <w:t>Problematika návrhu právneho predpisu:</w:t>
      </w:r>
    </w:p>
    <w:p w:rsidR="00BF6BBA" w:rsidRPr="00BF6BBA" w:rsidP="00BF6BBA">
      <w:pPr>
        <w:bidi w:val="0"/>
        <w:ind w:firstLine="360"/>
        <w:rPr>
          <w:rFonts w:ascii="Times New Roman" w:hAnsi="Times New Roman"/>
        </w:rPr>
      </w:pPr>
    </w:p>
    <w:p w:rsidR="00BF6BBA" w:rsidRPr="00BF6BBA" w:rsidP="00BF6BBA">
      <w:pPr>
        <w:bidi w:val="0"/>
        <w:ind w:left="709" w:hanging="349"/>
        <w:rPr>
          <w:rFonts w:ascii="Times New Roman" w:hAnsi="Times New Roman"/>
        </w:rPr>
      </w:pPr>
      <w:r w:rsidRPr="00BF6BBA">
        <w:rPr>
          <w:rFonts w:ascii="Times New Roman" w:hAnsi="Times New Roman"/>
        </w:rPr>
        <w:t>a)</w:t>
        <w:tab/>
        <w:t>je upravená v práve Európskej únie</w:t>
      </w:r>
    </w:p>
    <w:p w:rsidR="00BF6BBA" w:rsidRPr="00BF6BBA" w:rsidP="00BF6BBA">
      <w:pPr>
        <w:bidi w:val="0"/>
        <w:ind w:left="360"/>
        <w:rPr>
          <w:rFonts w:ascii="Times New Roman" w:hAnsi="Times New Roman"/>
        </w:rPr>
      </w:pPr>
    </w:p>
    <w:p w:rsidR="00BF6BBA" w:rsidRPr="00BF6BBA" w:rsidP="00BF6BBA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</w:rPr>
      </w:pPr>
      <w:r w:rsidRPr="00BF6BBA">
        <w:rPr>
          <w:rFonts w:ascii="Times New Roman" w:hAnsi="Times New Roman"/>
        </w:rPr>
        <w:t>-</w:t>
        <w:tab/>
      </w:r>
      <w:r w:rsidRPr="00BF6BBA">
        <w:rPr>
          <w:rFonts w:ascii="Times New Roman" w:hAnsi="Times New Roman"/>
          <w:i/>
        </w:rPr>
        <w:t>primárnom</w:t>
      </w:r>
    </w:p>
    <w:p w:rsidR="00BF6BBA" w:rsidRPr="00BF6BBA" w:rsidP="00BF6BBA">
      <w:pPr>
        <w:bidi w:val="0"/>
        <w:ind w:left="851"/>
        <w:rPr>
          <w:rFonts w:ascii="Times New Roman" w:hAnsi="Times New Roman"/>
        </w:rPr>
      </w:pPr>
    </w:p>
    <w:p w:rsidR="00BF6BBA" w:rsidRPr="00BF6BBA" w:rsidP="00BF6BBA">
      <w:pPr>
        <w:bidi w:val="0"/>
        <w:ind w:left="851"/>
        <w:rPr>
          <w:rFonts w:ascii="Times New Roman" w:hAnsi="Times New Roman"/>
        </w:rPr>
      </w:pPr>
      <w:r w:rsidRPr="00BF6BBA">
        <w:rPr>
          <w:rFonts w:ascii="Times New Roman" w:hAnsi="Times New Roman"/>
        </w:rPr>
        <w:t xml:space="preserve">Článok 114 Zmluvy o fungovaní Európskej únie </w:t>
        <w:br/>
      </w:r>
    </w:p>
    <w:p w:rsidR="00BF6BBA" w:rsidRPr="00BF6BBA" w:rsidP="00BF6BBA">
      <w:pPr>
        <w:bidi w:val="0"/>
        <w:ind w:left="851"/>
        <w:rPr>
          <w:rFonts w:ascii="Times New Roman" w:hAnsi="Times New Roman"/>
        </w:rPr>
      </w:pPr>
      <w:r w:rsidRPr="00BF6BBA">
        <w:rPr>
          <w:rFonts w:ascii="Times New Roman" w:hAnsi="Times New Roman"/>
        </w:rPr>
        <w:t>Články 20 až 23 Charty základných práv Európskej únie</w:t>
        <w:br/>
        <w:t> </w:t>
      </w:r>
    </w:p>
    <w:p w:rsidR="00BF6BBA" w:rsidRPr="00BF6BBA" w:rsidP="00BF6BBA">
      <w:pPr>
        <w:bidi w:val="0"/>
        <w:ind w:firstLine="360"/>
        <w:rPr>
          <w:rFonts w:ascii="Times New Roman" w:hAnsi="Times New Roman"/>
        </w:rPr>
      </w:pPr>
    </w:p>
    <w:p w:rsidR="00BF6BBA" w:rsidRPr="00BF6BBA" w:rsidP="00BF6BBA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</w:rPr>
      </w:pPr>
      <w:r w:rsidRPr="00BF6BBA">
        <w:rPr>
          <w:rFonts w:ascii="Times New Roman" w:hAnsi="Times New Roman"/>
        </w:rPr>
        <w:t>-</w:t>
        <w:tab/>
      </w:r>
      <w:r w:rsidRPr="00BF6BBA">
        <w:rPr>
          <w:rFonts w:ascii="Times New Roman" w:hAnsi="Times New Roman"/>
          <w:i/>
        </w:rPr>
        <w:t>sekundárnom (prijatom po nadobudnutím platnosti Lisabonskej zmluvy, ktorou sa mení a dopĺňa Zmluva o Európskej únii a Zmluva o Európskom spoločenstve – po 30. novembri 2009)</w:t>
      </w:r>
    </w:p>
    <w:p w:rsidR="00BF6BBA" w:rsidRPr="00BF6BBA" w:rsidP="00BF6BBA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</w:rPr>
      </w:pPr>
    </w:p>
    <w:p w:rsidR="00BF6BBA" w:rsidRPr="00BF6BBA" w:rsidP="00BF6BBA">
      <w:pPr>
        <w:bidi w:val="0"/>
        <w:ind w:left="1239" w:hanging="360"/>
        <w:rPr>
          <w:rFonts w:ascii="Times New Roman" w:hAnsi="Times New Roman"/>
          <w:i/>
        </w:rPr>
      </w:pPr>
      <w:r w:rsidRPr="00BF6BBA">
        <w:rPr>
          <w:rFonts w:ascii="Times New Roman" w:hAnsi="Times New Roman"/>
        </w:rPr>
        <w:t>1.</w:t>
        <w:tab/>
        <w:t xml:space="preserve">legislatívne akty </w:t>
      </w:r>
    </w:p>
    <w:p w:rsidR="00BF6BBA" w:rsidRPr="00BF6BBA" w:rsidP="00BF6BBA">
      <w:pPr>
        <w:bidi w:val="0"/>
        <w:ind w:firstLine="360"/>
        <w:rPr>
          <w:rFonts w:ascii="Times New Roman" w:hAnsi="Times New Roman"/>
        </w:rPr>
      </w:pPr>
    </w:p>
    <w:p w:rsidR="00BF6BBA" w:rsidRPr="00BF6BBA" w:rsidP="00BF6BBA">
      <w:pPr>
        <w:bidi w:val="0"/>
        <w:ind w:left="851"/>
        <w:rPr>
          <w:rFonts w:ascii="Times New Roman" w:hAnsi="Times New Roman"/>
        </w:rPr>
      </w:pPr>
      <w:r w:rsidRPr="00BF6BBA">
        <w:rPr>
          <w:rFonts w:ascii="Times New Roman" w:hAnsi="Times New Roman"/>
        </w:rPr>
        <w:t> </w:t>
      </w:r>
    </w:p>
    <w:p w:rsidR="00BF6BBA" w:rsidRPr="00BF6BBA" w:rsidP="00BF6BBA">
      <w:pPr>
        <w:bidi w:val="0"/>
        <w:ind w:left="851"/>
        <w:rPr>
          <w:rFonts w:ascii="Times New Roman" w:hAnsi="Times New Roman"/>
        </w:rPr>
      </w:pPr>
    </w:p>
    <w:p w:rsidR="00BF6BBA" w:rsidRPr="00BF6BBA" w:rsidP="00BF6BBA">
      <w:pPr>
        <w:bidi w:val="0"/>
        <w:ind w:left="1239" w:hanging="360"/>
        <w:jc w:val="both"/>
        <w:rPr>
          <w:rFonts w:ascii="Times New Roman" w:hAnsi="Times New Roman"/>
          <w:i/>
        </w:rPr>
      </w:pPr>
      <w:r w:rsidRPr="00BF6BBA">
        <w:rPr>
          <w:rFonts w:ascii="Times New Roman" w:hAnsi="Times New Roman"/>
        </w:rPr>
        <w:t>2.</w:t>
        <w:tab/>
        <w:t>nelegislatívne akty</w:t>
      </w:r>
    </w:p>
    <w:p w:rsidR="00BF6BBA" w:rsidRPr="00BF6BBA" w:rsidP="00BF6BBA">
      <w:pPr>
        <w:bidi w:val="0"/>
        <w:ind w:firstLine="708"/>
        <w:jc w:val="both"/>
        <w:rPr>
          <w:rFonts w:ascii="Times New Roman" w:hAnsi="Times New Roman"/>
        </w:rPr>
      </w:pPr>
      <w:r w:rsidRPr="00BF6BBA">
        <w:rPr>
          <w:rFonts w:ascii="Times New Roman" w:hAnsi="Times New Roman"/>
        </w:rPr>
        <w:t xml:space="preserve"> </w:t>
      </w: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BBA" w:rsidRPr="00BF6BBA" w:rsidP="00345B2B">
            <w:pPr>
              <w:bidi w:val="0"/>
              <w:jc w:val="both"/>
              <w:rPr>
                <w:rFonts w:ascii="Times New Roman" w:hAnsi="Times New Roman"/>
              </w:rPr>
            </w:pPr>
            <w:r w:rsidRPr="00BF6BBA">
              <w:rPr>
                <w:rFonts w:ascii="Times New Roman" w:hAnsi="Times New Roman"/>
              </w:rPr>
              <w:t> </w:t>
            </w:r>
          </w:p>
        </w:tc>
      </w:tr>
    </w:tbl>
    <w:p w:rsidR="00BF6BBA" w:rsidRPr="00BF6BBA" w:rsidP="00BF6BBA">
      <w:pPr>
        <w:bidi w:val="0"/>
        <w:ind w:firstLine="708"/>
        <w:jc w:val="both"/>
        <w:rPr>
          <w:rFonts w:ascii="Times New Roman" w:hAnsi="Times New Roman"/>
        </w:rPr>
      </w:pPr>
    </w:p>
    <w:p w:rsidR="00BF6BBA" w:rsidRPr="00BF6BBA" w:rsidP="00BF6BBA">
      <w:pPr>
        <w:bidi w:val="0"/>
        <w:ind w:left="879" w:hanging="171"/>
        <w:jc w:val="both"/>
        <w:rPr>
          <w:rFonts w:ascii="Times New Roman" w:hAnsi="Times New Roman"/>
          <w:i/>
        </w:rPr>
      </w:pPr>
      <w:r w:rsidRPr="00BF6BBA">
        <w:rPr>
          <w:rFonts w:ascii="Times New Roman" w:hAnsi="Times New Roman"/>
        </w:rPr>
        <w:t>-</w:t>
        <w:tab/>
      </w:r>
      <w:r w:rsidRPr="00BF6BBA">
        <w:rPr>
          <w:rFonts w:ascii="Times New Roman" w:hAnsi="Times New Roman"/>
          <w:i/>
        </w:rPr>
        <w:t>sekundárnom (prijatom pred nadobudnutím platnosti Lisabonskej zmluvy, ktorou sa mení a dopĺňa Zmluva o Európskom spoločenstve a Zmluva o Európskej únii – do 30. novembra 2009)</w:t>
      </w:r>
    </w:p>
    <w:p w:rsidR="00BF6BBA" w:rsidRPr="00BF6BBA" w:rsidP="00BF6BBA">
      <w:pPr>
        <w:bidi w:val="0"/>
        <w:ind w:firstLine="708"/>
        <w:jc w:val="both"/>
        <w:rPr>
          <w:rFonts w:ascii="Times New Roman" w:hAnsi="Times New Roman"/>
        </w:rPr>
      </w:pP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6BBA" w:rsidRPr="00BF6BBA" w:rsidP="00345B2B">
            <w:pPr>
              <w:bidi w:val="0"/>
              <w:jc w:val="both"/>
              <w:rPr>
                <w:rFonts w:ascii="Times New Roman" w:hAnsi="Times New Roman"/>
              </w:rPr>
            </w:pPr>
            <w:r w:rsidRPr="00BF6BBA">
              <w:rPr>
                <w:rFonts w:ascii="Times New Roman" w:hAnsi="Times New Roman"/>
              </w:rPr>
              <w:t>Smernica Rady 2004/113/ES z 13. decembra 2004 (Ú. v. EÚ L 373, 21.12.2004) o vykonávaní zásady rovnakého zaobchádzania medzi mužmi a ženami v prístupe k tovaru a službám a k ich poskytovaniu  </w:t>
            </w:r>
          </w:p>
        </w:tc>
      </w:tr>
    </w:tbl>
    <w:p w:rsidR="00BF6BBA" w:rsidRPr="00BF6BBA" w:rsidP="00BF6BBA">
      <w:pPr>
        <w:bidi w:val="0"/>
        <w:ind w:left="851"/>
        <w:rPr>
          <w:rFonts w:ascii="Times New Roman" w:hAnsi="Times New Roman"/>
        </w:rPr>
      </w:pPr>
    </w:p>
    <w:p w:rsidR="00BF6BBA" w:rsidRPr="00BF6BBA" w:rsidP="00BF6BBA">
      <w:pPr>
        <w:bidi w:val="0"/>
        <w:ind w:left="851"/>
        <w:rPr>
          <w:rFonts w:ascii="Times New Roman" w:hAnsi="Times New Roman"/>
        </w:rPr>
      </w:pPr>
      <w:r w:rsidRPr="00BF6BBA">
        <w:rPr>
          <w:rFonts w:ascii="Times New Roman" w:hAnsi="Times New Roman"/>
        </w:rPr>
        <w:t>Smernica Rady 2000/43/ES z 29. júna 2000 (Ú. v. ES L 180, 19.7.2000) ktorou sa zavádza zásada rovnakého zaobchádzania s osobami bez ohľadu na rasový alebo etnický pôvod</w:t>
      </w:r>
    </w:p>
    <w:p w:rsidR="00BF6BBA" w:rsidRPr="00BF6BBA" w:rsidP="00BF6BBA">
      <w:pPr>
        <w:bidi w:val="0"/>
        <w:ind w:left="851"/>
        <w:rPr>
          <w:rFonts w:ascii="Times New Roman" w:hAnsi="Times New Roman"/>
        </w:rPr>
      </w:pPr>
    </w:p>
    <w:p w:rsidR="00BF6BBA" w:rsidRPr="00BF6BBA" w:rsidP="00BF6BBA">
      <w:pPr>
        <w:bidi w:val="0"/>
        <w:ind w:left="851"/>
        <w:rPr>
          <w:rFonts w:ascii="Times New Roman" w:hAnsi="Times New Roman"/>
        </w:rPr>
      </w:pPr>
      <w:r w:rsidRPr="00BF6BBA">
        <w:rPr>
          <w:rFonts w:ascii="Times New Roman" w:hAnsi="Times New Roman"/>
        </w:rPr>
        <w:t>Smernica Rady 2000/78/ES z 27. novembra 2000 (Ú. v. ES L 303, 2.12.2000) ktorá ustanovuje všeobecný rámec pre rovnaké zaobchádzanie v zamestnaní a povolaní</w:t>
      </w:r>
    </w:p>
    <w:p w:rsidR="00BF6BBA" w:rsidRPr="00BF6BBA" w:rsidP="00BF6BBA">
      <w:pPr>
        <w:bidi w:val="0"/>
        <w:ind w:left="851"/>
        <w:rPr>
          <w:rFonts w:ascii="Times New Roman" w:hAnsi="Times New Roman"/>
        </w:rPr>
      </w:pPr>
    </w:p>
    <w:p w:rsidR="00BF6BBA" w:rsidRPr="00BF6BBA" w:rsidP="00BF6BBA">
      <w:pPr>
        <w:bidi w:val="0"/>
        <w:ind w:left="851"/>
        <w:rPr>
          <w:rFonts w:ascii="Times New Roman" w:hAnsi="Times New Roman"/>
        </w:rPr>
      </w:pPr>
      <w:r w:rsidRPr="00BF6BBA">
        <w:rPr>
          <w:rFonts w:ascii="Times New Roman" w:hAnsi="Times New Roman"/>
        </w:rPr>
        <w:t>Smernica Európskeho parlamentu a Rady 2006/54/ES z 5. júla 2006 (Ú. v. EÚ L 204, 26.7.2006) o vykonávaní zásady rovnosti príležitostí a rovnakého zaobchádzania s mužmi a ženami vo veciach zamestnanosti a povolania</w:t>
      </w:r>
    </w:p>
    <w:p w:rsidR="00BF6BBA" w:rsidRPr="00BF6BBA" w:rsidP="00BF6BBA">
      <w:pPr>
        <w:bidi w:val="0"/>
        <w:ind w:left="360"/>
        <w:rPr>
          <w:rFonts w:ascii="Times New Roman" w:hAnsi="Times New Roman"/>
        </w:rPr>
      </w:pPr>
    </w:p>
    <w:p w:rsidR="00BF6BBA" w:rsidRPr="00BF6BBA" w:rsidP="00BF6BBA">
      <w:pPr>
        <w:bidi w:val="0"/>
        <w:ind w:firstLine="360"/>
        <w:rPr>
          <w:rFonts w:ascii="Times New Roman" w:hAnsi="Times New Roman"/>
        </w:rPr>
      </w:pPr>
    </w:p>
    <w:p w:rsidR="00BF6BBA" w:rsidRPr="00BF6BBA" w:rsidP="00BF6BBA">
      <w:pPr>
        <w:bidi w:val="0"/>
        <w:ind w:left="709" w:hanging="349"/>
        <w:rPr>
          <w:rFonts w:ascii="Times New Roman" w:hAnsi="Times New Roman"/>
        </w:rPr>
      </w:pPr>
      <w:r w:rsidRPr="00BF6BBA">
        <w:rPr>
          <w:rFonts w:ascii="Times New Roman" w:hAnsi="Times New Roman"/>
        </w:rPr>
        <w:t>b)</w:t>
        <w:tab/>
        <w:t>je obsiahnutá v judikatúre Súdneho dvora Európskej únie.</w:t>
      </w:r>
    </w:p>
    <w:p w:rsidR="00BF6BBA" w:rsidRPr="00BF6BBA" w:rsidP="00BF6BBA">
      <w:pPr>
        <w:bidi w:val="0"/>
        <w:ind w:left="709" w:hanging="349"/>
        <w:rPr>
          <w:rFonts w:ascii="Times New Roman" w:hAnsi="Times New Roman"/>
        </w:rPr>
      </w:pPr>
    </w:p>
    <w:p w:rsidR="00BF6BBA" w:rsidRPr="00BF6BBA" w:rsidP="00BF6BBA">
      <w:pPr>
        <w:bidi w:val="0"/>
        <w:ind w:left="720"/>
        <w:rPr>
          <w:rFonts w:ascii="Times New Roman" w:hAnsi="Times New Roman"/>
        </w:rPr>
      </w:pPr>
      <w:r w:rsidRPr="00BF6BBA">
        <w:rPr>
          <w:rFonts w:ascii="Times New Roman" w:hAnsi="Times New Roman"/>
        </w:rPr>
        <w:t xml:space="preserve">Rozhodnutie Súdneho dvora vo veci C-34/10 z 18. októbra 2011, Oliver Brusstle/Greenpace e.V., bod 25 </w:t>
        <w:br/>
        <w:br/>
        <w:t xml:space="preserve">Rozhodnutie Súdneho dvora z 18. januára 1984, Ekro, 327/82. Zb., s. 107, bod 11 </w:t>
        <w:br/>
        <w:br/>
        <w:t xml:space="preserve">Rozhodnutie Súdneho dvora vo veci C-287/98 z 19. septembra 2000, Linster, Zb., s. I-6917, bod 43 </w:t>
        <w:br/>
        <w:br/>
        <w:t xml:space="preserve">Rozhodnutie Súdneho dvora vo veci C-5/08 zo 16. júla 2009, Infopaq International, Zb. s. I-6569, bod 27 </w:t>
        <w:br/>
        <w:br/>
        <w:t xml:space="preserve">Rozhodnutie Súdneho dvora vo veci C-467/08 z 21. októbra 2010, Padawan, zatiaľ neuverejnený v Zbierke, bod 32 </w:t>
        <w:br/>
        <w:t> </w:t>
      </w:r>
    </w:p>
    <w:p w:rsidR="00BF6BBA" w:rsidRPr="00BF6BBA" w:rsidP="00BF6BBA">
      <w:pPr>
        <w:bidi w:val="0"/>
        <w:ind w:left="426"/>
        <w:rPr>
          <w:rFonts w:ascii="Times New Roman" w:hAnsi="Times New Roman"/>
        </w:rPr>
      </w:pPr>
    </w:p>
    <w:p w:rsidR="00BF6BBA" w:rsidRPr="00BF6BBA" w:rsidP="00BF6BBA">
      <w:pPr>
        <w:bidi w:val="0"/>
        <w:rPr>
          <w:rFonts w:ascii="Times New Roman" w:hAnsi="Times New Roman"/>
        </w:rPr>
      </w:pPr>
    </w:p>
    <w:p w:rsidR="00BF6BBA" w:rsidRPr="00BF6BBA" w:rsidP="00BF6BBA">
      <w:pPr>
        <w:bidi w:val="0"/>
        <w:ind w:left="360" w:hanging="360"/>
        <w:rPr>
          <w:rFonts w:ascii="Times New Roman" w:hAnsi="Times New Roman"/>
          <w:b/>
        </w:rPr>
      </w:pPr>
      <w:r w:rsidRPr="00BF6BBA">
        <w:rPr>
          <w:rFonts w:ascii="Times New Roman" w:hAnsi="Times New Roman"/>
          <w:b/>
        </w:rPr>
        <w:t>4.</w:t>
        <w:tab/>
        <w:t xml:space="preserve">Záväzky Slovenskej republiky vo vzťahu k Európskej únii: </w:t>
      </w:r>
    </w:p>
    <w:p w:rsidR="00BF6BBA" w:rsidRPr="00BF6BBA" w:rsidP="00BF6BBA">
      <w:pPr>
        <w:bidi w:val="0"/>
        <w:rPr>
          <w:rFonts w:ascii="Times New Roman" w:hAnsi="Times New Roman"/>
        </w:rPr>
      </w:pPr>
    </w:p>
    <w:p w:rsidR="00BF6BBA" w:rsidRPr="00BF6BBA" w:rsidP="00BF6BBA">
      <w:pPr>
        <w:bidi w:val="0"/>
        <w:ind w:left="709" w:hanging="349"/>
        <w:rPr>
          <w:rFonts w:ascii="Times New Roman" w:hAnsi="Times New Roman"/>
        </w:rPr>
      </w:pPr>
      <w:r w:rsidRPr="00BF6BBA">
        <w:rPr>
          <w:rFonts w:ascii="Times New Roman" w:hAnsi="Times New Roman"/>
        </w:rPr>
        <w:t>a)</w:t>
        <w:tab/>
        <w:t>lehota na prebratie smernice alebo lehota na implementáciu nariadenia alebo rozhodnutia</w:t>
      </w:r>
    </w:p>
    <w:p w:rsidR="00BF6BBA" w:rsidRPr="00BF6BBA" w:rsidP="00BF6BBA">
      <w:pPr>
        <w:bidi w:val="0"/>
        <w:ind w:left="720"/>
        <w:rPr>
          <w:rFonts w:ascii="Times New Roman" w:hAnsi="Times New Roman"/>
        </w:rPr>
      </w:pPr>
    </w:p>
    <w:p w:rsidR="00BF6BBA" w:rsidRPr="00BF6BBA" w:rsidP="00BF6BBA">
      <w:pPr>
        <w:bidi w:val="0"/>
        <w:ind w:left="720"/>
        <w:rPr>
          <w:rFonts w:ascii="Times New Roman" w:hAnsi="Times New Roman"/>
        </w:rPr>
      </w:pPr>
      <w:r w:rsidRPr="00BF6BBA">
        <w:rPr>
          <w:rFonts w:ascii="Times New Roman" w:hAnsi="Times New Roman"/>
        </w:rPr>
        <w:t>do 21. decembra 2007  </w:t>
      </w:r>
    </w:p>
    <w:p w:rsidR="00BF6BBA" w:rsidRPr="00BF6BBA" w:rsidP="00BF6BBA">
      <w:pPr>
        <w:bidi w:val="0"/>
        <w:rPr>
          <w:rFonts w:ascii="Times New Roman" w:hAnsi="Times New Roman"/>
        </w:rPr>
      </w:pPr>
    </w:p>
    <w:p w:rsidR="00BF6BBA" w:rsidRPr="00BF6BBA" w:rsidP="00BF6BBA">
      <w:pPr>
        <w:bidi w:val="0"/>
        <w:ind w:left="709" w:hanging="349"/>
        <w:rPr>
          <w:rFonts w:ascii="Times New Roman" w:hAnsi="Times New Roman"/>
        </w:rPr>
      </w:pPr>
      <w:r w:rsidRPr="00BF6BBA">
        <w:rPr>
          <w:rFonts w:ascii="Times New Roman" w:hAnsi="Times New Roman"/>
        </w:rPr>
        <w:t>b)</w:t>
        <w:tab/>
      </w:r>
      <w:r w:rsidRPr="00BF6BBA">
        <w:rPr>
          <w:rFonts w:ascii="Times New Roman" w:hAnsi="Times New Roman"/>
          <w:color w:val="000000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BF6BBA" w:rsidRPr="00BF6BBA" w:rsidP="00BF6BBA">
      <w:pPr>
        <w:bidi w:val="0"/>
        <w:ind w:left="709" w:hanging="349"/>
        <w:rPr>
          <w:rFonts w:ascii="Times New Roman" w:hAnsi="Times New Roman"/>
        </w:rPr>
      </w:pPr>
      <w:r w:rsidRPr="00BF6BBA">
        <w:rPr>
          <w:rFonts w:ascii="Times New Roman" w:hAnsi="Times New Roman"/>
        </w:rPr>
        <w:tab/>
      </w:r>
    </w:p>
    <w:p w:rsidR="00BF6BBA" w:rsidRPr="00BF6BBA" w:rsidP="00BF6BBA">
      <w:pPr>
        <w:bidi w:val="0"/>
        <w:ind w:left="709" w:hanging="349"/>
        <w:rPr>
          <w:rFonts w:ascii="Times New Roman" w:hAnsi="Times New Roman"/>
        </w:rPr>
      </w:pPr>
      <w:r w:rsidRPr="00BF6BBA">
        <w:rPr>
          <w:rFonts w:ascii="Times New Roman" w:hAnsi="Times New Roman"/>
        </w:rPr>
        <w:tab/>
        <w:t> </w:t>
      </w:r>
    </w:p>
    <w:p w:rsidR="00BF6BBA" w:rsidRPr="00BF6BBA" w:rsidP="00BF6BBA">
      <w:pPr>
        <w:bidi w:val="0"/>
        <w:ind w:left="709" w:hanging="349"/>
        <w:rPr>
          <w:rFonts w:ascii="Times New Roman" w:hAnsi="Times New Roman"/>
        </w:rPr>
      </w:pPr>
    </w:p>
    <w:p w:rsidR="00BF6BBA" w:rsidRPr="00BF6BBA" w:rsidP="00BF6BBA">
      <w:pPr>
        <w:bidi w:val="0"/>
        <w:ind w:left="709" w:hanging="349"/>
        <w:rPr>
          <w:rFonts w:ascii="Times New Roman" w:hAnsi="Times New Roman"/>
        </w:rPr>
      </w:pPr>
      <w:r w:rsidRPr="00BF6BBA">
        <w:rPr>
          <w:rFonts w:ascii="Times New Roman" w:hAnsi="Times New Roman"/>
        </w:rPr>
        <w:t>c)</w:t>
        <w:tab/>
        <w:t>informácia o konaní začatom proti Slovenskej republike o porušení podľa čl. 258 až 260 Zmluvy o fungovaní Európskej únie</w:t>
      </w:r>
    </w:p>
    <w:p w:rsidR="00BF6BBA" w:rsidRPr="00BF6BBA" w:rsidP="00BF6BBA">
      <w:pPr>
        <w:bidi w:val="0"/>
        <w:ind w:left="720"/>
        <w:rPr>
          <w:rFonts w:ascii="Times New Roman" w:hAnsi="Times New Roman"/>
        </w:rPr>
      </w:pPr>
    </w:p>
    <w:p w:rsidR="00BF6BBA" w:rsidRPr="00BF6BBA" w:rsidP="00BF6BBA">
      <w:pPr>
        <w:bidi w:val="0"/>
        <w:ind w:firstLine="708"/>
        <w:rPr>
          <w:rFonts w:ascii="Times New Roman" w:hAnsi="Times New Roman"/>
        </w:rPr>
      </w:pPr>
      <w:r w:rsidRPr="00BF6BBA">
        <w:rPr>
          <w:rFonts w:ascii="Times New Roman" w:hAnsi="Times New Roman"/>
        </w:rPr>
        <w:t> </w:t>
      </w:r>
    </w:p>
    <w:p w:rsidR="00BF6BBA" w:rsidRPr="00BF6BBA" w:rsidP="00BF6BBA">
      <w:pPr>
        <w:bidi w:val="0"/>
        <w:ind w:firstLine="708"/>
        <w:rPr>
          <w:rFonts w:ascii="Times New Roman" w:hAnsi="Times New Roman"/>
        </w:rPr>
      </w:pPr>
    </w:p>
    <w:p w:rsidR="00BF6BBA" w:rsidRPr="00BF6BBA" w:rsidP="00BF6BBA">
      <w:pPr>
        <w:bidi w:val="0"/>
        <w:ind w:left="709" w:hanging="349"/>
        <w:rPr>
          <w:rFonts w:ascii="Times New Roman" w:hAnsi="Times New Roman"/>
        </w:rPr>
      </w:pPr>
      <w:r w:rsidRPr="00BF6BBA">
        <w:rPr>
          <w:rFonts w:ascii="Times New Roman" w:hAnsi="Times New Roman"/>
        </w:rPr>
        <w:t>d)</w:t>
        <w:tab/>
        <w:t>informácia o právnych predpisoch, v ktorých sú preberané smernice už prebraté spolu s uvedením rozsahu tohto prebratia</w:t>
      </w:r>
    </w:p>
    <w:p w:rsidR="00BF6BBA" w:rsidRPr="00BF6BBA" w:rsidP="00BF6BBA">
      <w:pPr>
        <w:bidi w:val="0"/>
        <w:ind w:left="720"/>
        <w:rPr>
          <w:rFonts w:ascii="Times New Roman" w:hAnsi="Times New Roman"/>
        </w:rPr>
      </w:pPr>
    </w:p>
    <w:p w:rsidR="00BF6BBA" w:rsidRPr="00BF6BBA" w:rsidP="00BF6BBA">
      <w:pPr>
        <w:bidi w:val="0"/>
        <w:ind w:firstLine="708"/>
        <w:rPr>
          <w:rFonts w:ascii="Times New Roman" w:hAnsi="Times New Roman"/>
        </w:rPr>
      </w:pPr>
      <w:r w:rsidRPr="00BF6BBA">
        <w:rPr>
          <w:rFonts w:ascii="Times New Roman" w:hAnsi="Times New Roman"/>
        </w:rPr>
        <w:t xml:space="preserve">Zákon, ktorým sa mení a dopĺňa zákon č. 365/2004 Z. z. o rovnakom zaobchádzaní v niektorých oblastiach a o ochrane pred diskrimináciou a o zmene a doplnení niektorých zákonov (antidiskriminačný zákon) v znení neskorších predpisov </w:t>
        <w:br/>
        <w:br/>
        <w:t xml:space="preserve">Zákon č. 8/2008 Z. z. o poisťovníctve a o zmene a doplnení niektorých zákonov v znení neskorších predpisov </w:t>
        <w:br/>
        <w:t> </w:t>
      </w:r>
    </w:p>
    <w:p w:rsidR="00BF6BBA" w:rsidRPr="00BF6BBA" w:rsidP="00BF6BBA">
      <w:pPr>
        <w:bidi w:val="0"/>
        <w:ind w:firstLine="708"/>
        <w:rPr>
          <w:rFonts w:ascii="Times New Roman" w:hAnsi="Times New Roman"/>
        </w:rPr>
      </w:pPr>
    </w:p>
    <w:p w:rsidR="00BF6BBA" w:rsidRPr="00BF6BBA" w:rsidP="00BF6BBA">
      <w:pPr>
        <w:bidi w:val="0"/>
        <w:ind w:left="360" w:hanging="360"/>
        <w:rPr>
          <w:rFonts w:ascii="Times New Roman" w:hAnsi="Times New Roman"/>
          <w:b/>
        </w:rPr>
      </w:pPr>
      <w:r w:rsidRPr="00BF6BBA">
        <w:rPr>
          <w:rFonts w:ascii="Times New Roman" w:hAnsi="Times New Roman"/>
          <w:b/>
        </w:rPr>
        <w:t>5.</w:t>
        <w:tab/>
        <w:t>Stupeň zlučiteľnosti návrhu právneho predpisu s právom Európskej únie:</w:t>
      </w:r>
    </w:p>
    <w:p w:rsidR="00BF6BBA" w:rsidRPr="00BF6BBA" w:rsidP="00BF6BBA">
      <w:pPr>
        <w:bidi w:val="0"/>
        <w:rPr>
          <w:rFonts w:ascii="Times New Roman" w:hAnsi="Times New Roman"/>
        </w:rPr>
      </w:pPr>
    </w:p>
    <w:p w:rsidR="00BF6BBA" w:rsidRPr="00BF6BBA" w:rsidP="00BF6BBA">
      <w:pPr>
        <w:bidi w:val="0"/>
        <w:ind w:firstLine="360"/>
        <w:rPr>
          <w:rFonts w:ascii="Times New Roman" w:hAnsi="Times New Roman"/>
        </w:rPr>
      </w:pPr>
      <w:r w:rsidRPr="00BF6BBA">
        <w:rPr>
          <w:rFonts w:ascii="Times New Roman" w:hAnsi="Times New Roman"/>
        </w:rPr>
        <w:t>Stupeň zlučiteľnosti - úplný </w:t>
      </w:r>
    </w:p>
    <w:p w:rsidR="00BF6BBA" w:rsidRPr="00BF6BBA" w:rsidP="00BF6BBA">
      <w:pPr>
        <w:bidi w:val="0"/>
        <w:rPr>
          <w:rFonts w:ascii="Times New Roman" w:hAnsi="Times New Roman"/>
        </w:rPr>
      </w:pPr>
    </w:p>
    <w:p w:rsidR="00BF6BBA" w:rsidRPr="00BF6BBA" w:rsidP="00BF6BBA">
      <w:pPr>
        <w:bidi w:val="0"/>
        <w:ind w:left="360" w:hanging="360"/>
        <w:rPr>
          <w:rFonts w:ascii="Times New Roman" w:hAnsi="Times New Roman"/>
          <w:b/>
        </w:rPr>
      </w:pPr>
      <w:r w:rsidRPr="00BF6BBA">
        <w:rPr>
          <w:rFonts w:ascii="Times New Roman" w:hAnsi="Times New Roman"/>
          <w:b/>
        </w:rPr>
        <w:t>6.</w:t>
        <w:tab/>
        <w:t xml:space="preserve">Gestor a spolupracujúce rezorty: </w:t>
      </w:r>
    </w:p>
    <w:p w:rsidR="00BF6BBA" w:rsidRPr="00BF6BBA" w:rsidP="00BF6BBA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</w:p>
    <w:p w:rsidR="00BF6BBA" w:rsidRPr="00BF6BBA" w:rsidP="00BF6BBA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  <w:r w:rsidRPr="00BF6BBA">
        <w:rPr>
          <w:rFonts w:ascii="Times New Roman" w:hAnsi="Times New Roman"/>
        </w:rPr>
        <w:t> </w:t>
      </w:r>
    </w:p>
    <w:p w:rsidR="00BF6BBA" w:rsidRPr="00BF6BBA" w:rsidP="00BF6BBA">
      <w:pPr>
        <w:tabs>
          <w:tab w:val="left" w:pos="360"/>
        </w:tabs>
        <w:bidi w:val="0"/>
        <w:rPr>
          <w:rFonts w:ascii="Times New Roman" w:hAnsi="Times New Roman"/>
        </w:rPr>
      </w:pPr>
    </w:p>
    <w:p w:rsidR="00BF6BBA" w:rsidRPr="00BF6BBA" w:rsidP="00BF6BBA">
      <w:pPr>
        <w:bidi w:val="0"/>
        <w:rPr>
          <w:rFonts w:ascii="Times New Roman" w:hAnsi="Times New Roman"/>
        </w:rPr>
      </w:pPr>
    </w:p>
    <w:p w:rsidR="00BF6BBA" w:rsidRPr="00BF6BBA" w:rsidP="00BF6BBA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</w:p>
    <w:p w:rsidR="00BF6BBA" w:rsidRPr="00BF6BBA" w:rsidP="00BF6BBA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  <w:r w:rsidR="003B75C6">
        <w:rPr>
          <w:rFonts w:ascii="Times New Roman" w:hAnsi="Times New Roman"/>
          <w:b/>
          <w:bCs/>
          <w:caps/>
          <w:color w:val="000000"/>
          <w:spacing w:val="30"/>
        </w:rPr>
        <w:br w:type="page"/>
      </w:r>
      <w:r w:rsidRPr="00BF6BBA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BF6BBA" w:rsidRPr="00BF6BBA" w:rsidP="00BF6BBA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 w:rsidRPr="00BF6BBA">
        <w:rPr>
          <w:rFonts w:ascii="Times New Roman" w:hAnsi="Times New Roman"/>
          <w:b/>
          <w:bCs/>
          <w:color w:val="000000"/>
        </w:rPr>
        <w:t>vybraných vplyvov</w:t>
      </w:r>
    </w:p>
    <w:p w:rsidR="00BF6BBA" w:rsidRPr="00BF6BBA" w:rsidP="00BF6BBA">
      <w:pPr>
        <w:bidi w:val="0"/>
        <w:rPr>
          <w:rFonts w:ascii="Times New Roman" w:hAnsi="Times New Roman"/>
          <w:color w:val="000000"/>
        </w:rPr>
      </w:pPr>
    </w:p>
    <w:p w:rsidR="00BF6BBA" w:rsidRPr="00BF6BBA" w:rsidP="00BF6BBA">
      <w:pPr>
        <w:bidi w:val="0"/>
        <w:rPr>
          <w:rFonts w:ascii="Times New Roman" w:hAnsi="Times New Roman"/>
          <w:color w:val="000000"/>
        </w:rPr>
      </w:pPr>
    </w:p>
    <w:p w:rsidR="00BF6BBA" w:rsidRPr="00BF6BBA" w:rsidP="00BF6BBA">
      <w:pPr>
        <w:bidi w:val="0"/>
        <w:jc w:val="both"/>
        <w:rPr>
          <w:rFonts w:ascii="Times New Roman" w:hAnsi="Times New Roman"/>
          <w:color w:val="000000"/>
        </w:rPr>
      </w:pPr>
      <w:r w:rsidRPr="00BF6BBA">
        <w:rPr>
          <w:rFonts w:ascii="Times New Roman" w:hAnsi="Times New Roman"/>
          <w:b/>
          <w:bCs/>
          <w:color w:val="000000"/>
        </w:rPr>
        <w:t xml:space="preserve">A.1. Názov materiálu: </w:t>
      </w:r>
      <w:r w:rsidRPr="00BF6BBA">
        <w:rPr>
          <w:rFonts w:ascii="Times New Roman" w:hAnsi="Times New Roman"/>
          <w:color w:val="000000"/>
        </w:rPr>
        <w:t>Návrh zákona, ktorým sa mení a dopĺňa zákon č. 365/2004 Z. z. o rovnakom zaobchádzaní v niektorých oblastiach a o ochrane pred diskrimináciou a o zmene a doplnení niektorých zákonov (antidiskriminačný zákon) v znení neskorších predpisov a ktorým sa mení zákon č. 8/2008 Z. z. o poisťovníctve a o zmene a doplnení niektorých zákonov v znení neskorších predpisov </w:t>
      </w:r>
    </w:p>
    <w:p w:rsidR="00BF6BBA" w:rsidRPr="00BF6BBA" w:rsidP="00BF6BBA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BF6BBA">
        <w:rPr>
          <w:rFonts w:ascii="Times New Roman" w:hAnsi="Times New Roman"/>
          <w:b/>
          <w:bCs/>
          <w:color w:val="000000"/>
        </w:rPr>
        <w:t xml:space="preserve">        Termín začatia a ukončenia PPK:</w:t>
      </w:r>
      <w:r w:rsidRPr="00BF6BBA">
        <w:rPr>
          <w:rFonts w:ascii="Times New Roman" w:hAnsi="Times New Roman"/>
          <w:color w:val="000000"/>
        </w:rPr>
        <w:t xml:space="preserve"> -  </w:t>
      </w:r>
    </w:p>
    <w:p w:rsidR="00BF6BBA" w:rsidRPr="00BF6BBA" w:rsidP="00BF6BBA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BF6BBA" w:rsidRPr="00BF6BBA" w:rsidP="00BF6BBA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BF6BBA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8"/>
        <w:gridCol w:w="1192"/>
        <w:gridCol w:w="1180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F6BBA" w:rsidRPr="00BF6BBA" w:rsidP="00345B2B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F6BBA" w:rsidRPr="00BF6BBA" w:rsidP="00345B2B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BF6BBA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F6BBA" w:rsidRPr="00BF6BBA" w:rsidP="00345B2B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BF6BBA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F6BBA" w:rsidRPr="00BF6BBA" w:rsidP="00345B2B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BF6BBA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F6BBA" w:rsidRPr="00BF6BBA" w:rsidP="00345B2B">
            <w:pPr>
              <w:bidi w:val="0"/>
              <w:rPr>
                <w:rFonts w:ascii="Times New Roman" w:hAnsi="Times New Roman"/>
                <w:color w:val="000000"/>
              </w:rPr>
            </w:pPr>
            <w:r w:rsidRPr="00BF6BBA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F6BBA" w:rsidRPr="00BF6BBA" w:rsidP="00345B2B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F6BBA" w:rsidRPr="00BF6BBA" w:rsidP="00345B2B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BF6BBA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F6BBA" w:rsidRPr="00BF6BBA" w:rsidP="00345B2B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F6BBA" w:rsidRPr="00BF6BBA" w:rsidP="00345B2B">
            <w:pPr>
              <w:bidi w:val="0"/>
              <w:rPr>
                <w:rFonts w:ascii="Times New Roman" w:hAnsi="Times New Roman"/>
                <w:color w:val="000000"/>
              </w:rPr>
            </w:pPr>
            <w:r w:rsidRPr="00BF6BBA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F6BBA" w:rsidRPr="00BF6BBA" w:rsidP="00345B2B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F6BBA" w:rsidRPr="00BF6BBA" w:rsidP="00345B2B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BF6BBA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F6BBA" w:rsidRPr="00BF6BBA" w:rsidP="00345B2B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F6BBA" w:rsidRPr="00BF6BBA" w:rsidP="00345B2B">
            <w:pPr>
              <w:bidi w:val="0"/>
              <w:rPr>
                <w:rFonts w:ascii="Times New Roman" w:hAnsi="Times New Roman"/>
                <w:color w:val="000000"/>
              </w:rPr>
            </w:pPr>
            <w:r w:rsidRPr="00BF6BBA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F6BBA" w:rsidRPr="00BF6BBA" w:rsidP="00345B2B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BF6BBA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F6BBA" w:rsidRPr="00BF6BBA" w:rsidP="00345B2B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F6BBA" w:rsidRPr="00BF6BBA" w:rsidP="00345B2B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F6BBA" w:rsidRPr="00BF6BBA" w:rsidP="00345B2B">
            <w:pPr>
              <w:bidi w:val="0"/>
              <w:rPr>
                <w:rFonts w:ascii="Times New Roman" w:hAnsi="Times New Roman"/>
                <w:color w:val="000000"/>
              </w:rPr>
            </w:pPr>
            <w:r w:rsidRPr="00BF6BBA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F6BBA" w:rsidRPr="00BF6BBA" w:rsidP="00345B2B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F6BBA" w:rsidRPr="00BF6BBA" w:rsidP="00345B2B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F6BBA" w:rsidRPr="00BF6BBA" w:rsidP="00345B2B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F6BBA" w:rsidRPr="00BF6BBA" w:rsidP="00345B2B">
            <w:pPr>
              <w:bidi w:val="0"/>
              <w:rPr>
                <w:rFonts w:ascii="Times New Roman" w:hAnsi="Times New Roman"/>
                <w:color w:val="000000"/>
              </w:rPr>
            </w:pPr>
            <w:r w:rsidRPr="00BF6BBA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F6BBA" w:rsidRPr="00BF6BBA" w:rsidP="00345B2B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F6BBA" w:rsidRPr="00BF6BBA" w:rsidP="00345B2B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F6BBA" w:rsidRPr="00BF6BBA" w:rsidP="00345B2B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F6BBA" w:rsidRPr="00BF6BBA" w:rsidP="00345B2B">
            <w:pPr>
              <w:bidi w:val="0"/>
              <w:rPr>
                <w:rFonts w:ascii="Times New Roman" w:hAnsi="Times New Roman"/>
                <w:color w:val="000000"/>
              </w:rPr>
            </w:pPr>
            <w:r w:rsidRPr="00BF6BBA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F6BBA" w:rsidRPr="00BF6BBA" w:rsidP="00345B2B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F6BBA" w:rsidRPr="00BF6BBA" w:rsidP="00345B2B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F6BBA" w:rsidRPr="00BF6BBA" w:rsidP="00345B2B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F6BBA" w:rsidRPr="00BF6BBA" w:rsidP="00345B2B">
            <w:pPr>
              <w:bidi w:val="0"/>
              <w:rPr>
                <w:rFonts w:ascii="Times New Roman" w:hAnsi="Times New Roman"/>
                <w:color w:val="000000"/>
              </w:rPr>
            </w:pPr>
            <w:r w:rsidRPr="00BF6BBA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F6BBA" w:rsidRPr="00BF6BBA" w:rsidP="00345B2B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F6BBA" w:rsidRPr="00BF6BBA" w:rsidP="00345B2B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BF6BBA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F6BBA" w:rsidRPr="00BF6BBA" w:rsidP="00345B2B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F6BBA" w:rsidRPr="00BF6BBA" w:rsidP="00345B2B">
            <w:pPr>
              <w:bidi w:val="0"/>
              <w:rPr>
                <w:rFonts w:ascii="Times New Roman" w:hAnsi="Times New Roman"/>
                <w:color w:val="000000"/>
              </w:rPr>
            </w:pPr>
            <w:r w:rsidRPr="00BF6BBA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F6BBA" w:rsidRPr="00BF6BBA" w:rsidP="00345B2B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F6BBA" w:rsidRPr="00BF6BBA" w:rsidP="00345B2B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BF6BBA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F6BBA" w:rsidRPr="00BF6BBA" w:rsidP="00345B2B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BF6BBA" w:rsidRPr="00BF6BBA" w:rsidP="00BF6BBA">
      <w:pPr>
        <w:bidi w:val="0"/>
        <w:rPr>
          <w:rFonts w:ascii="Times New Roman" w:hAnsi="Times New Roman"/>
          <w:color w:val="000000"/>
        </w:rPr>
      </w:pPr>
      <w:r w:rsidRPr="00BF6BBA">
        <w:rPr>
          <w:rFonts w:ascii="Times New Roman" w:hAnsi="Times New Roman"/>
          <w:color w:val="000000"/>
        </w:rPr>
        <w:t> </w:t>
      </w:r>
    </w:p>
    <w:p w:rsidR="00BF6BBA" w:rsidRPr="00BF6BBA" w:rsidP="00BF6BBA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BF6BBA" w:rsidRPr="00BF6BBA" w:rsidP="00BF6BBA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BF6BBA">
        <w:rPr>
          <w:rFonts w:ascii="Times New Roman" w:hAnsi="Times New Roman"/>
          <w:b/>
          <w:bCs/>
          <w:color w:val="000000"/>
        </w:rPr>
        <w:t>A.3. Poznámky</w:t>
      </w:r>
    </w:p>
    <w:p w:rsidR="00BF6BBA" w:rsidRPr="00BF6BBA" w:rsidP="00BF6BBA">
      <w:pPr>
        <w:bidi w:val="0"/>
        <w:jc w:val="both"/>
        <w:rPr>
          <w:rFonts w:ascii="Times New Roman" w:hAnsi="Times New Roman"/>
          <w:color w:val="000000"/>
        </w:rPr>
      </w:pPr>
      <w:r w:rsidRPr="00BF6BBA">
        <w:rPr>
          <w:rFonts w:ascii="Times New Roman" w:hAnsi="Times New Roman"/>
          <w:color w:val="000000"/>
        </w:rPr>
        <w:t>Návrh zákona má pozitívny vplyv na rodovú rovnosť a rovnosť príležitostí. </w:t>
      </w:r>
    </w:p>
    <w:p w:rsidR="00BF6BBA" w:rsidRPr="00BF6BBA" w:rsidP="00BF6BBA">
      <w:pPr>
        <w:bidi w:val="0"/>
        <w:jc w:val="both"/>
        <w:rPr>
          <w:rFonts w:ascii="Times New Roman" w:hAnsi="Times New Roman"/>
          <w:i/>
          <w:iCs/>
          <w:color w:val="000000"/>
        </w:rPr>
      </w:pPr>
      <w:r w:rsidRPr="00BF6BBA">
        <w:rPr>
          <w:rFonts w:ascii="Times New Roman" w:hAnsi="Times New Roman"/>
          <w:i/>
          <w:iCs/>
          <w:color w:val="000000"/>
        </w:rPr>
        <w:t xml:space="preserve">      </w:t>
      </w:r>
    </w:p>
    <w:p w:rsidR="00BF6BBA" w:rsidRPr="00BF6BBA" w:rsidP="00BF6BBA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BF6BBA">
        <w:rPr>
          <w:rFonts w:ascii="Times New Roman" w:hAnsi="Times New Roman"/>
          <w:b/>
          <w:bCs/>
          <w:color w:val="000000"/>
        </w:rPr>
        <w:t>A.4. Alternatívne riešenia</w:t>
      </w:r>
    </w:p>
    <w:p w:rsidR="00BF6BBA" w:rsidRPr="00BF6BBA" w:rsidP="00BF6BBA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BF6BBA">
        <w:rPr>
          <w:rFonts w:ascii="Times New Roman" w:hAnsi="Times New Roman"/>
          <w:color w:val="000000"/>
        </w:rPr>
        <w:t> </w:t>
      </w:r>
    </w:p>
    <w:p w:rsidR="00BF6BBA" w:rsidRPr="00BF6BBA" w:rsidP="00BF6BBA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BF6BBA" w:rsidRPr="00BF6BBA" w:rsidP="00BF6BBA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BF6BBA">
        <w:rPr>
          <w:rFonts w:ascii="Times New Roman" w:hAnsi="Times New Roman"/>
          <w:b/>
          <w:bCs/>
          <w:color w:val="000000"/>
        </w:rPr>
        <w:t>A.5. Stanovisko gestorov</w:t>
      </w:r>
    </w:p>
    <w:p w:rsidR="00BF6BBA" w:rsidRPr="00BF6BBA" w:rsidP="00BF6BBA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BF6BBA">
        <w:rPr>
          <w:rFonts w:ascii="Times New Roman" w:hAnsi="Times New Roman"/>
          <w:color w:val="000000"/>
        </w:rPr>
        <w:t> </w:t>
      </w:r>
    </w:p>
    <w:p w:rsidR="00BF6BBA" w:rsidRPr="00BF6BBA" w:rsidP="00EC3B55">
      <w:pPr>
        <w:bidi w:val="0"/>
        <w:jc w:val="both"/>
        <w:rPr>
          <w:rFonts w:ascii="Times New Roman" w:hAnsi="Times New Roman"/>
          <w:b/>
          <w:bCs/>
        </w:rPr>
      </w:pPr>
    </w:p>
    <w:p w:rsidR="00BF6BBA" w:rsidRPr="00BF6BBA" w:rsidP="00EC3B55">
      <w:pPr>
        <w:bidi w:val="0"/>
        <w:jc w:val="both"/>
        <w:rPr>
          <w:rFonts w:ascii="Times New Roman" w:hAnsi="Times New Roman"/>
          <w:b/>
          <w:bCs/>
        </w:rPr>
      </w:pPr>
    </w:p>
    <w:p w:rsidR="00BF6BBA" w:rsidRPr="00BF6BBA" w:rsidP="00EC3B55">
      <w:pPr>
        <w:bidi w:val="0"/>
        <w:jc w:val="both"/>
        <w:rPr>
          <w:rFonts w:ascii="Times New Roman" w:hAnsi="Times New Roman"/>
          <w:b/>
          <w:bCs/>
        </w:rPr>
      </w:pPr>
    </w:p>
    <w:p w:rsidR="00BF6BBA" w:rsidRPr="00BF6BBA" w:rsidP="00EC3B55">
      <w:pPr>
        <w:bidi w:val="0"/>
        <w:jc w:val="both"/>
        <w:rPr>
          <w:rFonts w:ascii="Times New Roman" w:hAnsi="Times New Roman"/>
          <w:b/>
          <w:bCs/>
        </w:rPr>
      </w:pPr>
    </w:p>
    <w:p w:rsidR="00BF6BBA" w:rsidRPr="00BF6BBA" w:rsidP="00BF6BBA">
      <w:pPr>
        <w:bidi w:val="0"/>
        <w:jc w:val="both"/>
        <w:rPr>
          <w:rFonts w:ascii="Times New Roman" w:hAnsi="Times New Roman"/>
          <w:b/>
          <w:color w:val="000000"/>
        </w:rPr>
      </w:pPr>
      <w:r w:rsidR="003B75C6">
        <w:rPr>
          <w:rFonts w:ascii="Times New Roman" w:hAnsi="Times New Roman"/>
          <w:b/>
          <w:color w:val="000000"/>
        </w:rPr>
        <w:br w:type="page"/>
      </w:r>
      <w:r w:rsidRPr="00BF6BBA">
        <w:rPr>
          <w:rFonts w:ascii="Times New Roman" w:hAnsi="Times New Roman"/>
          <w:b/>
          <w:color w:val="000000"/>
        </w:rPr>
        <w:t>B. Osobitná časť</w:t>
      </w:r>
    </w:p>
    <w:p w:rsidR="00BF6BBA" w:rsidRPr="00BF6BBA" w:rsidP="00BF6BBA">
      <w:pPr>
        <w:bidi w:val="0"/>
        <w:jc w:val="both"/>
        <w:rPr>
          <w:rFonts w:ascii="Times New Roman" w:hAnsi="Times New Roman"/>
          <w:color w:val="000000"/>
        </w:rPr>
      </w:pPr>
    </w:p>
    <w:p w:rsidR="00BF6BBA" w:rsidRPr="00BF6BBA" w:rsidP="00BF6BBA">
      <w:pPr>
        <w:bidi w:val="0"/>
        <w:jc w:val="both"/>
        <w:rPr>
          <w:rFonts w:ascii="Times New Roman" w:hAnsi="Times New Roman"/>
          <w:color w:val="000000"/>
        </w:rPr>
      </w:pPr>
    </w:p>
    <w:p w:rsidR="00BF6BBA" w:rsidRPr="00BF6BBA" w:rsidP="00BF6BBA">
      <w:pPr>
        <w:bidi w:val="0"/>
        <w:jc w:val="both"/>
        <w:rPr>
          <w:rFonts w:ascii="Times New Roman" w:hAnsi="Times New Roman"/>
          <w:color w:val="000000"/>
        </w:rPr>
      </w:pPr>
      <w:r w:rsidRPr="00BF6BBA">
        <w:rPr>
          <w:rStyle w:val="PlaceholderText"/>
          <w:b/>
          <w:color w:val="000000"/>
        </w:rPr>
        <w:t>Čl. I</w:t>
      </w:r>
    </w:p>
    <w:p w:rsidR="00BF6BBA" w:rsidRPr="00BF6BBA" w:rsidP="00BF6BBA">
      <w:pPr>
        <w:bidi w:val="0"/>
        <w:jc w:val="both"/>
        <w:rPr>
          <w:rStyle w:val="PlaceholderText"/>
          <w:color w:val="000000"/>
        </w:rPr>
      </w:pPr>
      <w:r w:rsidRPr="00BF6BBA">
        <w:rPr>
          <w:rStyle w:val="PlaceholderText"/>
          <w:b/>
          <w:color w:val="000000"/>
        </w:rPr>
        <w:t> </w:t>
      </w:r>
    </w:p>
    <w:p w:rsidR="00BF6BBA" w:rsidRPr="00BF6BBA" w:rsidP="00BF6BBA">
      <w:pPr>
        <w:bidi w:val="0"/>
        <w:jc w:val="both"/>
        <w:rPr>
          <w:rStyle w:val="PlaceholderText"/>
          <w:color w:val="000000"/>
        </w:rPr>
      </w:pPr>
      <w:r w:rsidRPr="00BF6BBA">
        <w:rPr>
          <w:rStyle w:val="PlaceholderText"/>
          <w:color w:val="000000"/>
          <w:u w:val="single"/>
        </w:rPr>
        <w:t>K bodu 1</w:t>
      </w:r>
    </w:p>
    <w:p w:rsidR="00BF6BBA" w:rsidRPr="00BF6BBA" w:rsidP="00BF6BBA">
      <w:pPr>
        <w:bidi w:val="0"/>
        <w:jc w:val="both"/>
        <w:rPr>
          <w:rStyle w:val="PlaceholderText"/>
          <w:color w:val="000000"/>
        </w:rPr>
      </w:pPr>
      <w:r w:rsidRPr="00BF6BBA">
        <w:rPr>
          <w:rStyle w:val="PlaceholderText"/>
          <w:color w:val="000000"/>
        </w:rPr>
        <w:t> </w:t>
      </w:r>
    </w:p>
    <w:p w:rsidR="00BF6BBA" w:rsidRPr="00BF6BBA" w:rsidP="004C5E7D">
      <w:pPr>
        <w:bidi w:val="0"/>
        <w:ind w:firstLine="708"/>
        <w:jc w:val="both"/>
        <w:rPr>
          <w:rStyle w:val="PlaceholderText"/>
          <w:color w:val="000000"/>
        </w:rPr>
      </w:pPr>
      <w:r w:rsidRPr="00BF6BBA">
        <w:rPr>
          <w:rStyle w:val="PlaceholderText"/>
          <w:color w:val="000000"/>
        </w:rPr>
        <w:t>Platné znenie definície nepriamej diskriminácie vyžaduje, aby predpis, rozhodnutie, pokyn alebo prax (ďalej len „opatrenie“) bez ohľadu na vznik ujmy skutočne znevýhodňovalo určitú osobu alebo skupinu osôb – to znamená, že nepokrýva opatrenia, ktoré sú len spôsobilé znevýhodniť určitú osobu, resp. skupinu osôb. Konflikt úpravy so smernicou vychádza z prekladu smernice, a to osobitne spojenia „would put“, ktoré je preložené ako „by priviedli“. V slovenskom jazyku je vyjadrenie dvojznačné a nie je zrejmé, či vyžaduje, aby opatrenie niekoho znevýhodnilo, alebo stačí ak ho má potenciál znevýhodniť. Aj z dostupnej judikatúru a výkladu Európskeho súdneho dvoru je zrejmé, že legislatíva nepriamej diskriminácie má jednoznačne pokrývať aj samotné riziko diskriminácie vyplývajúce z navonok neutrálneho opatrenia.</w:t>
      </w:r>
    </w:p>
    <w:p w:rsidR="00BF6BBA" w:rsidRPr="00BF6BBA" w:rsidP="00BF6BBA">
      <w:pPr>
        <w:bidi w:val="0"/>
        <w:jc w:val="both"/>
        <w:rPr>
          <w:rStyle w:val="PlaceholderText"/>
          <w:color w:val="000000"/>
        </w:rPr>
      </w:pPr>
      <w:r w:rsidRPr="00BF6BBA">
        <w:rPr>
          <w:rStyle w:val="PlaceholderText"/>
          <w:color w:val="000000"/>
        </w:rPr>
        <w:t> </w:t>
      </w:r>
    </w:p>
    <w:p w:rsidR="00BF6BBA" w:rsidRPr="00BF6BBA" w:rsidP="00BF6BBA">
      <w:pPr>
        <w:bidi w:val="0"/>
        <w:jc w:val="both"/>
        <w:rPr>
          <w:rStyle w:val="PlaceholderText"/>
          <w:color w:val="000000"/>
        </w:rPr>
      </w:pPr>
      <w:r w:rsidRPr="00BF6BBA">
        <w:rPr>
          <w:rStyle w:val="PlaceholderText"/>
          <w:color w:val="000000"/>
          <w:u w:val="single"/>
        </w:rPr>
        <w:t>K bodu 2</w:t>
      </w:r>
    </w:p>
    <w:p w:rsidR="00BF6BBA" w:rsidRPr="00BF6BBA" w:rsidP="00BF6BBA">
      <w:pPr>
        <w:bidi w:val="0"/>
        <w:jc w:val="both"/>
        <w:rPr>
          <w:rStyle w:val="PlaceholderText"/>
          <w:color w:val="000000"/>
        </w:rPr>
      </w:pPr>
      <w:r w:rsidRPr="00BF6BBA">
        <w:rPr>
          <w:rStyle w:val="PlaceholderText"/>
          <w:color w:val="000000"/>
        </w:rPr>
        <w:t> </w:t>
      </w:r>
    </w:p>
    <w:p w:rsidR="00BF6BBA" w:rsidRPr="00BF6BBA" w:rsidP="004C5E7D">
      <w:pPr>
        <w:bidi w:val="0"/>
        <w:ind w:firstLine="708"/>
        <w:jc w:val="both"/>
        <w:rPr>
          <w:rStyle w:val="PlaceholderText"/>
          <w:color w:val="000000"/>
        </w:rPr>
      </w:pPr>
      <w:r w:rsidRPr="00BF6BBA">
        <w:rPr>
          <w:rStyle w:val="PlaceholderText"/>
          <w:color w:val="000000"/>
        </w:rPr>
        <w:t>Súčasné znenie ustanovenia § 8 ods. 8 vychádza z článku 5 smernice, ktorý upravuje použitie poistno-matematických faktorov súvisiacich s pohlavím pri poskytovaní poistenia a ďalších súvisiacich finančných služieb. V čl. 5 odsek 1 smernice sa stanovuje pravidlo, že pre nové zmluvy (uzatvorené po 21. decembri 2007) nesmie mať použitie pohlavia ako faktora pre výpočet príspevkov a dávok za následok rozdiely v príspevkoch a dávkach. Odsek 2 stanovuje výnimku z tohto pravidla a to tak, že sa členským štátom povolilo pred 21. decembrom 2007 rozhodnúť o povolení primeraných rozdielov, t.j. bolo povolené používať faktor pohlavia pri kalkulácii poistného a poistného plnenia, a to v prípade ak pohlavie bolo určujúcim faktorom pri takejto kalkulácii, pričom kalkulácia musela vychádzať z presných matematických a štatistických údajov. Uvedená výnimka však nemá časové obmedzenie, a preto Európsky súdny dvor v rozhodnutí zo dňa 4. marca 2011 vo veci Test-Achats (C-236/09, Ú. V. EÚ C 130, 30.4.2011, s. 4) (ďalej len „rozhodnutie“) vyhlásil čl. 5 ods. 2 smernice za neplatný s účinnosťou od 21. decembra 2012, nakoľko je v rozpore s dosiahnutím cieľa rovnakého zaobchádzania.</w:t>
      </w:r>
    </w:p>
    <w:p w:rsidR="00BF6BBA" w:rsidRPr="00BF6BBA" w:rsidP="00BF6BBA">
      <w:pPr>
        <w:bidi w:val="0"/>
        <w:jc w:val="both"/>
        <w:rPr>
          <w:rStyle w:val="PlaceholderText"/>
          <w:color w:val="000000"/>
        </w:rPr>
      </w:pPr>
      <w:r w:rsidRPr="00BF6BBA">
        <w:rPr>
          <w:rStyle w:val="PlaceholderText"/>
          <w:color w:val="000000"/>
        </w:rPr>
        <w:t> </w:t>
      </w:r>
    </w:p>
    <w:p w:rsidR="00BF6BBA" w:rsidRPr="00BF6BBA" w:rsidP="00BF6BBA">
      <w:pPr>
        <w:bidi w:val="0"/>
        <w:jc w:val="both"/>
        <w:rPr>
          <w:rStyle w:val="PlaceholderText"/>
          <w:color w:val="000000"/>
        </w:rPr>
      </w:pPr>
      <w:r w:rsidRPr="00BF6BBA">
        <w:rPr>
          <w:rStyle w:val="PlaceholderText"/>
          <w:color w:val="000000"/>
          <w:u w:val="single"/>
        </w:rPr>
        <w:t>K bodu 3</w:t>
      </w:r>
    </w:p>
    <w:p w:rsidR="00BF6BBA" w:rsidRPr="00BF6BBA" w:rsidP="00BF6BBA">
      <w:pPr>
        <w:bidi w:val="0"/>
        <w:jc w:val="both"/>
        <w:rPr>
          <w:rStyle w:val="PlaceholderText"/>
          <w:color w:val="000000"/>
        </w:rPr>
      </w:pPr>
      <w:r w:rsidRPr="00BF6BBA">
        <w:rPr>
          <w:rStyle w:val="PlaceholderText"/>
          <w:color w:val="000000"/>
        </w:rPr>
        <w:t> </w:t>
      </w:r>
    </w:p>
    <w:p w:rsidR="00BF6BBA" w:rsidRPr="00BF6BBA" w:rsidP="00BF6BBA">
      <w:pPr>
        <w:bidi w:val="0"/>
        <w:jc w:val="both"/>
        <w:rPr>
          <w:rStyle w:val="PlaceholderText"/>
          <w:color w:val="000000"/>
        </w:rPr>
      </w:pPr>
      <w:r w:rsidRPr="00BF6BBA">
        <w:rPr>
          <w:rStyle w:val="PlaceholderText"/>
          <w:color w:val="000000"/>
        </w:rPr>
        <w:t>Upravuje sa negatívne vymedzenie diskriminácie v súvislosti s dočasnými vyrovnávacími opatreniami. V tejto súvislosti sa rozširuje možnosť ich prijatia pre všetky subjekty verejnej správy a poskytuje sa táto možnosť aj iným právnickým osobám. Návrh novelizovaného textu vychádza z pôvodne predkladanej novely zákona, ako ho vláda Slovenskej republiky schválila na svojom zasadnutí dňa 24. októbra 2007 (uznesenie č. 916/2007). Ustanovenie sa dáva do súladu aj so smernicou a súčasne vyhovuje aj odporúčaniam Výboru pre odstránenie diskriminácie žien pri OSN, vyslovených v záverečných zisteniach k druhej, tretej a štvrtej periodickej správy SR k Dohovoru o odstránení všetkých foriem diskriminácie žien, ktorá bola prerokovaná na 41. zasadnutí výboru v júli 2008.</w:t>
      </w:r>
    </w:p>
    <w:p w:rsidR="00BF6BBA" w:rsidP="00BF6BBA">
      <w:pPr>
        <w:bidi w:val="0"/>
        <w:jc w:val="both"/>
        <w:rPr>
          <w:rStyle w:val="PlaceholderText"/>
          <w:color w:val="000000"/>
        </w:rPr>
      </w:pPr>
      <w:r w:rsidRPr="00BF6BBA">
        <w:rPr>
          <w:rStyle w:val="PlaceholderText"/>
          <w:color w:val="000000"/>
        </w:rPr>
        <w:t> </w:t>
      </w:r>
    </w:p>
    <w:p w:rsidR="003B75C6" w:rsidP="00BF6BBA">
      <w:pPr>
        <w:bidi w:val="0"/>
        <w:jc w:val="both"/>
        <w:rPr>
          <w:rStyle w:val="PlaceholderText"/>
          <w:color w:val="000000"/>
        </w:rPr>
      </w:pPr>
    </w:p>
    <w:p w:rsidR="003B75C6" w:rsidP="00BF6BBA">
      <w:pPr>
        <w:bidi w:val="0"/>
        <w:jc w:val="both"/>
        <w:rPr>
          <w:rStyle w:val="PlaceholderText"/>
          <w:color w:val="000000"/>
        </w:rPr>
      </w:pPr>
    </w:p>
    <w:p w:rsidR="003B75C6" w:rsidP="00BF6BBA">
      <w:pPr>
        <w:bidi w:val="0"/>
        <w:jc w:val="both"/>
        <w:rPr>
          <w:rStyle w:val="PlaceholderText"/>
          <w:color w:val="000000"/>
        </w:rPr>
      </w:pPr>
    </w:p>
    <w:p w:rsidR="003B75C6" w:rsidRPr="003B75C6" w:rsidP="00BF6BBA">
      <w:pPr>
        <w:bidi w:val="0"/>
        <w:jc w:val="both"/>
        <w:rPr>
          <w:rStyle w:val="PlaceholderText"/>
          <w:color w:val="000000"/>
          <w:u w:val="single"/>
        </w:rPr>
      </w:pPr>
      <w:r w:rsidRPr="003B75C6">
        <w:rPr>
          <w:rStyle w:val="PlaceholderText"/>
          <w:color w:val="000000"/>
          <w:u w:val="single"/>
        </w:rPr>
        <w:t>K bodu  4</w:t>
      </w:r>
    </w:p>
    <w:p w:rsidR="003B75C6" w:rsidP="00BF6BBA">
      <w:pPr>
        <w:bidi w:val="0"/>
        <w:jc w:val="both"/>
        <w:rPr>
          <w:rStyle w:val="PlaceholderText"/>
          <w:color w:val="000000"/>
        </w:rPr>
      </w:pPr>
    </w:p>
    <w:p w:rsidR="003B75C6" w:rsidP="004C5E7D">
      <w:pPr>
        <w:bidi w:val="0"/>
        <w:ind w:firstLine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Z dôvodu zabezpečenie bezproblémovej aplikácie zákona sa navrhuje prechodné ustanovenie, podľa ktorého sa nová právna úprava bude vzťahovať len a poistné zmluvy uzatvárané po účinnosti zákona. </w:t>
      </w:r>
    </w:p>
    <w:p w:rsidR="003B75C6" w:rsidRPr="00BF6BBA" w:rsidP="00BF6BBA">
      <w:pPr>
        <w:bidi w:val="0"/>
        <w:jc w:val="both"/>
        <w:rPr>
          <w:rStyle w:val="PlaceholderText"/>
          <w:color w:val="000000"/>
        </w:rPr>
      </w:pPr>
    </w:p>
    <w:p w:rsidR="00BF6BBA" w:rsidRPr="00BF6BBA" w:rsidP="00BF6BBA">
      <w:pPr>
        <w:bidi w:val="0"/>
        <w:jc w:val="both"/>
        <w:rPr>
          <w:rStyle w:val="PlaceholderText"/>
          <w:color w:val="000000"/>
        </w:rPr>
      </w:pPr>
      <w:r w:rsidRPr="00BF6BBA">
        <w:rPr>
          <w:rStyle w:val="PlaceholderText"/>
          <w:b/>
          <w:color w:val="000000"/>
        </w:rPr>
        <w:t>Čl. II</w:t>
      </w:r>
    </w:p>
    <w:p w:rsidR="00BF6BBA" w:rsidRPr="00BF6BBA" w:rsidP="00BF6BBA">
      <w:pPr>
        <w:bidi w:val="0"/>
        <w:jc w:val="both"/>
        <w:rPr>
          <w:rStyle w:val="PlaceholderText"/>
          <w:color w:val="000000"/>
        </w:rPr>
      </w:pPr>
      <w:r w:rsidRPr="00BF6BBA">
        <w:rPr>
          <w:rStyle w:val="PlaceholderText"/>
          <w:b/>
          <w:color w:val="000000"/>
        </w:rPr>
        <w:t> </w:t>
      </w:r>
    </w:p>
    <w:p w:rsidR="00BF6BBA" w:rsidRPr="00BF6BBA" w:rsidP="004C5E7D">
      <w:pPr>
        <w:bidi w:val="0"/>
        <w:ind w:firstLine="708"/>
        <w:jc w:val="both"/>
        <w:rPr>
          <w:rStyle w:val="PlaceholderText"/>
          <w:color w:val="000000"/>
        </w:rPr>
      </w:pPr>
      <w:r w:rsidRPr="00BF6BBA">
        <w:rPr>
          <w:rStyle w:val="PlaceholderText"/>
          <w:color w:val="000000"/>
        </w:rPr>
        <w:t>Rozhodnutím Súdneho dvora č. C-236/09 zo dňa 4. marca 2011 Európsky súdny dvor vyhlásil čl. 5 ods. 2 smernice za neplatný s účinnosťou od 21. decembra 2012 (bližšie v odôvodnení k čl. I bod 2). Na základe uvedeného sa ruší povinnosť pre poisťovne zhromažďovať a aktualizovať uvedené poistno-matematické a štatistické údaje.</w:t>
      </w:r>
    </w:p>
    <w:p w:rsidR="00BF6BBA" w:rsidRPr="00BF6BBA" w:rsidP="00BF6BBA">
      <w:pPr>
        <w:bidi w:val="0"/>
        <w:jc w:val="both"/>
        <w:rPr>
          <w:rStyle w:val="PlaceholderText"/>
          <w:color w:val="000000"/>
        </w:rPr>
      </w:pPr>
      <w:r w:rsidRPr="00BF6BBA">
        <w:rPr>
          <w:rStyle w:val="PlaceholderText"/>
          <w:b/>
          <w:color w:val="000000"/>
        </w:rPr>
        <w:t> </w:t>
      </w:r>
    </w:p>
    <w:p w:rsidR="00BF6BBA" w:rsidRPr="00BF6BBA" w:rsidP="00BF6BBA">
      <w:pPr>
        <w:bidi w:val="0"/>
        <w:jc w:val="both"/>
        <w:rPr>
          <w:rStyle w:val="PlaceholderText"/>
          <w:color w:val="000000"/>
        </w:rPr>
      </w:pPr>
      <w:r w:rsidRPr="00BF6BBA">
        <w:rPr>
          <w:rStyle w:val="PlaceholderText"/>
          <w:b/>
          <w:color w:val="000000"/>
        </w:rPr>
        <w:t>Čl. III</w:t>
      </w:r>
    </w:p>
    <w:p w:rsidR="00BF6BBA" w:rsidRPr="00BF6BBA" w:rsidP="00BF6BBA">
      <w:pPr>
        <w:bidi w:val="0"/>
        <w:jc w:val="both"/>
        <w:rPr>
          <w:rStyle w:val="PlaceholderText"/>
          <w:color w:val="000000"/>
        </w:rPr>
      </w:pPr>
      <w:r w:rsidRPr="00BF6BBA">
        <w:rPr>
          <w:rStyle w:val="PlaceholderText"/>
          <w:b/>
          <w:color w:val="000000"/>
        </w:rPr>
        <w:t> </w:t>
      </w:r>
    </w:p>
    <w:p w:rsidR="00BF6BBA" w:rsidRPr="00BF6BBA" w:rsidP="000D7110">
      <w:pPr>
        <w:bidi w:val="0"/>
        <w:ind w:firstLine="708"/>
        <w:jc w:val="both"/>
        <w:rPr>
          <w:rStyle w:val="PlaceholderText"/>
          <w:color w:val="000000"/>
        </w:rPr>
      </w:pPr>
      <w:r w:rsidRPr="00BF6BBA">
        <w:rPr>
          <w:rStyle w:val="PlaceholderText"/>
          <w:color w:val="000000"/>
        </w:rPr>
        <w:t xml:space="preserve">Navrhuje sa účinnosť zákona k </w:t>
      </w:r>
      <w:r w:rsidR="002A1B59">
        <w:rPr>
          <w:rStyle w:val="PlaceholderText"/>
          <w:color w:val="000000"/>
        </w:rPr>
        <w:t>1</w:t>
      </w:r>
      <w:r w:rsidRPr="00BF6BBA">
        <w:rPr>
          <w:rStyle w:val="PlaceholderText"/>
          <w:color w:val="000000"/>
        </w:rPr>
        <w:t xml:space="preserve">. </w:t>
      </w:r>
      <w:r w:rsidR="002A1B59">
        <w:rPr>
          <w:rStyle w:val="PlaceholderText"/>
          <w:color w:val="000000"/>
        </w:rPr>
        <w:t>marcu</w:t>
      </w:r>
      <w:r w:rsidRPr="00BF6BBA">
        <w:rPr>
          <w:rStyle w:val="PlaceholderText"/>
          <w:color w:val="000000"/>
        </w:rPr>
        <w:t xml:space="preserve"> 201</w:t>
      </w:r>
      <w:r w:rsidR="002A1B59">
        <w:rPr>
          <w:rStyle w:val="PlaceholderText"/>
          <w:color w:val="000000"/>
        </w:rPr>
        <w:t>3</w:t>
      </w:r>
      <w:r w:rsidRPr="00BF6BBA">
        <w:rPr>
          <w:rStyle w:val="PlaceholderText"/>
          <w:color w:val="000000"/>
        </w:rPr>
        <w:t>.</w:t>
      </w:r>
    </w:p>
    <w:p w:rsidR="003B75C6" w:rsidP="003B75C6">
      <w:pPr>
        <w:bidi w:val="0"/>
        <w:spacing w:after="280" w:afterAutospacing="1"/>
        <w:rPr>
          <w:rStyle w:val="PlaceholderText"/>
          <w:color w:val="000000"/>
        </w:rPr>
      </w:pPr>
    </w:p>
    <w:p w:rsidR="00AB6C2F" w:rsidRPr="003B75C6" w:rsidP="003B75C6">
      <w:pPr>
        <w:bidi w:val="0"/>
        <w:spacing w:after="280" w:afterAutospacing="1"/>
        <w:rPr>
          <w:rFonts w:ascii="Times New Roman" w:hAnsi="Times New Roman"/>
          <w:color w:val="000000"/>
        </w:rPr>
      </w:pPr>
      <w:r w:rsidRPr="00BF6BBA">
        <w:rPr>
          <w:rFonts w:ascii="Times New Roman" w:hAnsi="Times New Roman"/>
        </w:rPr>
        <w:t xml:space="preserve">V Bratislave, </w:t>
      </w:r>
      <w:r w:rsidR="00BF6BBA">
        <w:rPr>
          <w:rFonts w:ascii="Times New Roman" w:hAnsi="Times New Roman"/>
        </w:rPr>
        <w:t>31. októbra</w:t>
      </w:r>
      <w:r w:rsidRPr="00BF6BBA">
        <w:rPr>
          <w:rFonts w:ascii="Times New Roman" w:hAnsi="Times New Roman"/>
        </w:rPr>
        <w:t xml:space="preserve"> 2012</w:t>
      </w:r>
    </w:p>
    <w:p w:rsidR="00AB6C2F" w:rsidRPr="00BF6BBA" w:rsidP="00AB6C2F">
      <w:pPr>
        <w:tabs>
          <w:tab w:val="left" w:pos="9072"/>
        </w:tabs>
        <w:bidi w:val="0"/>
        <w:jc w:val="both"/>
        <w:rPr>
          <w:rFonts w:ascii="Times New Roman" w:hAnsi="Times New Roman"/>
        </w:rPr>
      </w:pPr>
    </w:p>
    <w:p w:rsidR="00AB6C2F" w:rsidRPr="00BF6BBA" w:rsidP="00AB6C2F">
      <w:pPr>
        <w:tabs>
          <w:tab w:val="left" w:pos="9072"/>
        </w:tabs>
        <w:bidi w:val="0"/>
        <w:jc w:val="both"/>
        <w:rPr>
          <w:rFonts w:ascii="Times New Roman" w:hAnsi="Times New Roman"/>
        </w:rPr>
      </w:pPr>
    </w:p>
    <w:p w:rsidR="00AB6C2F" w:rsidRPr="00BF6BBA" w:rsidP="00AB6C2F">
      <w:pPr>
        <w:tabs>
          <w:tab w:val="left" w:pos="9072"/>
        </w:tabs>
        <w:bidi w:val="0"/>
        <w:jc w:val="both"/>
        <w:rPr>
          <w:rFonts w:ascii="Times New Roman" w:hAnsi="Times New Roman"/>
        </w:rPr>
      </w:pPr>
    </w:p>
    <w:p w:rsidR="00AB6C2F" w:rsidRPr="00BF6BBA" w:rsidP="00AB6C2F">
      <w:pPr>
        <w:tabs>
          <w:tab w:val="left" w:pos="9072"/>
        </w:tabs>
        <w:bidi w:val="0"/>
        <w:jc w:val="both"/>
        <w:rPr>
          <w:rFonts w:ascii="Times New Roman" w:hAnsi="Times New Roman"/>
        </w:rPr>
      </w:pPr>
    </w:p>
    <w:p w:rsidR="00AB6C2F" w:rsidRPr="00BF6BBA" w:rsidP="00AB6C2F">
      <w:pPr>
        <w:tabs>
          <w:tab w:val="left" w:pos="9072"/>
        </w:tabs>
        <w:bidi w:val="0"/>
        <w:jc w:val="both"/>
        <w:rPr>
          <w:rFonts w:ascii="Times New Roman" w:hAnsi="Times New Roman"/>
        </w:rPr>
      </w:pPr>
    </w:p>
    <w:p w:rsidR="00AB6C2F" w:rsidRPr="00BF6BBA" w:rsidP="00AB6C2F">
      <w:pPr>
        <w:tabs>
          <w:tab w:val="left" w:pos="9072"/>
        </w:tabs>
        <w:bidi w:val="0"/>
        <w:jc w:val="both"/>
        <w:rPr>
          <w:rFonts w:ascii="Times New Roman" w:hAnsi="Times New Roman"/>
        </w:rPr>
      </w:pPr>
    </w:p>
    <w:p w:rsidR="00AB6C2F" w:rsidRPr="00BF6BBA" w:rsidP="00AB6C2F">
      <w:pPr>
        <w:tabs>
          <w:tab w:val="left" w:pos="9072"/>
        </w:tabs>
        <w:bidi w:val="0"/>
        <w:jc w:val="both"/>
        <w:rPr>
          <w:rFonts w:ascii="Times New Roman" w:hAnsi="Times New Roman"/>
        </w:rPr>
      </w:pPr>
    </w:p>
    <w:p w:rsidR="00AB6C2F" w:rsidRPr="00BF6BBA" w:rsidP="00AB6C2F">
      <w:pPr>
        <w:tabs>
          <w:tab w:val="left" w:pos="9072"/>
        </w:tabs>
        <w:bidi w:val="0"/>
        <w:jc w:val="both"/>
        <w:rPr>
          <w:rFonts w:ascii="Times New Roman" w:hAnsi="Times New Roman"/>
        </w:rPr>
      </w:pPr>
    </w:p>
    <w:p w:rsidR="00AB6C2F" w:rsidRPr="00BF6BBA" w:rsidP="00AB6C2F">
      <w:pPr>
        <w:tabs>
          <w:tab w:val="left" w:pos="9072"/>
        </w:tabs>
        <w:bidi w:val="0"/>
        <w:jc w:val="both"/>
        <w:rPr>
          <w:rFonts w:ascii="Times New Roman" w:hAnsi="Times New Roman"/>
        </w:rPr>
      </w:pPr>
    </w:p>
    <w:p w:rsidR="00AB6C2F" w:rsidRPr="00BF6BBA" w:rsidP="00AB6C2F">
      <w:pPr>
        <w:tabs>
          <w:tab w:val="left" w:pos="9072"/>
        </w:tabs>
        <w:bidi w:val="0"/>
        <w:jc w:val="both"/>
        <w:rPr>
          <w:rFonts w:ascii="Times New Roman" w:hAnsi="Times New Roman"/>
        </w:rPr>
      </w:pPr>
    </w:p>
    <w:p w:rsidR="00AB6C2F" w:rsidRPr="00BF6BBA" w:rsidP="00AB6C2F">
      <w:pPr>
        <w:tabs>
          <w:tab w:val="left" w:pos="9072"/>
        </w:tabs>
        <w:bidi w:val="0"/>
        <w:jc w:val="center"/>
        <w:rPr>
          <w:rFonts w:ascii="Times New Roman" w:hAnsi="Times New Roman"/>
          <w:b/>
        </w:rPr>
      </w:pPr>
      <w:r w:rsidRPr="00BF6BBA">
        <w:rPr>
          <w:rFonts w:ascii="Times New Roman" w:hAnsi="Times New Roman"/>
          <w:b/>
        </w:rPr>
        <w:t>Robert Fico</w:t>
      </w:r>
      <w:r w:rsidR="008E60F7">
        <w:rPr>
          <w:rFonts w:ascii="Times New Roman" w:hAnsi="Times New Roman"/>
          <w:b/>
        </w:rPr>
        <w:t>, v.r.</w:t>
      </w:r>
    </w:p>
    <w:p w:rsidR="00AB6C2F" w:rsidRPr="00BF6BBA" w:rsidP="00AB6C2F">
      <w:pPr>
        <w:tabs>
          <w:tab w:val="left" w:pos="9072"/>
        </w:tabs>
        <w:bidi w:val="0"/>
        <w:jc w:val="center"/>
        <w:rPr>
          <w:rFonts w:ascii="Times New Roman" w:hAnsi="Times New Roman"/>
        </w:rPr>
      </w:pPr>
      <w:r w:rsidRPr="00BF6BBA">
        <w:rPr>
          <w:rFonts w:ascii="Times New Roman" w:hAnsi="Times New Roman"/>
        </w:rPr>
        <w:t>predseda vlády Slovenskej republiky</w:t>
      </w:r>
    </w:p>
    <w:p w:rsidR="00AB6C2F" w:rsidRPr="00BF6BBA" w:rsidP="00AB6C2F">
      <w:pPr>
        <w:tabs>
          <w:tab w:val="left" w:pos="9072"/>
        </w:tabs>
        <w:bidi w:val="0"/>
        <w:rPr>
          <w:rFonts w:ascii="Times New Roman" w:hAnsi="Times New Roman"/>
        </w:rPr>
      </w:pPr>
    </w:p>
    <w:p w:rsidR="00AB6C2F" w:rsidRPr="00BF6BBA" w:rsidP="00AB6C2F">
      <w:pPr>
        <w:tabs>
          <w:tab w:val="left" w:pos="9072"/>
        </w:tabs>
        <w:bidi w:val="0"/>
        <w:rPr>
          <w:rFonts w:ascii="Times New Roman" w:hAnsi="Times New Roman"/>
        </w:rPr>
      </w:pPr>
    </w:p>
    <w:p w:rsidR="00AB6C2F" w:rsidRPr="00BF6BBA" w:rsidP="00AB6C2F">
      <w:pPr>
        <w:tabs>
          <w:tab w:val="left" w:pos="9072"/>
        </w:tabs>
        <w:bidi w:val="0"/>
        <w:rPr>
          <w:rFonts w:ascii="Times New Roman" w:hAnsi="Times New Roman"/>
        </w:rPr>
      </w:pPr>
    </w:p>
    <w:p w:rsidR="00AB6C2F" w:rsidRPr="00BF6BBA" w:rsidP="00AB6C2F">
      <w:pPr>
        <w:tabs>
          <w:tab w:val="left" w:pos="9072"/>
        </w:tabs>
        <w:bidi w:val="0"/>
        <w:rPr>
          <w:rFonts w:ascii="Times New Roman" w:hAnsi="Times New Roman"/>
        </w:rPr>
      </w:pPr>
    </w:p>
    <w:p w:rsidR="00AB6C2F" w:rsidRPr="00BF6BBA" w:rsidP="00AB6C2F">
      <w:pPr>
        <w:tabs>
          <w:tab w:val="left" w:pos="9072"/>
        </w:tabs>
        <w:bidi w:val="0"/>
        <w:rPr>
          <w:rFonts w:ascii="Times New Roman" w:hAnsi="Times New Roman"/>
        </w:rPr>
      </w:pPr>
    </w:p>
    <w:p w:rsidR="00AB6C2F" w:rsidRPr="00BF6BBA" w:rsidP="00AB6C2F">
      <w:pPr>
        <w:tabs>
          <w:tab w:val="left" w:pos="9072"/>
        </w:tabs>
        <w:bidi w:val="0"/>
        <w:rPr>
          <w:rFonts w:ascii="Times New Roman" w:hAnsi="Times New Roman"/>
        </w:rPr>
      </w:pPr>
    </w:p>
    <w:p w:rsidR="00AB6C2F" w:rsidRPr="00BF6BBA" w:rsidP="00AB6C2F">
      <w:pPr>
        <w:tabs>
          <w:tab w:val="left" w:pos="9072"/>
        </w:tabs>
        <w:bidi w:val="0"/>
        <w:rPr>
          <w:rFonts w:ascii="Times New Roman" w:hAnsi="Times New Roman"/>
        </w:rPr>
      </w:pPr>
    </w:p>
    <w:p w:rsidR="00AB6C2F" w:rsidRPr="00BF6BBA" w:rsidP="00AB6C2F">
      <w:pPr>
        <w:tabs>
          <w:tab w:val="left" w:pos="9072"/>
        </w:tabs>
        <w:bidi w:val="0"/>
        <w:rPr>
          <w:rFonts w:ascii="Times New Roman" w:hAnsi="Times New Roman"/>
        </w:rPr>
      </w:pPr>
    </w:p>
    <w:p w:rsidR="00AB6C2F" w:rsidRPr="00BF6BBA" w:rsidP="00AB6C2F">
      <w:pPr>
        <w:tabs>
          <w:tab w:val="left" w:pos="9072"/>
        </w:tabs>
        <w:bidi w:val="0"/>
        <w:rPr>
          <w:rFonts w:ascii="Times New Roman" w:hAnsi="Times New Roman"/>
        </w:rPr>
      </w:pPr>
    </w:p>
    <w:p w:rsidR="00AB6C2F" w:rsidRPr="00BF6BBA" w:rsidP="00AB6C2F">
      <w:pPr>
        <w:tabs>
          <w:tab w:val="left" w:pos="9072"/>
        </w:tabs>
        <w:bidi w:val="0"/>
        <w:jc w:val="center"/>
        <w:rPr>
          <w:rFonts w:ascii="Times New Roman" w:hAnsi="Times New Roman"/>
          <w:b/>
        </w:rPr>
      </w:pPr>
      <w:r w:rsidRPr="00BF6BBA">
        <w:rPr>
          <w:rFonts w:ascii="Times New Roman" w:hAnsi="Times New Roman"/>
          <w:b/>
        </w:rPr>
        <w:t>Tomáš Borec</w:t>
      </w:r>
      <w:r w:rsidR="008E60F7">
        <w:rPr>
          <w:rFonts w:ascii="Times New Roman" w:hAnsi="Times New Roman"/>
          <w:b/>
        </w:rPr>
        <w:t>, v.r.</w:t>
      </w:r>
    </w:p>
    <w:p w:rsidR="00AB6C2F" w:rsidRPr="00BF6BBA" w:rsidP="00AB6C2F">
      <w:pPr>
        <w:tabs>
          <w:tab w:val="left" w:pos="9072"/>
        </w:tabs>
        <w:bidi w:val="0"/>
        <w:jc w:val="center"/>
        <w:rPr>
          <w:rFonts w:ascii="Times New Roman" w:hAnsi="Times New Roman"/>
        </w:rPr>
      </w:pPr>
      <w:r w:rsidRPr="00BF6BBA">
        <w:rPr>
          <w:rFonts w:ascii="Times New Roman" w:hAnsi="Times New Roman"/>
        </w:rPr>
        <w:t>minister spravodlivosti Slovenskej republiky</w:t>
      </w:r>
    </w:p>
    <w:p w:rsidR="00EC3B55" w:rsidRPr="00BF6BBA" w:rsidP="00AB6C2F">
      <w:pPr>
        <w:bidi w:val="0"/>
        <w:ind w:firstLine="708"/>
        <w:jc w:val="both"/>
        <w:rPr>
          <w:rFonts w:ascii="Times New Roman" w:hAnsi="Times New Roman"/>
        </w:rPr>
      </w:pPr>
    </w:p>
    <w:sectPr w:rsidSect="00A02814">
      <w:footerReference w:type="even" r:id="rId5"/>
      <w:footerReference w:type="default" r:id="rId6"/>
      <w:footerReference w:type="first" r:id="rId7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eorgia">
    <w:panose1 w:val="02040502050405020303"/>
    <w:charset w:val="EE"/>
    <w:family w:val="roman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EF" w:rsidP="006955EF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6955EF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14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0567E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  <w:p w:rsidR="00A02814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EE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0567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8420E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CA4"/>
    <w:multiLevelType w:val="hybridMultilevel"/>
    <w:tmpl w:val="301041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14BBE"/>
    <w:multiLevelType w:val="hybridMultilevel"/>
    <w:tmpl w:val="DAEAD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A6AD5"/>
    <w:multiLevelType w:val="hybridMultilevel"/>
    <w:tmpl w:val="DCD433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8442D4"/>
    <w:multiLevelType w:val="multilevel"/>
    <w:tmpl w:val="9AE01AF8"/>
    <w:lvl w:ilvl="0">
      <w:start w:val="1"/>
      <w:numFmt w:val="upperLetter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Heading3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Heading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4">
    <w:nsid w:val="234F4100"/>
    <w:multiLevelType w:val="hybridMultilevel"/>
    <w:tmpl w:val="9718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847DC"/>
    <w:multiLevelType w:val="hybridMultilevel"/>
    <w:tmpl w:val="8EAE1B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F646B"/>
    <w:multiLevelType w:val="hybridMultilevel"/>
    <w:tmpl w:val="5498CDA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7F80B01"/>
    <w:multiLevelType w:val="hybridMultilevel"/>
    <w:tmpl w:val="0D30663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67D99"/>
    <w:multiLevelType w:val="hybridMultilevel"/>
    <w:tmpl w:val="536CE9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736FB"/>
    <w:multiLevelType w:val="hybridMultilevel"/>
    <w:tmpl w:val="AED81F5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D05296E"/>
    <w:multiLevelType w:val="hybridMultilevel"/>
    <w:tmpl w:val="3FF06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31AE5"/>
    <w:multiLevelType w:val="hybridMultilevel"/>
    <w:tmpl w:val="D21C0306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441563"/>
    <w:multiLevelType w:val="hybridMultilevel"/>
    <w:tmpl w:val="7D1AD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04E9F"/>
    <w:multiLevelType w:val="hybridMultilevel"/>
    <w:tmpl w:val="FD346D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2177CCD"/>
    <w:multiLevelType w:val="hybridMultilevel"/>
    <w:tmpl w:val="1864FF82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8E91B3A"/>
    <w:multiLevelType w:val="hybridMultilevel"/>
    <w:tmpl w:val="50B221E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BD30805"/>
    <w:multiLevelType w:val="hybridMultilevel"/>
    <w:tmpl w:val="BC048D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2DA1FB1"/>
    <w:multiLevelType w:val="hybridMultilevel"/>
    <w:tmpl w:val="6FAEF54C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B01F1A"/>
    <w:multiLevelType w:val="hybridMultilevel"/>
    <w:tmpl w:val="4DA2CC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9356BE7"/>
    <w:multiLevelType w:val="hybridMultilevel"/>
    <w:tmpl w:val="D1928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21">
    <w:nsid w:val="7665590E"/>
    <w:multiLevelType w:val="hybridMultilevel"/>
    <w:tmpl w:val="8016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9"/>
  </w:num>
  <w:num w:numId="3">
    <w:abstractNumId w:val="21"/>
  </w:num>
  <w:num w:numId="4">
    <w:abstractNumId w:val="4"/>
  </w:num>
  <w:num w:numId="5">
    <w:abstractNumId w:val="14"/>
  </w:num>
  <w:num w:numId="6">
    <w:abstractNumId w:val="6"/>
  </w:num>
  <w:num w:numId="7">
    <w:abstractNumId w:val="10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16"/>
  </w:num>
  <w:num w:numId="13">
    <w:abstractNumId w:val="0"/>
  </w:num>
  <w:num w:numId="14">
    <w:abstractNumId w:val="17"/>
  </w:num>
  <w:num w:numId="15">
    <w:abstractNumId w:val="9"/>
  </w:num>
  <w:num w:numId="16">
    <w:abstractNumId w:val="15"/>
  </w:num>
  <w:num w:numId="17">
    <w:abstractNumId w:val="13"/>
  </w:num>
  <w:num w:numId="18">
    <w:abstractNumId w:val="2"/>
  </w:num>
  <w:num w:numId="19">
    <w:abstractNumId w:val="5"/>
  </w:num>
  <w:num w:numId="20">
    <w:abstractNumId w:val="18"/>
  </w:num>
  <w:num w:numId="21">
    <w:abstractNumId w:val="1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A0393"/>
    <w:rsid w:val="00000A65"/>
    <w:rsid w:val="0000590D"/>
    <w:rsid w:val="000060E7"/>
    <w:rsid w:val="00010350"/>
    <w:rsid w:val="000120A0"/>
    <w:rsid w:val="000120D5"/>
    <w:rsid w:val="00012225"/>
    <w:rsid w:val="000133A4"/>
    <w:rsid w:val="00014DC4"/>
    <w:rsid w:val="00017470"/>
    <w:rsid w:val="000210AB"/>
    <w:rsid w:val="00022993"/>
    <w:rsid w:val="00023917"/>
    <w:rsid w:val="00023C8B"/>
    <w:rsid w:val="00025684"/>
    <w:rsid w:val="0002620E"/>
    <w:rsid w:val="00026E1A"/>
    <w:rsid w:val="0002777F"/>
    <w:rsid w:val="00031D7A"/>
    <w:rsid w:val="000343B1"/>
    <w:rsid w:val="000344FA"/>
    <w:rsid w:val="00035BDD"/>
    <w:rsid w:val="00040F89"/>
    <w:rsid w:val="00041F43"/>
    <w:rsid w:val="0004561F"/>
    <w:rsid w:val="00051883"/>
    <w:rsid w:val="000531A7"/>
    <w:rsid w:val="00053574"/>
    <w:rsid w:val="00054314"/>
    <w:rsid w:val="0005591C"/>
    <w:rsid w:val="00055981"/>
    <w:rsid w:val="00056159"/>
    <w:rsid w:val="00057320"/>
    <w:rsid w:val="000603AF"/>
    <w:rsid w:val="00060A2A"/>
    <w:rsid w:val="00060FD4"/>
    <w:rsid w:val="00062629"/>
    <w:rsid w:val="00067049"/>
    <w:rsid w:val="00067111"/>
    <w:rsid w:val="00067142"/>
    <w:rsid w:val="00070EC7"/>
    <w:rsid w:val="00074836"/>
    <w:rsid w:val="00075414"/>
    <w:rsid w:val="00077B2F"/>
    <w:rsid w:val="00077E79"/>
    <w:rsid w:val="00077F4F"/>
    <w:rsid w:val="00083660"/>
    <w:rsid w:val="00083FAA"/>
    <w:rsid w:val="000900C8"/>
    <w:rsid w:val="000910BD"/>
    <w:rsid w:val="00093011"/>
    <w:rsid w:val="00096096"/>
    <w:rsid w:val="000979D1"/>
    <w:rsid w:val="00097EF1"/>
    <w:rsid w:val="000A2249"/>
    <w:rsid w:val="000A2AFF"/>
    <w:rsid w:val="000A7ED4"/>
    <w:rsid w:val="000B02CF"/>
    <w:rsid w:val="000B545D"/>
    <w:rsid w:val="000B5E24"/>
    <w:rsid w:val="000B7517"/>
    <w:rsid w:val="000B787F"/>
    <w:rsid w:val="000B78BF"/>
    <w:rsid w:val="000C0866"/>
    <w:rsid w:val="000C0D1B"/>
    <w:rsid w:val="000C5FF6"/>
    <w:rsid w:val="000D0630"/>
    <w:rsid w:val="000D1457"/>
    <w:rsid w:val="000D2418"/>
    <w:rsid w:val="000D3B62"/>
    <w:rsid w:val="000D4E15"/>
    <w:rsid w:val="000D7110"/>
    <w:rsid w:val="000D7A26"/>
    <w:rsid w:val="000E04F9"/>
    <w:rsid w:val="000E0E2C"/>
    <w:rsid w:val="000E0F3A"/>
    <w:rsid w:val="000E154F"/>
    <w:rsid w:val="000E17BC"/>
    <w:rsid w:val="000E25D6"/>
    <w:rsid w:val="000E28A0"/>
    <w:rsid w:val="000E640F"/>
    <w:rsid w:val="000E7158"/>
    <w:rsid w:val="000F04D8"/>
    <w:rsid w:val="000F2000"/>
    <w:rsid w:val="000F3116"/>
    <w:rsid w:val="000F3617"/>
    <w:rsid w:val="000F4609"/>
    <w:rsid w:val="000F56C6"/>
    <w:rsid w:val="000F5B42"/>
    <w:rsid w:val="000F7C6B"/>
    <w:rsid w:val="00100910"/>
    <w:rsid w:val="00100D0B"/>
    <w:rsid w:val="001049D6"/>
    <w:rsid w:val="00110BEA"/>
    <w:rsid w:val="00111CB3"/>
    <w:rsid w:val="00113C3B"/>
    <w:rsid w:val="001159B8"/>
    <w:rsid w:val="001159DF"/>
    <w:rsid w:val="00116828"/>
    <w:rsid w:val="001203DD"/>
    <w:rsid w:val="00121904"/>
    <w:rsid w:val="00125010"/>
    <w:rsid w:val="00126437"/>
    <w:rsid w:val="00131047"/>
    <w:rsid w:val="00131249"/>
    <w:rsid w:val="0013613F"/>
    <w:rsid w:val="001408B9"/>
    <w:rsid w:val="00143FFE"/>
    <w:rsid w:val="00144EF9"/>
    <w:rsid w:val="00145125"/>
    <w:rsid w:val="0014545E"/>
    <w:rsid w:val="00145CF7"/>
    <w:rsid w:val="00146AE1"/>
    <w:rsid w:val="00152A07"/>
    <w:rsid w:val="00154C81"/>
    <w:rsid w:val="00154F5E"/>
    <w:rsid w:val="00160285"/>
    <w:rsid w:val="0016126A"/>
    <w:rsid w:val="00161F63"/>
    <w:rsid w:val="00166E15"/>
    <w:rsid w:val="00167712"/>
    <w:rsid w:val="00167D86"/>
    <w:rsid w:val="00170122"/>
    <w:rsid w:val="0017046B"/>
    <w:rsid w:val="00171F4A"/>
    <w:rsid w:val="001730C5"/>
    <w:rsid w:val="00176071"/>
    <w:rsid w:val="0018024B"/>
    <w:rsid w:val="001815B6"/>
    <w:rsid w:val="0018179A"/>
    <w:rsid w:val="00181CCD"/>
    <w:rsid w:val="001831B0"/>
    <w:rsid w:val="00183385"/>
    <w:rsid w:val="00184C7F"/>
    <w:rsid w:val="00184C9D"/>
    <w:rsid w:val="0018602C"/>
    <w:rsid w:val="0018624D"/>
    <w:rsid w:val="00186EAE"/>
    <w:rsid w:val="00187D32"/>
    <w:rsid w:val="001928DF"/>
    <w:rsid w:val="00192BCC"/>
    <w:rsid w:val="001950C2"/>
    <w:rsid w:val="00197BBA"/>
    <w:rsid w:val="001A0513"/>
    <w:rsid w:val="001A0B7C"/>
    <w:rsid w:val="001A24A2"/>
    <w:rsid w:val="001A5B0B"/>
    <w:rsid w:val="001B2C47"/>
    <w:rsid w:val="001B31BC"/>
    <w:rsid w:val="001B5081"/>
    <w:rsid w:val="001B64E7"/>
    <w:rsid w:val="001C01F1"/>
    <w:rsid w:val="001C2A24"/>
    <w:rsid w:val="001C424F"/>
    <w:rsid w:val="001C5343"/>
    <w:rsid w:val="001C779D"/>
    <w:rsid w:val="001D033F"/>
    <w:rsid w:val="001D1529"/>
    <w:rsid w:val="001D435E"/>
    <w:rsid w:val="001D4637"/>
    <w:rsid w:val="001D76FF"/>
    <w:rsid w:val="001D7CE6"/>
    <w:rsid w:val="001E0E7B"/>
    <w:rsid w:val="001E216D"/>
    <w:rsid w:val="001F21F7"/>
    <w:rsid w:val="001F2516"/>
    <w:rsid w:val="001F4719"/>
    <w:rsid w:val="001F7D1C"/>
    <w:rsid w:val="00201AEB"/>
    <w:rsid w:val="0020329C"/>
    <w:rsid w:val="00203A8C"/>
    <w:rsid w:val="00213FFA"/>
    <w:rsid w:val="00215AE1"/>
    <w:rsid w:val="002164E1"/>
    <w:rsid w:val="0022215B"/>
    <w:rsid w:val="0022271D"/>
    <w:rsid w:val="00225624"/>
    <w:rsid w:val="00231474"/>
    <w:rsid w:val="0023153B"/>
    <w:rsid w:val="002329BE"/>
    <w:rsid w:val="00233D01"/>
    <w:rsid w:val="00235BD4"/>
    <w:rsid w:val="0023603F"/>
    <w:rsid w:val="002364B3"/>
    <w:rsid w:val="00237CC0"/>
    <w:rsid w:val="00237DDB"/>
    <w:rsid w:val="00242844"/>
    <w:rsid w:val="00242B8E"/>
    <w:rsid w:val="002439C7"/>
    <w:rsid w:val="00244764"/>
    <w:rsid w:val="00250A6A"/>
    <w:rsid w:val="00250C52"/>
    <w:rsid w:val="00251D9A"/>
    <w:rsid w:val="00255739"/>
    <w:rsid w:val="0025578C"/>
    <w:rsid w:val="00257DA2"/>
    <w:rsid w:val="00260306"/>
    <w:rsid w:val="002606E3"/>
    <w:rsid w:val="002634EC"/>
    <w:rsid w:val="002648BA"/>
    <w:rsid w:val="00265A6A"/>
    <w:rsid w:val="00265F84"/>
    <w:rsid w:val="00265FE0"/>
    <w:rsid w:val="002669F9"/>
    <w:rsid w:val="00270B91"/>
    <w:rsid w:val="00274FD4"/>
    <w:rsid w:val="00275F6B"/>
    <w:rsid w:val="00277471"/>
    <w:rsid w:val="0027786A"/>
    <w:rsid w:val="002807E2"/>
    <w:rsid w:val="00281AE5"/>
    <w:rsid w:val="00281AF7"/>
    <w:rsid w:val="00281FAD"/>
    <w:rsid w:val="00282969"/>
    <w:rsid w:val="00283E07"/>
    <w:rsid w:val="00287060"/>
    <w:rsid w:val="00290354"/>
    <w:rsid w:val="002916CC"/>
    <w:rsid w:val="002929F5"/>
    <w:rsid w:val="002931BD"/>
    <w:rsid w:val="0029393D"/>
    <w:rsid w:val="00293D31"/>
    <w:rsid w:val="00294882"/>
    <w:rsid w:val="002954BD"/>
    <w:rsid w:val="00296BB6"/>
    <w:rsid w:val="002978DB"/>
    <w:rsid w:val="00297EB6"/>
    <w:rsid w:val="002A0393"/>
    <w:rsid w:val="002A1B59"/>
    <w:rsid w:val="002A21BA"/>
    <w:rsid w:val="002A416A"/>
    <w:rsid w:val="002A45EF"/>
    <w:rsid w:val="002A59B4"/>
    <w:rsid w:val="002A5D47"/>
    <w:rsid w:val="002A5F97"/>
    <w:rsid w:val="002A6010"/>
    <w:rsid w:val="002B138D"/>
    <w:rsid w:val="002B2C22"/>
    <w:rsid w:val="002B3E1E"/>
    <w:rsid w:val="002B6C97"/>
    <w:rsid w:val="002C6B1C"/>
    <w:rsid w:val="002C7E4F"/>
    <w:rsid w:val="002D0939"/>
    <w:rsid w:val="002D2316"/>
    <w:rsid w:val="002D2EE8"/>
    <w:rsid w:val="002D5E15"/>
    <w:rsid w:val="002D6790"/>
    <w:rsid w:val="002D6B1D"/>
    <w:rsid w:val="002D7EDD"/>
    <w:rsid w:val="002E1207"/>
    <w:rsid w:val="002E159C"/>
    <w:rsid w:val="002E4A81"/>
    <w:rsid w:val="002E5A94"/>
    <w:rsid w:val="002E68E8"/>
    <w:rsid w:val="002E6BBA"/>
    <w:rsid w:val="002E7E03"/>
    <w:rsid w:val="002F1242"/>
    <w:rsid w:val="002F1509"/>
    <w:rsid w:val="002F1C95"/>
    <w:rsid w:val="002F45FC"/>
    <w:rsid w:val="002F4C6A"/>
    <w:rsid w:val="002F53CE"/>
    <w:rsid w:val="002F72FA"/>
    <w:rsid w:val="002F76AF"/>
    <w:rsid w:val="00300F74"/>
    <w:rsid w:val="00302094"/>
    <w:rsid w:val="00302576"/>
    <w:rsid w:val="00302A26"/>
    <w:rsid w:val="0030372E"/>
    <w:rsid w:val="00304285"/>
    <w:rsid w:val="003051AB"/>
    <w:rsid w:val="00305495"/>
    <w:rsid w:val="0030567E"/>
    <w:rsid w:val="0030631E"/>
    <w:rsid w:val="003132A2"/>
    <w:rsid w:val="00314A5F"/>
    <w:rsid w:val="00315CF6"/>
    <w:rsid w:val="0031679B"/>
    <w:rsid w:val="00316926"/>
    <w:rsid w:val="00317048"/>
    <w:rsid w:val="00321664"/>
    <w:rsid w:val="00323327"/>
    <w:rsid w:val="00324610"/>
    <w:rsid w:val="003246A4"/>
    <w:rsid w:val="00327CD3"/>
    <w:rsid w:val="003304E8"/>
    <w:rsid w:val="003308D4"/>
    <w:rsid w:val="003342E9"/>
    <w:rsid w:val="00334DA9"/>
    <w:rsid w:val="00334DFC"/>
    <w:rsid w:val="003354E1"/>
    <w:rsid w:val="00335AF2"/>
    <w:rsid w:val="00335FBC"/>
    <w:rsid w:val="00336C61"/>
    <w:rsid w:val="00336C81"/>
    <w:rsid w:val="00341453"/>
    <w:rsid w:val="00341598"/>
    <w:rsid w:val="00344A14"/>
    <w:rsid w:val="00345246"/>
    <w:rsid w:val="00345588"/>
    <w:rsid w:val="00345B2B"/>
    <w:rsid w:val="00346037"/>
    <w:rsid w:val="00347875"/>
    <w:rsid w:val="00352892"/>
    <w:rsid w:val="00354D64"/>
    <w:rsid w:val="003575F5"/>
    <w:rsid w:val="0036061B"/>
    <w:rsid w:val="00362060"/>
    <w:rsid w:val="00362E67"/>
    <w:rsid w:val="003652D9"/>
    <w:rsid w:val="0036596B"/>
    <w:rsid w:val="00366C33"/>
    <w:rsid w:val="00370A4C"/>
    <w:rsid w:val="003726C0"/>
    <w:rsid w:val="00372E0E"/>
    <w:rsid w:val="00376427"/>
    <w:rsid w:val="00377137"/>
    <w:rsid w:val="00382262"/>
    <w:rsid w:val="00383873"/>
    <w:rsid w:val="0038437F"/>
    <w:rsid w:val="00384674"/>
    <w:rsid w:val="00384FA0"/>
    <w:rsid w:val="0038637D"/>
    <w:rsid w:val="00390735"/>
    <w:rsid w:val="00391830"/>
    <w:rsid w:val="0039401A"/>
    <w:rsid w:val="003952BD"/>
    <w:rsid w:val="00396210"/>
    <w:rsid w:val="0039623F"/>
    <w:rsid w:val="003A0879"/>
    <w:rsid w:val="003A204C"/>
    <w:rsid w:val="003A5319"/>
    <w:rsid w:val="003A558E"/>
    <w:rsid w:val="003B0FD0"/>
    <w:rsid w:val="003B129D"/>
    <w:rsid w:val="003B75C6"/>
    <w:rsid w:val="003C0D12"/>
    <w:rsid w:val="003C1DF0"/>
    <w:rsid w:val="003C32E0"/>
    <w:rsid w:val="003C4116"/>
    <w:rsid w:val="003C5778"/>
    <w:rsid w:val="003C62DC"/>
    <w:rsid w:val="003C6313"/>
    <w:rsid w:val="003C6B14"/>
    <w:rsid w:val="003C6EC7"/>
    <w:rsid w:val="003C7815"/>
    <w:rsid w:val="003D1200"/>
    <w:rsid w:val="003D189A"/>
    <w:rsid w:val="003D1F79"/>
    <w:rsid w:val="003D2AEC"/>
    <w:rsid w:val="003D74D6"/>
    <w:rsid w:val="003D7A3A"/>
    <w:rsid w:val="003E259E"/>
    <w:rsid w:val="003E7376"/>
    <w:rsid w:val="003F5B3E"/>
    <w:rsid w:val="003F5CAF"/>
    <w:rsid w:val="0040386D"/>
    <w:rsid w:val="00404FEA"/>
    <w:rsid w:val="004114FF"/>
    <w:rsid w:val="00411F5B"/>
    <w:rsid w:val="0041313D"/>
    <w:rsid w:val="00420B88"/>
    <w:rsid w:val="004215FD"/>
    <w:rsid w:val="00423450"/>
    <w:rsid w:val="004234FD"/>
    <w:rsid w:val="004304EA"/>
    <w:rsid w:val="004338B5"/>
    <w:rsid w:val="00433E11"/>
    <w:rsid w:val="0043495D"/>
    <w:rsid w:val="00436880"/>
    <w:rsid w:val="00436AD0"/>
    <w:rsid w:val="00437E06"/>
    <w:rsid w:val="00441596"/>
    <w:rsid w:val="00441FBE"/>
    <w:rsid w:val="00443501"/>
    <w:rsid w:val="00443F83"/>
    <w:rsid w:val="00446BD5"/>
    <w:rsid w:val="00446D55"/>
    <w:rsid w:val="00447828"/>
    <w:rsid w:val="00450AD9"/>
    <w:rsid w:val="00450E0F"/>
    <w:rsid w:val="004522B3"/>
    <w:rsid w:val="00452A15"/>
    <w:rsid w:val="00452C16"/>
    <w:rsid w:val="004570D3"/>
    <w:rsid w:val="00460451"/>
    <w:rsid w:val="00461704"/>
    <w:rsid w:val="00464B2C"/>
    <w:rsid w:val="00465FC8"/>
    <w:rsid w:val="00467000"/>
    <w:rsid w:val="004672C0"/>
    <w:rsid w:val="00471361"/>
    <w:rsid w:val="00471586"/>
    <w:rsid w:val="00471A0F"/>
    <w:rsid w:val="00472E89"/>
    <w:rsid w:val="00473C5F"/>
    <w:rsid w:val="00474D63"/>
    <w:rsid w:val="0047708E"/>
    <w:rsid w:val="0048004C"/>
    <w:rsid w:val="0048168F"/>
    <w:rsid w:val="00482DD2"/>
    <w:rsid w:val="004839DF"/>
    <w:rsid w:val="004847E4"/>
    <w:rsid w:val="00486C87"/>
    <w:rsid w:val="0049084E"/>
    <w:rsid w:val="004910B1"/>
    <w:rsid w:val="00491AC8"/>
    <w:rsid w:val="0049373B"/>
    <w:rsid w:val="0049585B"/>
    <w:rsid w:val="00495FB1"/>
    <w:rsid w:val="00496274"/>
    <w:rsid w:val="00496CAF"/>
    <w:rsid w:val="004A04C4"/>
    <w:rsid w:val="004A08EA"/>
    <w:rsid w:val="004A152B"/>
    <w:rsid w:val="004A173E"/>
    <w:rsid w:val="004A3C4B"/>
    <w:rsid w:val="004A48D7"/>
    <w:rsid w:val="004A4C47"/>
    <w:rsid w:val="004A4D7F"/>
    <w:rsid w:val="004A5FBD"/>
    <w:rsid w:val="004A6921"/>
    <w:rsid w:val="004A7171"/>
    <w:rsid w:val="004B0B9C"/>
    <w:rsid w:val="004B1A58"/>
    <w:rsid w:val="004B4683"/>
    <w:rsid w:val="004B5CAF"/>
    <w:rsid w:val="004C0996"/>
    <w:rsid w:val="004C0F33"/>
    <w:rsid w:val="004C1486"/>
    <w:rsid w:val="004C1CA6"/>
    <w:rsid w:val="004C2E7C"/>
    <w:rsid w:val="004C37B2"/>
    <w:rsid w:val="004C3C35"/>
    <w:rsid w:val="004C553D"/>
    <w:rsid w:val="004C5E7D"/>
    <w:rsid w:val="004C5E88"/>
    <w:rsid w:val="004C6C97"/>
    <w:rsid w:val="004D0C17"/>
    <w:rsid w:val="004D36FD"/>
    <w:rsid w:val="004E0CEE"/>
    <w:rsid w:val="004E136B"/>
    <w:rsid w:val="004E1423"/>
    <w:rsid w:val="004E216D"/>
    <w:rsid w:val="004E52F9"/>
    <w:rsid w:val="004E6989"/>
    <w:rsid w:val="004E7A6A"/>
    <w:rsid w:val="004E7AF1"/>
    <w:rsid w:val="004E7D0B"/>
    <w:rsid w:val="004F153D"/>
    <w:rsid w:val="004F1A75"/>
    <w:rsid w:val="004F3EC5"/>
    <w:rsid w:val="004F42F4"/>
    <w:rsid w:val="005016F8"/>
    <w:rsid w:val="00502FE3"/>
    <w:rsid w:val="00504944"/>
    <w:rsid w:val="00510956"/>
    <w:rsid w:val="0051113C"/>
    <w:rsid w:val="0051181E"/>
    <w:rsid w:val="0051225F"/>
    <w:rsid w:val="00512514"/>
    <w:rsid w:val="005131A3"/>
    <w:rsid w:val="00513FD2"/>
    <w:rsid w:val="005146F5"/>
    <w:rsid w:val="00515A32"/>
    <w:rsid w:val="00515E42"/>
    <w:rsid w:val="00516FD6"/>
    <w:rsid w:val="00517D27"/>
    <w:rsid w:val="00520399"/>
    <w:rsid w:val="00520927"/>
    <w:rsid w:val="0052155E"/>
    <w:rsid w:val="0052233F"/>
    <w:rsid w:val="005235F7"/>
    <w:rsid w:val="00523A42"/>
    <w:rsid w:val="00524D82"/>
    <w:rsid w:val="00525BDF"/>
    <w:rsid w:val="00526751"/>
    <w:rsid w:val="005276C3"/>
    <w:rsid w:val="00530225"/>
    <w:rsid w:val="00531450"/>
    <w:rsid w:val="00532D98"/>
    <w:rsid w:val="00536036"/>
    <w:rsid w:val="00537CB1"/>
    <w:rsid w:val="00542848"/>
    <w:rsid w:val="00542BF5"/>
    <w:rsid w:val="00543403"/>
    <w:rsid w:val="0054375B"/>
    <w:rsid w:val="005443C4"/>
    <w:rsid w:val="00545454"/>
    <w:rsid w:val="00546355"/>
    <w:rsid w:val="00547C9E"/>
    <w:rsid w:val="00552959"/>
    <w:rsid w:val="0055390D"/>
    <w:rsid w:val="00554AB2"/>
    <w:rsid w:val="0055513F"/>
    <w:rsid w:val="0056222E"/>
    <w:rsid w:val="00562342"/>
    <w:rsid w:val="00562BE2"/>
    <w:rsid w:val="00566E1C"/>
    <w:rsid w:val="0057530A"/>
    <w:rsid w:val="00576D84"/>
    <w:rsid w:val="00580EB9"/>
    <w:rsid w:val="00581011"/>
    <w:rsid w:val="005823EE"/>
    <w:rsid w:val="0058263B"/>
    <w:rsid w:val="005844F4"/>
    <w:rsid w:val="00585ADA"/>
    <w:rsid w:val="00593BE7"/>
    <w:rsid w:val="00593C1F"/>
    <w:rsid w:val="00594518"/>
    <w:rsid w:val="005948DE"/>
    <w:rsid w:val="005A06B8"/>
    <w:rsid w:val="005A0AD5"/>
    <w:rsid w:val="005A2AB0"/>
    <w:rsid w:val="005A54A6"/>
    <w:rsid w:val="005A6E93"/>
    <w:rsid w:val="005A6F2E"/>
    <w:rsid w:val="005B04EE"/>
    <w:rsid w:val="005B1670"/>
    <w:rsid w:val="005B3BC3"/>
    <w:rsid w:val="005B40C6"/>
    <w:rsid w:val="005B5D8E"/>
    <w:rsid w:val="005C0A38"/>
    <w:rsid w:val="005C25DB"/>
    <w:rsid w:val="005D0717"/>
    <w:rsid w:val="005D30B4"/>
    <w:rsid w:val="005E00B0"/>
    <w:rsid w:val="005E0EF9"/>
    <w:rsid w:val="005E1BF5"/>
    <w:rsid w:val="005E2D60"/>
    <w:rsid w:val="005E2DDF"/>
    <w:rsid w:val="005E432B"/>
    <w:rsid w:val="005E4B05"/>
    <w:rsid w:val="005E57FE"/>
    <w:rsid w:val="005F0253"/>
    <w:rsid w:val="005F064D"/>
    <w:rsid w:val="005F2B04"/>
    <w:rsid w:val="005F2FF2"/>
    <w:rsid w:val="005F337C"/>
    <w:rsid w:val="005F5739"/>
    <w:rsid w:val="005F6186"/>
    <w:rsid w:val="005F6B0C"/>
    <w:rsid w:val="006005CF"/>
    <w:rsid w:val="006019A6"/>
    <w:rsid w:val="00602463"/>
    <w:rsid w:val="00602B24"/>
    <w:rsid w:val="00605A51"/>
    <w:rsid w:val="00613B3E"/>
    <w:rsid w:val="00614845"/>
    <w:rsid w:val="006158DA"/>
    <w:rsid w:val="00615BA9"/>
    <w:rsid w:val="00617914"/>
    <w:rsid w:val="00620A38"/>
    <w:rsid w:val="00622CE0"/>
    <w:rsid w:val="00623922"/>
    <w:rsid w:val="00624BD4"/>
    <w:rsid w:val="006252C4"/>
    <w:rsid w:val="006305D2"/>
    <w:rsid w:val="00630AA2"/>
    <w:rsid w:val="006315D6"/>
    <w:rsid w:val="00634CF5"/>
    <w:rsid w:val="00636995"/>
    <w:rsid w:val="00640119"/>
    <w:rsid w:val="00642789"/>
    <w:rsid w:val="0064291E"/>
    <w:rsid w:val="006429CC"/>
    <w:rsid w:val="00644647"/>
    <w:rsid w:val="00644C1D"/>
    <w:rsid w:val="00644DE5"/>
    <w:rsid w:val="0064554B"/>
    <w:rsid w:val="00647901"/>
    <w:rsid w:val="00656A0B"/>
    <w:rsid w:val="00656A25"/>
    <w:rsid w:val="0066089D"/>
    <w:rsid w:val="0066228F"/>
    <w:rsid w:val="0066263E"/>
    <w:rsid w:val="00662779"/>
    <w:rsid w:val="006642D6"/>
    <w:rsid w:val="00664F48"/>
    <w:rsid w:val="006655F3"/>
    <w:rsid w:val="00666083"/>
    <w:rsid w:val="00675300"/>
    <w:rsid w:val="0067587F"/>
    <w:rsid w:val="00675A0E"/>
    <w:rsid w:val="00676ACD"/>
    <w:rsid w:val="00677A52"/>
    <w:rsid w:val="00677FC5"/>
    <w:rsid w:val="0068115E"/>
    <w:rsid w:val="00681DA6"/>
    <w:rsid w:val="00683871"/>
    <w:rsid w:val="006849E2"/>
    <w:rsid w:val="00685B6A"/>
    <w:rsid w:val="00685E52"/>
    <w:rsid w:val="00685EA6"/>
    <w:rsid w:val="0068740C"/>
    <w:rsid w:val="0068787B"/>
    <w:rsid w:val="00692CC3"/>
    <w:rsid w:val="00693B55"/>
    <w:rsid w:val="00693EB4"/>
    <w:rsid w:val="006955EF"/>
    <w:rsid w:val="006960B0"/>
    <w:rsid w:val="006961FF"/>
    <w:rsid w:val="00696300"/>
    <w:rsid w:val="006A2735"/>
    <w:rsid w:val="006A446D"/>
    <w:rsid w:val="006B0662"/>
    <w:rsid w:val="006B0CD7"/>
    <w:rsid w:val="006B1C38"/>
    <w:rsid w:val="006B25D7"/>
    <w:rsid w:val="006B54F0"/>
    <w:rsid w:val="006B66B0"/>
    <w:rsid w:val="006B6AC5"/>
    <w:rsid w:val="006B6D5A"/>
    <w:rsid w:val="006B7F20"/>
    <w:rsid w:val="006C0C4C"/>
    <w:rsid w:val="006C2062"/>
    <w:rsid w:val="006C2A49"/>
    <w:rsid w:val="006C4210"/>
    <w:rsid w:val="006C4FF2"/>
    <w:rsid w:val="006D0BB9"/>
    <w:rsid w:val="006D1256"/>
    <w:rsid w:val="006D3F67"/>
    <w:rsid w:val="006D46BC"/>
    <w:rsid w:val="006D5319"/>
    <w:rsid w:val="006D5F88"/>
    <w:rsid w:val="006D6DBF"/>
    <w:rsid w:val="006E0E1C"/>
    <w:rsid w:val="006F0579"/>
    <w:rsid w:val="006F1FC6"/>
    <w:rsid w:val="006F4BE9"/>
    <w:rsid w:val="006F6F5F"/>
    <w:rsid w:val="006F7B43"/>
    <w:rsid w:val="006F7DFF"/>
    <w:rsid w:val="0070096D"/>
    <w:rsid w:val="007040E9"/>
    <w:rsid w:val="00706949"/>
    <w:rsid w:val="00707B06"/>
    <w:rsid w:val="0071267F"/>
    <w:rsid w:val="0071297C"/>
    <w:rsid w:val="007138D6"/>
    <w:rsid w:val="007139D1"/>
    <w:rsid w:val="00714515"/>
    <w:rsid w:val="00714D4C"/>
    <w:rsid w:val="00716546"/>
    <w:rsid w:val="00720605"/>
    <w:rsid w:val="00721683"/>
    <w:rsid w:val="0072301B"/>
    <w:rsid w:val="007232E0"/>
    <w:rsid w:val="007233F9"/>
    <w:rsid w:val="0072564C"/>
    <w:rsid w:val="007264EF"/>
    <w:rsid w:val="00726741"/>
    <w:rsid w:val="00726798"/>
    <w:rsid w:val="00730B14"/>
    <w:rsid w:val="0073526C"/>
    <w:rsid w:val="007370F3"/>
    <w:rsid w:val="007442F8"/>
    <w:rsid w:val="00744854"/>
    <w:rsid w:val="00746274"/>
    <w:rsid w:val="007503C2"/>
    <w:rsid w:val="00750936"/>
    <w:rsid w:val="0075299D"/>
    <w:rsid w:val="0075684D"/>
    <w:rsid w:val="007622F9"/>
    <w:rsid w:val="007627F0"/>
    <w:rsid w:val="007638C1"/>
    <w:rsid w:val="00765435"/>
    <w:rsid w:val="00766F41"/>
    <w:rsid w:val="00770667"/>
    <w:rsid w:val="0077517B"/>
    <w:rsid w:val="00776A7D"/>
    <w:rsid w:val="007779A7"/>
    <w:rsid w:val="007779E9"/>
    <w:rsid w:val="007841D5"/>
    <w:rsid w:val="00784552"/>
    <w:rsid w:val="007846A8"/>
    <w:rsid w:val="00792CFB"/>
    <w:rsid w:val="00792DCA"/>
    <w:rsid w:val="007945BB"/>
    <w:rsid w:val="0079499B"/>
    <w:rsid w:val="00795C21"/>
    <w:rsid w:val="00796B7B"/>
    <w:rsid w:val="00796EFE"/>
    <w:rsid w:val="007976AD"/>
    <w:rsid w:val="00797EA1"/>
    <w:rsid w:val="007A0B96"/>
    <w:rsid w:val="007A1431"/>
    <w:rsid w:val="007A2ACC"/>
    <w:rsid w:val="007A3FE9"/>
    <w:rsid w:val="007A42D8"/>
    <w:rsid w:val="007A4EFA"/>
    <w:rsid w:val="007A5010"/>
    <w:rsid w:val="007B3C6A"/>
    <w:rsid w:val="007B4BC8"/>
    <w:rsid w:val="007B585C"/>
    <w:rsid w:val="007C0BB0"/>
    <w:rsid w:val="007C0ED2"/>
    <w:rsid w:val="007C1DC8"/>
    <w:rsid w:val="007C2F76"/>
    <w:rsid w:val="007C3A33"/>
    <w:rsid w:val="007C4926"/>
    <w:rsid w:val="007C5582"/>
    <w:rsid w:val="007D2DA7"/>
    <w:rsid w:val="007D420F"/>
    <w:rsid w:val="007D659E"/>
    <w:rsid w:val="007D7B97"/>
    <w:rsid w:val="007E105E"/>
    <w:rsid w:val="007E3F22"/>
    <w:rsid w:val="007E5ECA"/>
    <w:rsid w:val="007E72E1"/>
    <w:rsid w:val="007F1BE5"/>
    <w:rsid w:val="007F264C"/>
    <w:rsid w:val="007F29FF"/>
    <w:rsid w:val="007F2D01"/>
    <w:rsid w:val="007F602B"/>
    <w:rsid w:val="00807AF3"/>
    <w:rsid w:val="00812CC6"/>
    <w:rsid w:val="0081444E"/>
    <w:rsid w:val="00814640"/>
    <w:rsid w:val="008154EF"/>
    <w:rsid w:val="0081665D"/>
    <w:rsid w:val="008224E6"/>
    <w:rsid w:val="00822634"/>
    <w:rsid w:val="00822EF8"/>
    <w:rsid w:val="00824CF4"/>
    <w:rsid w:val="00827304"/>
    <w:rsid w:val="0083043C"/>
    <w:rsid w:val="00830C48"/>
    <w:rsid w:val="00831201"/>
    <w:rsid w:val="008326DD"/>
    <w:rsid w:val="008330C6"/>
    <w:rsid w:val="008346F9"/>
    <w:rsid w:val="008352DA"/>
    <w:rsid w:val="008353CF"/>
    <w:rsid w:val="00836646"/>
    <w:rsid w:val="00836C20"/>
    <w:rsid w:val="00840FD7"/>
    <w:rsid w:val="008420EE"/>
    <w:rsid w:val="00842716"/>
    <w:rsid w:val="008445EB"/>
    <w:rsid w:val="00850718"/>
    <w:rsid w:val="0085138B"/>
    <w:rsid w:val="00853C1A"/>
    <w:rsid w:val="008548EB"/>
    <w:rsid w:val="00855B05"/>
    <w:rsid w:val="008561D7"/>
    <w:rsid w:val="00856523"/>
    <w:rsid w:val="008566EA"/>
    <w:rsid w:val="00856F6F"/>
    <w:rsid w:val="00857DB4"/>
    <w:rsid w:val="008605E7"/>
    <w:rsid w:val="00866860"/>
    <w:rsid w:val="008678E7"/>
    <w:rsid w:val="0087008A"/>
    <w:rsid w:val="0087091B"/>
    <w:rsid w:val="00872231"/>
    <w:rsid w:val="008722C7"/>
    <w:rsid w:val="00875566"/>
    <w:rsid w:val="00875609"/>
    <w:rsid w:val="00877414"/>
    <w:rsid w:val="00877996"/>
    <w:rsid w:val="00880D43"/>
    <w:rsid w:val="00881684"/>
    <w:rsid w:val="00881CEF"/>
    <w:rsid w:val="008840BC"/>
    <w:rsid w:val="008863D6"/>
    <w:rsid w:val="00887EB9"/>
    <w:rsid w:val="008905A0"/>
    <w:rsid w:val="008910CA"/>
    <w:rsid w:val="0089458A"/>
    <w:rsid w:val="0089594D"/>
    <w:rsid w:val="008960BA"/>
    <w:rsid w:val="00897099"/>
    <w:rsid w:val="0089726B"/>
    <w:rsid w:val="00897D82"/>
    <w:rsid w:val="00897F46"/>
    <w:rsid w:val="008A1389"/>
    <w:rsid w:val="008A25C6"/>
    <w:rsid w:val="008A2D29"/>
    <w:rsid w:val="008A64C2"/>
    <w:rsid w:val="008A65AC"/>
    <w:rsid w:val="008A7745"/>
    <w:rsid w:val="008B2097"/>
    <w:rsid w:val="008B213D"/>
    <w:rsid w:val="008B5FCF"/>
    <w:rsid w:val="008B7ECF"/>
    <w:rsid w:val="008C1FCC"/>
    <w:rsid w:val="008C24F3"/>
    <w:rsid w:val="008C2C0D"/>
    <w:rsid w:val="008C2E65"/>
    <w:rsid w:val="008C3208"/>
    <w:rsid w:val="008C3C34"/>
    <w:rsid w:val="008D0BDB"/>
    <w:rsid w:val="008D22B0"/>
    <w:rsid w:val="008D2E85"/>
    <w:rsid w:val="008D3887"/>
    <w:rsid w:val="008D42AA"/>
    <w:rsid w:val="008D63E7"/>
    <w:rsid w:val="008D68C8"/>
    <w:rsid w:val="008D6F17"/>
    <w:rsid w:val="008E02BF"/>
    <w:rsid w:val="008E03F2"/>
    <w:rsid w:val="008E148D"/>
    <w:rsid w:val="008E1FCE"/>
    <w:rsid w:val="008E487F"/>
    <w:rsid w:val="008E60F7"/>
    <w:rsid w:val="008F05D2"/>
    <w:rsid w:val="008F2697"/>
    <w:rsid w:val="008F359A"/>
    <w:rsid w:val="008F3F50"/>
    <w:rsid w:val="008F7C7F"/>
    <w:rsid w:val="00900EEB"/>
    <w:rsid w:val="00901DC9"/>
    <w:rsid w:val="009055DA"/>
    <w:rsid w:val="0090676A"/>
    <w:rsid w:val="00910F67"/>
    <w:rsid w:val="00911AC6"/>
    <w:rsid w:val="00913902"/>
    <w:rsid w:val="0091596D"/>
    <w:rsid w:val="00917D48"/>
    <w:rsid w:val="00921DF8"/>
    <w:rsid w:val="00922E17"/>
    <w:rsid w:val="009243D7"/>
    <w:rsid w:val="00924D65"/>
    <w:rsid w:val="00925D8E"/>
    <w:rsid w:val="00926C7E"/>
    <w:rsid w:val="00930C6E"/>
    <w:rsid w:val="009312FF"/>
    <w:rsid w:val="009330B8"/>
    <w:rsid w:val="00940F8A"/>
    <w:rsid w:val="0094156D"/>
    <w:rsid w:val="009428BF"/>
    <w:rsid w:val="00942D2E"/>
    <w:rsid w:val="00943725"/>
    <w:rsid w:val="00944724"/>
    <w:rsid w:val="00945ED1"/>
    <w:rsid w:val="00946F30"/>
    <w:rsid w:val="00950504"/>
    <w:rsid w:val="00951DEE"/>
    <w:rsid w:val="00953462"/>
    <w:rsid w:val="009540FD"/>
    <w:rsid w:val="00955A23"/>
    <w:rsid w:val="00956D65"/>
    <w:rsid w:val="00962490"/>
    <w:rsid w:val="009642FF"/>
    <w:rsid w:val="00964A57"/>
    <w:rsid w:val="009669B7"/>
    <w:rsid w:val="00966E32"/>
    <w:rsid w:val="00966FC8"/>
    <w:rsid w:val="00967601"/>
    <w:rsid w:val="00970E0C"/>
    <w:rsid w:val="0097114A"/>
    <w:rsid w:val="0097246F"/>
    <w:rsid w:val="00976D26"/>
    <w:rsid w:val="00977D84"/>
    <w:rsid w:val="00980195"/>
    <w:rsid w:val="00980FAF"/>
    <w:rsid w:val="009811B7"/>
    <w:rsid w:val="00981DF3"/>
    <w:rsid w:val="00983644"/>
    <w:rsid w:val="00984A3F"/>
    <w:rsid w:val="00991B31"/>
    <w:rsid w:val="00992985"/>
    <w:rsid w:val="00993F9B"/>
    <w:rsid w:val="00997C8A"/>
    <w:rsid w:val="00997E0C"/>
    <w:rsid w:val="009A129D"/>
    <w:rsid w:val="009A49DA"/>
    <w:rsid w:val="009A6CDA"/>
    <w:rsid w:val="009B0ECA"/>
    <w:rsid w:val="009B1516"/>
    <w:rsid w:val="009B187A"/>
    <w:rsid w:val="009B1FA9"/>
    <w:rsid w:val="009B279A"/>
    <w:rsid w:val="009B34DB"/>
    <w:rsid w:val="009B4B1C"/>
    <w:rsid w:val="009C0025"/>
    <w:rsid w:val="009C00D7"/>
    <w:rsid w:val="009C117F"/>
    <w:rsid w:val="009C11DC"/>
    <w:rsid w:val="009C2015"/>
    <w:rsid w:val="009C3149"/>
    <w:rsid w:val="009C3C85"/>
    <w:rsid w:val="009C418E"/>
    <w:rsid w:val="009C525A"/>
    <w:rsid w:val="009C59FE"/>
    <w:rsid w:val="009C7038"/>
    <w:rsid w:val="009C7556"/>
    <w:rsid w:val="009C7EA8"/>
    <w:rsid w:val="009D2FCF"/>
    <w:rsid w:val="009D45C5"/>
    <w:rsid w:val="009D6219"/>
    <w:rsid w:val="009D65DC"/>
    <w:rsid w:val="009E04A7"/>
    <w:rsid w:val="009E05B1"/>
    <w:rsid w:val="009E0958"/>
    <w:rsid w:val="009E19B4"/>
    <w:rsid w:val="009E1CC9"/>
    <w:rsid w:val="009E2DFC"/>
    <w:rsid w:val="009E3019"/>
    <w:rsid w:val="009E304A"/>
    <w:rsid w:val="009E437D"/>
    <w:rsid w:val="009E5036"/>
    <w:rsid w:val="009E53A2"/>
    <w:rsid w:val="009E57B8"/>
    <w:rsid w:val="009E5866"/>
    <w:rsid w:val="009E61AF"/>
    <w:rsid w:val="009E7AB1"/>
    <w:rsid w:val="009F1BA0"/>
    <w:rsid w:val="009F1EFB"/>
    <w:rsid w:val="009F2831"/>
    <w:rsid w:val="009F4DA6"/>
    <w:rsid w:val="009F6F50"/>
    <w:rsid w:val="00A02154"/>
    <w:rsid w:val="00A02814"/>
    <w:rsid w:val="00A04035"/>
    <w:rsid w:val="00A105FD"/>
    <w:rsid w:val="00A124EE"/>
    <w:rsid w:val="00A13A39"/>
    <w:rsid w:val="00A15129"/>
    <w:rsid w:val="00A15EF8"/>
    <w:rsid w:val="00A20A3E"/>
    <w:rsid w:val="00A20BB2"/>
    <w:rsid w:val="00A227EA"/>
    <w:rsid w:val="00A24E91"/>
    <w:rsid w:val="00A25F8B"/>
    <w:rsid w:val="00A2623E"/>
    <w:rsid w:val="00A26C25"/>
    <w:rsid w:val="00A27379"/>
    <w:rsid w:val="00A27ECC"/>
    <w:rsid w:val="00A32C98"/>
    <w:rsid w:val="00A339F2"/>
    <w:rsid w:val="00A346CE"/>
    <w:rsid w:val="00A34C5A"/>
    <w:rsid w:val="00A434A6"/>
    <w:rsid w:val="00A46242"/>
    <w:rsid w:val="00A46966"/>
    <w:rsid w:val="00A46D44"/>
    <w:rsid w:val="00A52E5F"/>
    <w:rsid w:val="00A53801"/>
    <w:rsid w:val="00A55CBE"/>
    <w:rsid w:val="00A5777A"/>
    <w:rsid w:val="00A6301D"/>
    <w:rsid w:val="00A63D6D"/>
    <w:rsid w:val="00A648B5"/>
    <w:rsid w:val="00A66C58"/>
    <w:rsid w:val="00A72D8D"/>
    <w:rsid w:val="00A76C1A"/>
    <w:rsid w:val="00A77076"/>
    <w:rsid w:val="00A778EA"/>
    <w:rsid w:val="00A83AB8"/>
    <w:rsid w:val="00A87804"/>
    <w:rsid w:val="00A91D77"/>
    <w:rsid w:val="00A91F62"/>
    <w:rsid w:val="00A9589A"/>
    <w:rsid w:val="00A97FEB"/>
    <w:rsid w:val="00AA140A"/>
    <w:rsid w:val="00AA4ADD"/>
    <w:rsid w:val="00AA628B"/>
    <w:rsid w:val="00AA6C9B"/>
    <w:rsid w:val="00AA77F3"/>
    <w:rsid w:val="00AB2191"/>
    <w:rsid w:val="00AB2820"/>
    <w:rsid w:val="00AB33D8"/>
    <w:rsid w:val="00AB6C2F"/>
    <w:rsid w:val="00AC222B"/>
    <w:rsid w:val="00AC3EB8"/>
    <w:rsid w:val="00AC5145"/>
    <w:rsid w:val="00AC580A"/>
    <w:rsid w:val="00AC746D"/>
    <w:rsid w:val="00AD0B9A"/>
    <w:rsid w:val="00AD0BB6"/>
    <w:rsid w:val="00AD13AE"/>
    <w:rsid w:val="00AD1531"/>
    <w:rsid w:val="00AD3D3C"/>
    <w:rsid w:val="00AD3EDB"/>
    <w:rsid w:val="00AD6277"/>
    <w:rsid w:val="00AD62FE"/>
    <w:rsid w:val="00AE3B71"/>
    <w:rsid w:val="00AE4C5E"/>
    <w:rsid w:val="00AE55D6"/>
    <w:rsid w:val="00AE5B50"/>
    <w:rsid w:val="00AE71B9"/>
    <w:rsid w:val="00AE7D85"/>
    <w:rsid w:val="00AF43BB"/>
    <w:rsid w:val="00AF5AA5"/>
    <w:rsid w:val="00AF5FC1"/>
    <w:rsid w:val="00AF683F"/>
    <w:rsid w:val="00AF70AB"/>
    <w:rsid w:val="00AF7288"/>
    <w:rsid w:val="00AF7EE7"/>
    <w:rsid w:val="00B00974"/>
    <w:rsid w:val="00B02210"/>
    <w:rsid w:val="00B02C6A"/>
    <w:rsid w:val="00B03F31"/>
    <w:rsid w:val="00B05912"/>
    <w:rsid w:val="00B059B1"/>
    <w:rsid w:val="00B141D0"/>
    <w:rsid w:val="00B17244"/>
    <w:rsid w:val="00B23CEF"/>
    <w:rsid w:val="00B23D8B"/>
    <w:rsid w:val="00B2488E"/>
    <w:rsid w:val="00B255DD"/>
    <w:rsid w:val="00B33342"/>
    <w:rsid w:val="00B333A0"/>
    <w:rsid w:val="00B35C28"/>
    <w:rsid w:val="00B41E7E"/>
    <w:rsid w:val="00B446CA"/>
    <w:rsid w:val="00B4598B"/>
    <w:rsid w:val="00B53539"/>
    <w:rsid w:val="00B5449D"/>
    <w:rsid w:val="00B54CF0"/>
    <w:rsid w:val="00B56413"/>
    <w:rsid w:val="00B60BF5"/>
    <w:rsid w:val="00B6333A"/>
    <w:rsid w:val="00B63B21"/>
    <w:rsid w:val="00B65E52"/>
    <w:rsid w:val="00B67D1D"/>
    <w:rsid w:val="00B7036E"/>
    <w:rsid w:val="00B72B71"/>
    <w:rsid w:val="00B75E44"/>
    <w:rsid w:val="00B77434"/>
    <w:rsid w:val="00B82222"/>
    <w:rsid w:val="00B85814"/>
    <w:rsid w:val="00B90680"/>
    <w:rsid w:val="00B91294"/>
    <w:rsid w:val="00B93830"/>
    <w:rsid w:val="00B94F31"/>
    <w:rsid w:val="00B95802"/>
    <w:rsid w:val="00B97ED4"/>
    <w:rsid w:val="00BA02B9"/>
    <w:rsid w:val="00BA07C1"/>
    <w:rsid w:val="00BA127D"/>
    <w:rsid w:val="00BA2630"/>
    <w:rsid w:val="00BA6006"/>
    <w:rsid w:val="00BA739C"/>
    <w:rsid w:val="00BA7741"/>
    <w:rsid w:val="00BB0496"/>
    <w:rsid w:val="00BB0DFB"/>
    <w:rsid w:val="00BB1DBD"/>
    <w:rsid w:val="00BB22EA"/>
    <w:rsid w:val="00BB5E4C"/>
    <w:rsid w:val="00BC014B"/>
    <w:rsid w:val="00BC5835"/>
    <w:rsid w:val="00BC646D"/>
    <w:rsid w:val="00BD10D1"/>
    <w:rsid w:val="00BD19DF"/>
    <w:rsid w:val="00BD226C"/>
    <w:rsid w:val="00BD285B"/>
    <w:rsid w:val="00BD3868"/>
    <w:rsid w:val="00BD3DB3"/>
    <w:rsid w:val="00BE00F4"/>
    <w:rsid w:val="00BE2211"/>
    <w:rsid w:val="00BE2891"/>
    <w:rsid w:val="00BE6811"/>
    <w:rsid w:val="00BF0832"/>
    <w:rsid w:val="00BF0D72"/>
    <w:rsid w:val="00BF17C4"/>
    <w:rsid w:val="00BF2B68"/>
    <w:rsid w:val="00BF47A0"/>
    <w:rsid w:val="00BF651A"/>
    <w:rsid w:val="00BF6BBA"/>
    <w:rsid w:val="00C00519"/>
    <w:rsid w:val="00C05A11"/>
    <w:rsid w:val="00C05C8D"/>
    <w:rsid w:val="00C10DC2"/>
    <w:rsid w:val="00C117C0"/>
    <w:rsid w:val="00C13DE8"/>
    <w:rsid w:val="00C16880"/>
    <w:rsid w:val="00C20037"/>
    <w:rsid w:val="00C21111"/>
    <w:rsid w:val="00C21A38"/>
    <w:rsid w:val="00C22453"/>
    <w:rsid w:val="00C24022"/>
    <w:rsid w:val="00C263B1"/>
    <w:rsid w:val="00C31F9C"/>
    <w:rsid w:val="00C32A03"/>
    <w:rsid w:val="00C32C50"/>
    <w:rsid w:val="00C3373F"/>
    <w:rsid w:val="00C35318"/>
    <w:rsid w:val="00C37E90"/>
    <w:rsid w:val="00C4006D"/>
    <w:rsid w:val="00C400EC"/>
    <w:rsid w:val="00C41551"/>
    <w:rsid w:val="00C42CCA"/>
    <w:rsid w:val="00C5314A"/>
    <w:rsid w:val="00C55AD9"/>
    <w:rsid w:val="00C5692E"/>
    <w:rsid w:val="00C56A95"/>
    <w:rsid w:val="00C56D7C"/>
    <w:rsid w:val="00C5796D"/>
    <w:rsid w:val="00C6368E"/>
    <w:rsid w:val="00C65190"/>
    <w:rsid w:val="00C65C1C"/>
    <w:rsid w:val="00C65EB9"/>
    <w:rsid w:val="00C6792F"/>
    <w:rsid w:val="00C716AA"/>
    <w:rsid w:val="00C72B8A"/>
    <w:rsid w:val="00C76C4B"/>
    <w:rsid w:val="00C809EF"/>
    <w:rsid w:val="00C80B81"/>
    <w:rsid w:val="00C81E8C"/>
    <w:rsid w:val="00C840D8"/>
    <w:rsid w:val="00C84BE7"/>
    <w:rsid w:val="00C87A41"/>
    <w:rsid w:val="00C87F16"/>
    <w:rsid w:val="00C90572"/>
    <w:rsid w:val="00C9163E"/>
    <w:rsid w:val="00C91DCD"/>
    <w:rsid w:val="00C932AE"/>
    <w:rsid w:val="00C936DD"/>
    <w:rsid w:val="00C93AB0"/>
    <w:rsid w:val="00C94559"/>
    <w:rsid w:val="00C9675D"/>
    <w:rsid w:val="00C978E4"/>
    <w:rsid w:val="00CA07B3"/>
    <w:rsid w:val="00CA3E46"/>
    <w:rsid w:val="00CA442D"/>
    <w:rsid w:val="00CA4C5A"/>
    <w:rsid w:val="00CA7348"/>
    <w:rsid w:val="00CB04A3"/>
    <w:rsid w:val="00CB125C"/>
    <w:rsid w:val="00CB27FD"/>
    <w:rsid w:val="00CB2FE1"/>
    <w:rsid w:val="00CB5751"/>
    <w:rsid w:val="00CB5839"/>
    <w:rsid w:val="00CB6CDE"/>
    <w:rsid w:val="00CC09E8"/>
    <w:rsid w:val="00CC2F7E"/>
    <w:rsid w:val="00CC5A41"/>
    <w:rsid w:val="00CC61B9"/>
    <w:rsid w:val="00CC6B32"/>
    <w:rsid w:val="00CC727A"/>
    <w:rsid w:val="00CD0965"/>
    <w:rsid w:val="00CD2D89"/>
    <w:rsid w:val="00CD5524"/>
    <w:rsid w:val="00CD5606"/>
    <w:rsid w:val="00CD5970"/>
    <w:rsid w:val="00CD6D16"/>
    <w:rsid w:val="00CD7A8F"/>
    <w:rsid w:val="00CE26A9"/>
    <w:rsid w:val="00CE290B"/>
    <w:rsid w:val="00CE3339"/>
    <w:rsid w:val="00CE563C"/>
    <w:rsid w:val="00CE6245"/>
    <w:rsid w:val="00CE666E"/>
    <w:rsid w:val="00CE72D9"/>
    <w:rsid w:val="00CE750F"/>
    <w:rsid w:val="00CF0E17"/>
    <w:rsid w:val="00CF11F8"/>
    <w:rsid w:val="00CF1E70"/>
    <w:rsid w:val="00CF2C4E"/>
    <w:rsid w:val="00CF32D4"/>
    <w:rsid w:val="00CF7491"/>
    <w:rsid w:val="00D0053E"/>
    <w:rsid w:val="00D03A5E"/>
    <w:rsid w:val="00D059CB"/>
    <w:rsid w:val="00D078BD"/>
    <w:rsid w:val="00D11A33"/>
    <w:rsid w:val="00D12F18"/>
    <w:rsid w:val="00D13790"/>
    <w:rsid w:val="00D14AEB"/>
    <w:rsid w:val="00D159EF"/>
    <w:rsid w:val="00D15EF2"/>
    <w:rsid w:val="00D22723"/>
    <w:rsid w:val="00D2611E"/>
    <w:rsid w:val="00D26A03"/>
    <w:rsid w:val="00D27E9B"/>
    <w:rsid w:val="00D3022E"/>
    <w:rsid w:val="00D308DC"/>
    <w:rsid w:val="00D31A45"/>
    <w:rsid w:val="00D325F8"/>
    <w:rsid w:val="00D32A90"/>
    <w:rsid w:val="00D35778"/>
    <w:rsid w:val="00D4019B"/>
    <w:rsid w:val="00D45D94"/>
    <w:rsid w:val="00D4783A"/>
    <w:rsid w:val="00D5138A"/>
    <w:rsid w:val="00D523D1"/>
    <w:rsid w:val="00D53AFF"/>
    <w:rsid w:val="00D54F63"/>
    <w:rsid w:val="00D61B46"/>
    <w:rsid w:val="00D639F1"/>
    <w:rsid w:val="00D63B95"/>
    <w:rsid w:val="00D63F10"/>
    <w:rsid w:val="00D65682"/>
    <w:rsid w:val="00D65D76"/>
    <w:rsid w:val="00D65F01"/>
    <w:rsid w:val="00D732B3"/>
    <w:rsid w:val="00D80DCC"/>
    <w:rsid w:val="00D8256F"/>
    <w:rsid w:val="00D826FF"/>
    <w:rsid w:val="00D842AB"/>
    <w:rsid w:val="00D85D5E"/>
    <w:rsid w:val="00D87075"/>
    <w:rsid w:val="00D87113"/>
    <w:rsid w:val="00D90ECD"/>
    <w:rsid w:val="00D93488"/>
    <w:rsid w:val="00D9500C"/>
    <w:rsid w:val="00D95418"/>
    <w:rsid w:val="00D972DB"/>
    <w:rsid w:val="00D97A38"/>
    <w:rsid w:val="00DA56D0"/>
    <w:rsid w:val="00DA5FEC"/>
    <w:rsid w:val="00DA628C"/>
    <w:rsid w:val="00DB0776"/>
    <w:rsid w:val="00DB0D28"/>
    <w:rsid w:val="00DB2DA6"/>
    <w:rsid w:val="00DB5EB9"/>
    <w:rsid w:val="00DB6A4D"/>
    <w:rsid w:val="00DB777D"/>
    <w:rsid w:val="00DC148C"/>
    <w:rsid w:val="00DC2B6D"/>
    <w:rsid w:val="00DC3863"/>
    <w:rsid w:val="00DC407B"/>
    <w:rsid w:val="00DC5730"/>
    <w:rsid w:val="00DC6B01"/>
    <w:rsid w:val="00DC6D8B"/>
    <w:rsid w:val="00DD26B4"/>
    <w:rsid w:val="00DD2E8D"/>
    <w:rsid w:val="00DD331A"/>
    <w:rsid w:val="00DD3DCE"/>
    <w:rsid w:val="00DD7FA0"/>
    <w:rsid w:val="00DE22A8"/>
    <w:rsid w:val="00DE3565"/>
    <w:rsid w:val="00DE57A9"/>
    <w:rsid w:val="00DE5F97"/>
    <w:rsid w:val="00DE631B"/>
    <w:rsid w:val="00DE6D5F"/>
    <w:rsid w:val="00DF1266"/>
    <w:rsid w:val="00DF302C"/>
    <w:rsid w:val="00DF3CA0"/>
    <w:rsid w:val="00DF54DC"/>
    <w:rsid w:val="00DF5B10"/>
    <w:rsid w:val="00DF5B16"/>
    <w:rsid w:val="00DF61FD"/>
    <w:rsid w:val="00DF6B77"/>
    <w:rsid w:val="00E0298A"/>
    <w:rsid w:val="00E03932"/>
    <w:rsid w:val="00E05DE0"/>
    <w:rsid w:val="00E0737E"/>
    <w:rsid w:val="00E10D7F"/>
    <w:rsid w:val="00E120CB"/>
    <w:rsid w:val="00E142A4"/>
    <w:rsid w:val="00E1528F"/>
    <w:rsid w:val="00E16784"/>
    <w:rsid w:val="00E167D9"/>
    <w:rsid w:val="00E1740D"/>
    <w:rsid w:val="00E22124"/>
    <w:rsid w:val="00E22785"/>
    <w:rsid w:val="00E237FC"/>
    <w:rsid w:val="00E23D7D"/>
    <w:rsid w:val="00E24372"/>
    <w:rsid w:val="00E27953"/>
    <w:rsid w:val="00E31164"/>
    <w:rsid w:val="00E3158E"/>
    <w:rsid w:val="00E321F3"/>
    <w:rsid w:val="00E33988"/>
    <w:rsid w:val="00E36275"/>
    <w:rsid w:val="00E36E55"/>
    <w:rsid w:val="00E404E7"/>
    <w:rsid w:val="00E42071"/>
    <w:rsid w:val="00E4294F"/>
    <w:rsid w:val="00E447A8"/>
    <w:rsid w:val="00E44D63"/>
    <w:rsid w:val="00E46E98"/>
    <w:rsid w:val="00E46F61"/>
    <w:rsid w:val="00E50058"/>
    <w:rsid w:val="00E51453"/>
    <w:rsid w:val="00E528D1"/>
    <w:rsid w:val="00E54926"/>
    <w:rsid w:val="00E54991"/>
    <w:rsid w:val="00E56123"/>
    <w:rsid w:val="00E56A7B"/>
    <w:rsid w:val="00E572AA"/>
    <w:rsid w:val="00E61222"/>
    <w:rsid w:val="00E61BEF"/>
    <w:rsid w:val="00E644B9"/>
    <w:rsid w:val="00E658EA"/>
    <w:rsid w:val="00E67FE5"/>
    <w:rsid w:val="00E709DD"/>
    <w:rsid w:val="00E731E0"/>
    <w:rsid w:val="00E74678"/>
    <w:rsid w:val="00E74B9B"/>
    <w:rsid w:val="00E75FD0"/>
    <w:rsid w:val="00E80146"/>
    <w:rsid w:val="00E80D28"/>
    <w:rsid w:val="00E8133E"/>
    <w:rsid w:val="00E83A0E"/>
    <w:rsid w:val="00E841B9"/>
    <w:rsid w:val="00E85F0D"/>
    <w:rsid w:val="00E85FD8"/>
    <w:rsid w:val="00E90460"/>
    <w:rsid w:val="00E91A04"/>
    <w:rsid w:val="00E93AFB"/>
    <w:rsid w:val="00E974E3"/>
    <w:rsid w:val="00E97AA8"/>
    <w:rsid w:val="00EA0AD3"/>
    <w:rsid w:val="00EA3AB7"/>
    <w:rsid w:val="00EA49F0"/>
    <w:rsid w:val="00EA4FEA"/>
    <w:rsid w:val="00EB040B"/>
    <w:rsid w:val="00EB2458"/>
    <w:rsid w:val="00EB3AFD"/>
    <w:rsid w:val="00EB471D"/>
    <w:rsid w:val="00EB4B2E"/>
    <w:rsid w:val="00EB5ABD"/>
    <w:rsid w:val="00EC02ED"/>
    <w:rsid w:val="00EC0343"/>
    <w:rsid w:val="00EC2BFC"/>
    <w:rsid w:val="00EC300A"/>
    <w:rsid w:val="00EC36BF"/>
    <w:rsid w:val="00EC3B55"/>
    <w:rsid w:val="00EC5305"/>
    <w:rsid w:val="00EC539C"/>
    <w:rsid w:val="00EC7A02"/>
    <w:rsid w:val="00ED22B9"/>
    <w:rsid w:val="00ED2B72"/>
    <w:rsid w:val="00ED31C2"/>
    <w:rsid w:val="00ED57AF"/>
    <w:rsid w:val="00ED5BEA"/>
    <w:rsid w:val="00ED5D39"/>
    <w:rsid w:val="00ED63BE"/>
    <w:rsid w:val="00EE24F4"/>
    <w:rsid w:val="00EE26A4"/>
    <w:rsid w:val="00EE470E"/>
    <w:rsid w:val="00EE5CE5"/>
    <w:rsid w:val="00EE7420"/>
    <w:rsid w:val="00EF4DC6"/>
    <w:rsid w:val="00EF5B37"/>
    <w:rsid w:val="00EF5F23"/>
    <w:rsid w:val="00EF6264"/>
    <w:rsid w:val="00F00530"/>
    <w:rsid w:val="00F02709"/>
    <w:rsid w:val="00F02F9E"/>
    <w:rsid w:val="00F03314"/>
    <w:rsid w:val="00F0567E"/>
    <w:rsid w:val="00F065E8"/>
    <w:rsid w:val="00F06F3F"/>
    <w:rsid w:val="00F10F31"/>
    <w:rsid w:val="00F135EA"/>
    <w:rsid w:val="00F14E3E"/>
    <w:rsid w:val="00F167E8"/>
    <w:rsid w:val="00F16D44"/>
    <w:rsid w:val="00F17DDC"/>
    <w:rsid w:val="00F21504"/>
    <w:rsid w:val="00F217DF"/>
    <w:rsid w:val="00F231DB"/>
    <w:rsid w:val="00F25E8C"/>
    <w:rsid w:val="00F264ED"/>
    <w:rsid w:val="00F32FCA"/>
    <w:rsid w:val="00F37D99"/>
    <w:rsid w:val="00F4029C"/>
    <w:rsid w:val="00F42346"/>
    <w:rsid w:val="00F4305B"/>
    <w:rsid w:val="00F43607"/>
    <w:rsid w:val="00F43660"/>
    <w:rsid w:val="00F4529E"/>
    <w:rsid w:val="00F45A8B"/>
    <w:rsid w:val="00F45AF3"/>
    <w:rsid w:val="00F46117"/>
    <w:rsid w:val="00F47CFF"/>
    <w:rsid w:val="00F54D4B"/>
    <w:rsid w:val="00F6005E"/>
    <w:rsid w:val="00F602AE"/>
    <w:rsid w:val="00F603B3"/>
    <w:rsid w:val="00F604E9"/>
    <w:rsid w:val="00F605D0"/>
    <w:rsid w:val="00F61401"/>
    <w:rsid w:val="00F62C2A"/>
    <w:rsid w:val="00F648FB"/>
    <w:rsid w:val="00F650C4"/>
    <w:rsid w:val="00F669DE"/>
    <w:rsid w:val="00F6771C"/>
    <w:rsid w:val="00F7218B"/>
    <w:rsid w:val="00F72EBD"/>
    <w:rsid w:val="00F73239"/>
    <w:rsid w:val="00F74776"/>
    <w:rsid w:val="00F748F9"/>
    <w:rsid w:val="00F77D19"/>
    <w:rsid w:val="00F80174"/>
    <w:rsid w:val="00F80FF1"/>
    <w:rsid w:val="00F82FAA"/>
    <w:rsid w:val="00F860BB"/>
    <w:rsid w:val="00F86335"/>
    <w:rsid w:val="00F943FA"/>
    <w:rsid w:val="00F96BFC"/>
    <w:rsid w:val="00F96E86"/>
    <w:rsid w:val="00F9776E"/>
    <w:rsid w:val="00FA16A9"/>
    <w:rsid w:val="00FA2F5D"/>
    <w:rsid w:val="00FA3885"/>
    <w:rsid w:val="00FA3A05"/>
    <w:rsid w:val="00FA627A"/>
    <w:rsid w:val="00FA672A"/>
    <w:rsid w:val="00FA6787"/>
    <w:rsid w:val="00FB0440"/>
    <w:rsid w:val="00FB0B50"/>
    <w:rsid w:val="00FB0FB8"/>
    <w:rsid w:val="00FB1FD9"/>
    <w:rsid w:val="00FB40EF"/>
    <w:rsid w:val="00FB482B"/>
    <w:rsid w:val="00FB506B"/>
    <w:rsid w:val="00FC1126"/>
    <w:rsid w:val="00FD220A"/>
    <w:rsid w:val="00FD27D4"/>
    <w:rsid w:val="00FD7D14"/>
    <w:rsid w:val="00FE0CC8"/>
    <w:rsid w:val="00FE5DA6"/>
    <w:rsid w:val="00FF137F"/>
    <w:rsid w:val="00FF64AF"/>
    <w:rsid w:val="00FF7BB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9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aliases w:val="Čo robí (časť)"/>
    <w:basedOn w:val="Normal"/>
    <w:next w:val="Normal"/>
    <w:link w:val="Heading1Char"/>
    <w:uiPriority w:val="99"/>
    <w:qFormat/>
    <w:rsid w:val="002A0393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aliases w:val="Úloha"/>
    <w:basedOn w:val="Normal"/>
    <w:link w:val="Heading2Char"/>
    <w:uiPriority w:val="99"/>
    <w:qFormat/>
    <w:rsid w:val="002A0393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</w:style>
  <w:style w:type="paragraph" w:styleId="Heading3">
    <w:name w:val="heading 3"/>
    <w:aliases w:val="Podúloha"/>
    <w:basedOn w:val="Normal"/>
    <w:link w:val="Heading3Char"/>
    <w:uiPriority w:val="99"/>
    <w:qFormat/>
    <w:rsid w:val="002A0393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</w:style>
  <w:style w:type="paragraph" w:styleId="Heading4">
    <w:name w:val="heading 4"/>
    <w:aliases w:val="Termín"/>
    <w:basedOn w:val="Normal"/>
    <w:next w:val="Heading2"/>
    <w:link w:val="Heading4Char"/>
    <w:uiPriority w:val="99"/>
    <w:qFormat/>
    <w:rsid w:val="002A0393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0393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0393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0393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A0393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0393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Čo robí (časť) Char"/>
    <w:link w:val="Heading1"/>
    <w:uiPriority w:val="99"/>
    <w:locked/>
    <w:rsid w:val="002A0393"/>
    <w:rPr>
      <w:rFonts w:ascii="Times New Roman" w:hAnsi="Times New Roman" w:cs="Times New Roman"/>
      <w:b/>
      <w:kern w:val="32"/>
      <w:sz w:val="28"/>
      <w:lang w:val="x-none" w:eastAsia="sk-SK"/>
    </w:rPr>
  </w:style>
  <w:style w:type="character" w:customStyle="1" w:styleId="Heading2Char">
    <w:name w:val="Heading 2 Char"/>
    <w:aliases w:val="Úloha Char"/>
    <w:link w:val="Heading2"/>
    <w:uiPriority w:val="99"/>
    <w:locked/>
    <w:rsid w:val="002A0393"/>
    <w:rPr>
      <w:rFonts w:ascii="Times New Roman" w:hAnsi="Times New Roman" w:cs="Times New Roman"/>
      <w:sz w:val="24"/>
      <w:lang w:val="x-none" w:eastAsia="sk-SK"/>
    </w:rPr>
  </w:style>
  <w:style w:type="character" w:customStyle="1" w:styleId="Heading3Char">
    <w:name w:val="Heading 3 Char"/>
    <w:aliases w:val="Podúloha Char"/>
    <w:link w:val="Heading3"/>
    <w:uiPriority w:val="99"/>
    <w:locked/>
    <w:rsid w:val="002A0393"/>
    <w:rPr>
      <w:rFonts w:ascii="Times New Roman" w:hAnsi="Times New Roman" w:cs="Times New Roman"/>
      <w:sz w:val="24"/>
      <w:lang w:val="x-none" w:eastAsia="sk-SK"/>
    </w:rPr>
  </w:style>
  <w:style w:type="character" w:customStyle="1" w:styleId="Heading4Char">
    <w:name w:val="Heading 4 Char"/>
    <w:aliases w:val="Termín Char"/>
    <w:link w:val="Heading4"/>
    <w:uiPriority w:val="99"/>
    <w:locked/>
    <w:rsid w:val="002A0393"/>
    <w:rPr>
      <w:rFonts w:ascii="Times New Roman" w:hAnsi="Times New Roman" w:cs="Times New Roman"/>
      <w:i/>
      <w:sz w:val="24"/>
      <w:lang w:val="x-none" w:eastAsia="sk-SK"/>
    </w:rPr>
  </w:style>
  <w:style w:type="character" w:customStyle="1" w:styleId="Heading5Char">
    <w:name w:val="Heading 5 Char"/>
    <w:link w:val="Heading5"/>
    <w:uiPriority w:val="99"/>
    <w:locked/>
    <w:rsid w:val="002A0393"/>
    <w:rPr>
      <w:rFonts w:ascii="Times New Roman" w:hAnsi="Times New Roman" w:cs="Times New Roman"/>
      <w:b/>
      <w:i/>
      <w:sz w:val="26"/>
      <w:lang w:val="x-none" w:eastAsia="sk-SK"/>
    </w:rPr>
  </w:style>
  <w:style w:type="character" w:customStyle="1" w:styleId="Heading6Char">
    <w:name w:val="Heading 6 Char"/>
    <w:link w:val="Heading6"/>
    <w:uiPriority w:val="99"/>
    <w:locked/>
    <w:rsid w:val="002A0393"/>
    <w:rPr>
      <w:rFonts w:ascii="Times New Roman" w:hAnsi="Times New Roman" w:cs="Times New Roman"/>
      <w:b/>
      <w:lang w:val="x-none" w:eastAsia="sk-SK"/>
    </w:rPr>
  </w:style>
  <w:style w:type="character" w:customStyle="1" w:styleId="Heading7Char">
    <w:name w:val="Heading 7 Char"/>
    <w:link w:val="Heading7"/>
    <w:uiPriority w:val="99"/>
    <w:locked/>
    <w:rsid w:val="002A0393"/>
    <w:rPr>
      <w:rFonts w:ascii="Times New Roman" w:hAnsi="Times New Roman" w:cs="Times New Roman"/>
      <w:sz w:val="24"/>
      <w:lang w:val="x-none" w:eastAsia="sk-SK"/>
    </w:rPr>
  </w:style>
  <w:style w:type="character" w:customStyle="1" w:styleId="Heading8Char">
    <w:name w:val="Heading 8 Char"/>
    <w:link w:val="Heading8"/>
    <w:uiPriority w:val="99"/>
    <w:locked/>
    <w:rsid w:val="002A0393"/>
    <w:rPr>
      <w:rFonts w:ascii="Times New Roman" w:hAnsi="Times New Roman" w:cs="Times New Roman"/>
      <w:i/>
      <w:sz w:val="24"/>
      <w:lang w:val="x-none" w:eastAsia="sk-SK"/>
    </w:rPr>
  </w:style>
  <w:style w:type="character" w:customStyle="1" w:styleId="Heading9Char">
    <w:name w:val="Heading 9 Char"/>
    <w:link w:val="Heading9"/>
    <w:uiPriority w:val="99"/>
    <w:locked/>
    <w:rsid w:val="002A0393"/>
    <w:rPr>
      <w:rFonts w:ascii="Arial" w:hAnsi="Arial" w:cs="Arial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2A0393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A0393"/>
    <w:rPr>
      <w:rFonts w:ascii="Tahoma" w:hAnsi="Tahoma" w:cs="Tahoma"/>
      <w:sz w:val="16"/>
      <w:lang w:val="x-none" w:eastAsia="sk-SK"/>
    </w:rPr>
  </w:style>
  <w:style w:type="paragraph" w:styleId="Title">
    <w:name w:val="Title"/>
    <w:basedOn w:val="Normal"/>
    <w:link w:val="TitleChar"/>
    <w:uiPriority w:val="99"/>
    <w:qFormat/>
    <w:rsid w:val="002A0393"/>
    <w:pPr>
      <w:jc w:val="center"/>
    </w:pPr>
    <w:rPr>
      <w:rFonts w:ascii="Verdana" w:hAnsi="Verdana" w:cs="Verdana"/>
      <w:b/>
      <w:bCs/>
    </w:rPr>
  </w:style>
  <w:style w:type="character" w:customStyle="1" w:styleId="TitleChar">
    <w:name w:val="Title Char"/>
    <w:link w:val="Title"/>
    <w:uiPriority w:val="99"/>
    <w:locked/>
    <w:rsid w:val="002A0393"/>
    <w:rPr>
      <w:rFonts w:ascii="Verdana" w:hAnsi="Verdana" w:cs="Verdana"/>
      <w:b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rsid w:val="002A0393"/>
    <w:pPr>
      <w:jc w:val="both"/>
    </w:pPr>
    <w:rPr>
      <w:rFonts w:ascii="Verdana" w:hAnsi="Verdana" w:cs="Verdana"/>
    </w:rPr>
  </w:style>
  <w:style w:type="character" w:customStyle="1" w:styleId="BodyTextChar">
    <w:name w:val="Body Text Char"/>
    <w:link w:val="BodyText"/>
    <w:uiPriority w:val="99"/>
    <w:locked/>
    <w:rsid w:val="002A0393"/>
    <w:rPr>
      <w:rFonts w:ascii="Verdana" w:hAnsi="Verdana" w:cs="Verdana"/>
      <w:sz w:val="24"/>
      <w:lang w:val="x-none" w:eastAsia="sk-SK"/>
    </w:rPr>
  </w:style>
  <w:style w:type="paragraph" w:styleId="BodyTextIndent2">
    <w:name w:val="Body Text Indent 2"/>
    <w:basedOn w:val="Normal"/>
    <w:link w:val="BodyTextIndent2Char"/>
    <w:uiPriority w:val="99"/>
    <w:rsid w:val="002A0393"/>
    <w:pPr>
      <w:spacing w:before="120"/>
      <w:ind w:firstLine="708"/>
      <w:jc w:val="both"/>
    </w:pPr>
  </w:style>
  <w:style w:type="character" w:customStyle="1" w:styleId="BodyTextIndent2Char">
    <w:name w:val="Body Text Indent 2 Char"/>
    <w:link w:val="BodyTextIndent2"/>
    <w:uiPriority w:val="99"/>
    <w:locked/>
    <w:rsid w:val="002A0393"/>
    <w:rPr>
      <w:rFonts w:ascii="Times New Roman" w:hAnsi="Times New Roman" w:cs="Times New Roman"/>
      <w:sz w:val="24"/>
      <w:lang w:val="x-none" w:eastAsia="sk-SK"/>
    </w:rPr>
  </w:style>
  <w:style w:type="character" w:styleId="HTMLTypewriter">
    <w:name w:val="HTML Typewriter"/>
    <w:uiPriority w:val="99"/>
    <w:rsid w:val="002A0393"/>
    <w:rPr>
      <w:rFonts w:ascii="Courier New" w:hAnsi="Courier New" w:cs="Courier New"/>
      <w:sz w:val="20"/>
    </w:rPr>
  </w:style>
  <w:style w:type="paragraph" w:styleId="Footer">
    <w:name w:val="footer"/>
    <w:basedOn w:val="Normal"/>
    <w:link w:val="FooterChar"/>
    <w:uiPriority w:val="99"/>
    <w:rsid w:val="002A0393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locked/>
    <w:rsid w:val="002A0393"/>
    <w:rPr>
      <w:rFonts w:ascii="Times New Roman" w:hAnsi="Times New Roman" w:cs="Times New Roman"/>
      <w:sz w:val="24"/>
      <w:lang w:val="x-none" w:eastAsia="sk-SK"/>
    </w:rPr>
  </w:style>
  <w:style w:type="character" w:styleId="PageNumber">
    <w:name w:val="page number"/>
    <w:uiPriority w:val="99"/>
    <w:rsid w:val="002A0393"/>
  </w:style>
  <w:style w:type="paragraph" w:customStyle="1" w:styleId="CharCharChar">
    <w:name w:val="Char Char Char"/>
    <w:basedOn w:val="Normal"/>
    <w:uiPriority w:val="99"/>
    <w:rsid w:val="002A0393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2A0393"/>
    <w:rPr>
      <w:color w:val="0000FF"/>
      <w:u w:val="single"/>
    </w:rPr>
  </w:style>
  <w:style w:type="paragraph" w:styleId="NoSpacing">
    <w:name w:val="No Spacing"/>
    <w:uiPriority w:val="1"/>
    <w:qFormat/>
    <w:rsid w:val="002A039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styleId="CommentReference">
    <w:name w:val="annotation reference"/>
    <w:uiPriority w:val="99"/>
    <w:semiHidden/>
    <w:unhideWhenUsed/>
    <w:rsid w:val="002A0393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393"/>
    <w:pPr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A0393"/>
    <w:rPr>
      <w:rFonts w:ascii="Times New Roman" w:hAnsi="Times New Roman" w:cs="Times New Roman"/>
      <w:sz w:val="20"/>
      <w:lang w:val="x-none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393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A0393"/>
    <w:rPr>
      <w:rFonts w:ascii="Times New Roman" w:hAnsi="Times New Roman" w:cs="Times New Roman"/>
      <w:b/>
      <w:sz w:val="20"/>
      <w:lang w:val="x-none" w:eastAsia="sk-SK"/>
    </w:rPr>
  </w:style>
  <w:style w:type="paragraph" w:styleId="Header">
    <w:name w:val="header"/>
    <w:basedOn w:val="Normal"/>
    <w:link w:val="HeaderChar"/>
    <w:uiPriority w:val="99"/>
    <w:unhideWhenUsed/>
    <w:rsid w:val="002A0393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uiPriority w:val="99"/>
    <w:locked/>
    <w:rsid w:val="002A0393"/>
    <w:rPr>
      <w:rFonts w:ascii="Times New Roman" w:hAnsi="Times New Roman" w:cs="Times New Roman"/>
      <w:sz w:val="24"/>
      <w:lang w:val="x-none" w:eastAsia="sk-SK"/>
    </w:rPr>
  </w:style>
  <w:style w:type="paragraph" w:styleId="ListParagraph">
    <w:name w:val="List Paragraph"/>
    <w:basedOn w:val="Normal"/>
    <w:uiPriority w:val="34"/>
    <w:qFormat/>
    <w:rsid w:val="008A13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BF6BBA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92F0-641D-4C8C-A158-5DBB5C7E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1591</Words>
  <Characters>9075</Characters>
  <Application>Microsoft Office Word</Application>
  <DocSecurity>0</DocSecurity>
  <Lines>0</Lines>
  <Paragraphs>0</Paragraphs>
  <ScaleCrop>false</ScaleCrop>
  <Company>Kancelaria NR SR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juraj.palus</dc:creator>
  <cp:lastModifiedBy>Gašparíková, Jarmila</cp:lastModifiedBy>
  <cp:revision>2</cp:revision>
  <cp:lastPrinted>2012-08-22T15:55:00Z</cp:lastPrinted>
  <dcterms:created xsi:type="dcterms:W3CDTF">2012-11-09T15:29:00Z</dcterms:created>
  <dcterms:modified xsi:type="dcterms:W3CDTF">2012-11-09T15:29:00Z</dcterms:modified>
</cp:coreProperties>
</file>