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B52B2" w:rsidRPr="00EF5995" w:rsidP="006B52B2">
      <w:pPr>
        <w:pStyle w:val="NormalWeb"/>
        <w:bidi w:val="0"/>
        <w:spacing w:before="0" w:beforeAutospacing="0" w:after="0" w:afterAutospacing="0" w:line="360" w:lineRule="auto"/>
        <w:jc w:val="center"/>
        <w:rPr>
          <w:rFonts w:hint="default"/>
          <w:bCs/>
        </w:rPr>
      </w:pPr>
      <w:r w:rsidRPr="00EF5995">
        <w:rPr>
          <w:rFonts w:hint="default"/>
          <w:bCs/>
        </w:rPr>
        <w:t>NÁ</w:t>
      </w:r>
      <w:r w:rsidRPr="00EF5995">
        <w:rPr>
          <w:rFonts w:hint="default"/>
          <w:bCs/>
        </w:rPr>
        <w:t>RODNÁ</w:t>
      </w:r>
      <w:r w:rsidRPr="00EF5995">
        <w:rPr>
          <w:rFonts w:hint="default"/>
          <w:bCs/>
        </w:rPr>
        <w:t xml:space="preserve"> RADA SLOVENSKEJ REPUBLIKY</w:t>
      </w:r>
    </w:p>
    <w:p w:rsidR="006B52B2" w:rsidRPr="00EF5995" w:rsidP="006B52B2">
      <w:pPr>
        <w:pStyle w:val="NormalWeb"/>
        <w:bidi w:val="0"/>
        <w:spacing w:before="0" w:beforeAutospacing="0" w:after="0" w:afterAutospacing="0"/>
        <w:jc w:val="center"/>
        <w:rPr>
          <w:rFonts w:hint="default"/>
          <w:bCs/>
        </w:rPr>
      </w:pPr>
      <w:r w:rsidRPr="00EF5995">
        <w:rPr>
          <w:bCs/>
        </w:rPr>
        <w:t>V</w:t>
      </w:r>
      <w:r>
        <w:rPr>
          <w:bCs/>
        </w:rPr>
        <w:t>I</w:t>
      </w:r>
      <w:r w:rsidRPr="00EF5995">
        <w:rPr>
          <w:rFonts w:hint="default"/>
          <w:bCs/>
        </w:rPr>
        <w:t>. volebné</w:t>
      </w:r>
      <w:r w:rsidRPr="00EF5995">
        <w:rPr>
          <w:rFonts w:hint="default"/>
          <w:bCs/>
        </w:rPr>
        <w:t xml:space="preserve"> obdobie</w:t>
      </w:r>
    </w:p>
    <w:p w:rsidR="006B52B2" w:rsidRPr="00EF5995" w:rsidP="006B52B2">
      <w:pPr>
        <w:bidi w:val="0"/>
        <w:jc w:val="center"/>
        <w:rPr>
          <w:rFonts w:ascii="Times New Roman" w:hAnsi="Times New Roman"/>
          <w:b/>
        </w:rPr>
      </w:pPr>
      <w:r w:rsidRPr="00EF5995">
        <w:rPr>
          <w:rFonts w:ascii="Times New Roman" w:hAnsi="Times New Roman"/>
          <w:b/>
        </w:rPr>
        <w:t>___________________________________________________________________________</w:t>
      </w:r>
    </w:p>
    <w:p w:rsidR="006B52B2" w:rsidRPr="00EF5995" w:rsidP="006B52B2">
      <w:pPr>
        <w:bidi w:val="0"/>
        <w:spacing w:line="360" w:lineRule="auto"/>
        <w:jc w:val="center"/>
        <w:rPr>
          <w:rFonts w:ascii="Times New Roman" w:hAnsi="Times New Roman"/>
          <w:b/>
        </w:rPr>
      </w:pPr>
    </w:p>
    <w:p w:rsidR="006B52B2" w:rsidRPr="00EF5995" w:rsidP="006B52B2">
      <w:pPr>
        <w:bidi w:val="0"/>
        <w:spacing w:line="360" w:lineRule="auto"/>
        <w:jc w:val="center"/>
        <w:rPr>
          <w:rFonts w:ascii="Times New Roman" w:hAnsi="Times New Roman"/>
          <w:b/>
        </w:rPr>
      </w:pPr>
      <w:r w:rsidR="00DA0C45">
        <w:rPr>
          <w:rFonts w:ascii="Times New Roman" w:hAnsi="Times New Roman"/>
          <w:b/>
        </w:rPr>
        <w:t>287</w:t>
      </w:r>
    </w:p>
    <w:p w:rsidR="006B52B2" w:rsidRPr="00EF5995" w:rsidP="006B52B2">
      <w:pPr>
        <w:bidi w:val="0"/>
        <w:spacing w:line="360" w:lineRule="auto"/>
        <w:jc w:val="center"/>
        <w:rPr>
          <w:rFonts w:ascii="Times New Roman" w:hAnsi="Times New Roman"/>
          <w:b/>
        </w:rPr>
      </w:pPr>
    </w:p>
    <w:p w:rsidR="006B52B2" w:rsidRPr="00EF5995" w:rsidP="006B52B2">
      <w:pPr>
        <w:bidi w:val="0"/>
        <w:spacing w:line="360" w:lineRule="auto"/>
        <w:jc w:val="center"/>
        <w:rPr>
          <w:rFonts w:ascii="Times New Roman" w:hAnsi="Times New Roman"/>
          <w:b/>
        </w:rPr>
      </w:pPr>
      <w:r w:rsidRPr="00EF5995">
        <w:rPr>
          <w:rFonts w:ascii="Times New Roman" w:hAnsi="Times New Roman"/>
          <w:b/>
        </w:rPr>
        <w:t>VLÁDNY NÁVRH</w:t>
      </w:r>
    </w:p>
    <w:p w:rsidR="00BD0BE9" w:rsidRPr="006B0548" w:rsidP="00E12AD0">
      <w:pPr>
        <w:bidi w:val="0"/>
        <w:jc w:val="center"/>
        <w:rPr>
          <w:rFonts w:ascii="Times New Roman" w:hAnsi="Times New Roman"/>
          <w:b/>
        </w:rPr>
      </w:pPr>
    </w:p>
    <w:p w:rsidR="00BD0BE9" w:rsidRPr="006B0548" w:rsidP="00E12AD0">
      <w:pPr>
        <w:bidi w:val="0"/>
        <w:jc w:val="center"/>
        <w:rPr>
          <w:rFonts w:ascii="Times New Roman" w:hAnsi="Times New Roman"/>
          <w:b/>
        </w:rPr>
      </w:pPr>
      <w:r w:rsidR="006B52B2">
        <w:rPr>
          <w:rFonts w:ascii="Times New Roman" w:hAnsi="Times New Roman"/>
          <w:b/>
        </w:rPr>
        <w:t>Zákon</w:t>
      </w:r>
    </w:p>
    <w:p w:rsidR="00BD0BE9" w:rsidRPr="006B0548" w:rsidP="00E12AD0">
      <w:pPr>
        <w:bidi w:val="0"/>
        <w:jc w:val="center"/>
        <w:rPr>
          <w:rFonts w:ascii="Times New Roman" w:hAnsi="Times New Roman"/>
          <w:b/>
        </w:rPr>
      </w:pPr>
    </w:p>
    <w:p w:rsidR="00BD0BE9" w:rsidRPr="006B0548" w:rsidP="00E12AD0">
      <w:pPr>
        <w:bidi w:val="0"/>
        <w:jc w:val="center"/>
        <w:rPr>
          <w:rFonts w:ascii="Times New Roman" w:hAnsi="Times New Roman"/>
          <w:b/>
        </w:rPr>
      </w:pPr>
      <w:r w:rsidRPr="006B0548">
        <w:rPr>
          <w:rFonts w:ascii="Times New Roman" w:hAnsi="Times New Roman"/>
          <w:b/>
        </w:rPr>
        <w:t>z .....  2012</w:t>
      </w:r>
    </w:p>
    <w:p w:rsidR="00BD0BE9" w:rsidRPr="006B0548" w:rsidP="00E12AD0">
      <w:pPr>
        <w:bidi w:val="0"/>
        <w:jc w:val="center"/>
        <w:rPr>
          <w:rFonts w:ascii="Times New Roman" w:hAnsi="Times New Roman"/>
          <w:b/>
        </w:rPr>
      </w:pPr>
    </w:p>
    <w:p w:rsidR="00BD0BE9" w:rsidRPr="006B0548" w:rsidP="00B93F3C">
      <w:pPr>
        <w:bidi w:val="0"/>
        <w:jc w:val="center"/>
        <w:rPr>
          <w:rFonts w:ascii="Times New Roman" w:hAnsi="Times New Roman"/>
        </w:rPr>
      </w:pPr>
      <w:r w:rsidRPr="00F42432" w:rsidR="00B93F3C">
        <w:rPr>
          <w:rFonts w:ascii="Times New Roman" w:hAnsi="Times New Roman"/>
          <w:b/>
        </w:rPr>
        <w:t xml:space="preserve">o pôsobnosti orgánov Slovenskej republiky pri zabezpečovaní rozpočtovej zodpovednosti v Európskej únii a o zmene a doplnení zákona č. 386/2002 Z. z. o štátnom dlhu a štátnych zárukách a ktorým sa dopĺňa zákon č. 291/2002 Z. z. o Štátnej pokladnici a o zmene a doplnení niektorých zákonov v znení neskorších predpisov </w:t>
      </w:r>
    </w:p>
    <w:p w:rsidR="00BD0BE9" w:rsidP="00E12AD0">
      <w:pPr>
        <w:autoSpaceDE w:val="0"/>
        <w:autoSpaceDN w:val="0"/>
        <w:bidi w:val="0"/>
        <w:adjustRightInd w:val="0"/>
        <w:jc w:val="both"/>
        <w:rPr>
          <w:rFonts w:ascii="Times New Roman" w:hAnsi="Times New Roman"/>
        </w:rPr>
      </w:pPr>
    </w:p>
    <w:p w:rsidR="006B52B2" w:rsidRPr="006B0548" w:rsidP="00E12AD0">
      <w:pPr>
        <w:autoSpaceDE w:val="0"/>
        <w:autoSpaceDN w:val="0"/>
        <w:bidi w:val="0"/>
        <w:adjustRightInd w:val="0"/>
        <w:jc w:val="both"/>
        <w:rPr>
          <w:rFonts w:ascii="Times New Roman" w:hAnsi="Times New Roman"/>
        </w:rPr>
      </w:pPr>
    </w:p>
    <w:p w:rsidR="00BD0BE9" w:rsidRPr="006B0548" w:rsidP="00E12AD0">
      <w:pPr>
        <w:autoSpaceDE w:val="0"/>
        <w:autoSpaceDN w:val="0"/>
        <w:bidi w:val="0"/>
        <w:adjustRightInd w:val="0"/>
        <w:jc w:val="both"/>
        <w:rPr>
          <w:rFonts w:ascii="Times New Roman" w:hAnsi="Times New Roman"/>
        </w:rPr>
      </w:pPr>
      <w:r w:rsidRPr="006B0548">
        <w:rPr>
          <w:rFonts w:ascii="Times New Roman" w:hAnsi="Times New Roman"/>
        </w:rPr>
        <w:t>Národná rada Slovenskej republiky sa uzniesla na tomto zákone:</w:t>
      </w:r>
    </w:p>
    <w:p w:rsidR="00BD0BE9" w:rsidRPr="006B0548" w:rsidP="00E12AD0">
      <w:pPr>
        <w:pStyle w:val="NormalWeb"/>
        <w:bidi w:val="0"/>
        <w:spacing w:before="0" w:beforeAutospacing="0" w:after="0" w:afterAutospacing="0"/>
        <w:rPr>
          <w:color w:val="000000"/>
        </w:rPr>
      </w:pPr>
    </w:p>
    <w:p w:rsidR="00BD0BE9" w:rsidRPr="006B0548" w:rsidP="00E12AD0">
      <w:pPr>
        <w:pStyle w:val="NormalWeb"/>
        <w:bidi w:val="0"/>
        <w:spacing w:before="0" w:beforeAutospacing="0" w:after="0" w:afterAutospacing="0"/>
        <w:rPr>
          <w:color w:val="000000"/>
        </w:rPr>
      </w:pPr>
    </w:p>
    <w:p w:rsidR="00A43F2F" w:rsidRPr="006B0548" w:rsidP="00E12AD0">
      <w:pPr>
        <w:pStyle w:val="NormalWeb"/>
        <w:bidi w:val="0"/>
        <w:spacing w:before="0" w:beforeAutospacing="0" w:after="0" w:afterAutospacing="0"/>
        <w:jc w:val="center"/>
        <w:rPr>
          <w:rFonts w:hint="default"/>
          <w:b/>
          <w:color w:val="000000"/>
        </w:rPr>
      </w:pPr>
      <w:r w:rsidRPr="006B0548">
        <w:rPr>
          <w:rFonts w:hint="default"/>
          <w:b/>
          <w:color w:val="000000"/>
        </w:rPr>
        <w:t>Č</w:t>
      </w:r>
      <w:r w:rsidRPr="006B0548">
        <w:rPr>
          <w:rFonts w:hint="default"/>
          <w:b/>
          <w:color w:val="000000"/>
        </w:rPr>
        <w:t>l. I</w:t>
      </w:r>
    </w:p>
    <w:p w:rsidR="00A43F2F" w:rsidRPr="006B0548" w:rsidP="00E12AD0">
      <w:pPr>
        <w:pStyle w:val="NormalWeb"/>
        <w:bidi w:val="0"/>
        <w:spacing w:before="0" w:beforeAutospacing="0" w:after="0" w:afterAutospacing="0"/>
        <w:jc w:val="center"/>
        <w:rPr>
          <w:b/>
          <w:color w:val="000000"/>
        </w:rPr>
      </w:pPr>
      <w:r w:rsidRPr="006B0548">
        <w:rPr>
          <w:rFonts w:hint="default"/>
          <w:b/>
          <w:color w:val="000000"/>
        </w:rPr>
        <w:t>§</w:t>
      </w:r>
      <w:r w:rsidRPr="006B0548" w:rsidR="006824C7">
        <w:rPr>
          <w:b/>
          <w:color w:val="000000"/>
        </w:rPr>
        <w:t xml:space="preserve"> </w:t>
      </w:r>
      <w:r w:rsidRPr="006B0548">
        <w:rPr>
          <w:b/>
          <w:color w:val="000000"/>
        </w:rPr>
        <w:t>1</w:t>
      </w:r>
    </w:p>
    <w:p w:rsidR="00A43F2F" w:rsidRPr="006B0548" w:rsidP="00E12AD0">
      <w:pPr>
        <w:pStyle w:val="NormalWeb"/>
        <w:bidi w:val="0"/>
        <w:spacing w:before="0" w:beforeAutospacing="0" w:after="0" w:afterAutospacing="0"/>
        <w:rPr>
          <w:color w:val="000000"/>
        </w:rPr>
      </w:pPr>
    </w:p>
    <w:p w:rsidR="00A43F2F" w:rsidRPr="006B0548" w:rsidP="00E12AD0">
      <w:pPr>
        <w:pStyle w:val="Zkladntext"/>
        <w:bidi w:val="0"/>
        <w:ind w:right="142"/>
        <w:jc w:val="both"/>
        <w:rPr>
          <w:rFonts w:ascii="Times New Roman" w:hAnsi="Times New Roman"/>
        </w:rPr>
      </w:pPr>
      <w:r w:rsidRPr="006B0548">
        <w:rPr>
          <w:rFonts w:ascii="Times New Roman" w:hAnsi="Times New Roman"/>
        </w:rPr>
        <w:t xml:space="preserve">Tento zákon upravuje </w:t>
      </w:r>
      <w:r w:rsidR="00FD5DF5">
        <w:rPr>
          <w:rFonts w:ascii="Times New Roman" w:hAnsi="Times New Roman"/>
        </w:rPr>
        <w:t>pôsobnosť</w:t>
      </w:r>
      <w:r w:rsidR="00A51250">
        <w:rPr>
          <w:rFonts w:ascii="Times New Roman" w:hAnsi="Times New Roman"/>
        </w:rPr>
        <w:t xml:space="preserve"> </w:t>
      </w:r>
      <w:r w:rsidR="00FD5DF5">
        <w:rPr>
          <w:rFonts w:ascii="Times New Roman" w:hAnsi="Times New Roman"/>
        </w:rPr>
        <w:t xml:space="preserve">orgánov Slovenskej republiky pri vykonávaní </w:t>
      </w:r>
      <w:r w:rsidRPr="006B0548">
        <w:rPr>
          <w:rFonts w:ascii="Times New Roman" w:hAnsi="Times New Roman"/>
        </w:rPr>
        <w:t>niektor</w:t>
      </w:r>
      <w:r w:rsidR="00FD5DF5">
        <w:rPr>
          <w:rFonts w:ascii="Times New Roman" w:hAnsi="Times New Roman"/>
        </w:rPr>
        <w:t>ých</w:t>
      </w:r>
      <w:r w:rsidRPr="006B0548">
        <w:rPr>
          <w:rFonts w:ascii="Times New Roman" w:hAnsi="Times New Roman"/>
        </w:rPr>
        <w:t xml:space="preserve"> práv a povinnost</w:t>
      </w:r>
      <w:r w:rsidR="00FD5DF5">
        <w:rPr>
          <w:rFonts w:ascii="Times New Roman" w:hAnsi="Times New Roman"/>
        </w:rPr>
        <w:t>í</w:t>
      </w:r>
      <w:r w:rsidRPr="006B0548">
        <w:rPr>
          <w:rFonts w:ascii="Times New Roman" w:hAnsi="Times New Roman"/>
        </w:rPr>
        <w:t xml:space="preserve"> Slovenskej republiky</w:t>
      </w:r>
      <w:r w:rsidR="007335C2">
        <w:rPr>
          <w:rFonts w:ascii="Times New Roman" w:hAnsi="Times New Roman"/>
        </w:rPr>
        <w:t xml:space="preserve"> vyplývajúcich</w:t>
      </w:r>
      <w:r w:rsidRPr="006B0548">
        <w:rPr>
          <w:rFonts w:ascii="Times New Roman" w:hAnsi="Times New Roman"/>
        </w:rPr>
        <w:t xml:space="preserve"> </w:t>
      </w:r>
      <w:r w:rsidR="00B93F3C">
        <w:rPr>
          <w:rFonts w:ascii="Times New Roman" w:hAnsi="Times New Roman"/>
        </w:rPr>
        <w:t>zmluvným stranám</w:t>
      </w:r>
      <w:r w:rsidR="00FD5DF5">
        <w:rPr>
          <w:rFonts w:ascii="Times New Roman" w:hAnsi="Times New Roman"/>
        </w:rPr>
        <w:t xml:space="preserve"> zo</w:t>
      </w:r>
      <w:r w:rsidRPr="006B0548">
        <w:rPr>
          <w:rFonts w:ascii="Times New Roman" w:hAnsi="Times New Roman"/>
        </w:rPr>
        <w:t xml:space="preserve"> Zmluvy o stabilite, koordinácii a správe v hospodárskej a menovej únii</w:t>
      </w:r>
      <w:bookmarkStart w:id="0" w:name="sdfootnote1anc"/>
      <w:r w:rsidR="006C3619">
        <w:rPr>
          <w:rFonts w:ascii="Times New Roman" w:hAnsi="Times New Roman"/>
        </w:rPr>
        <w:t xml:space="preserve"> </w:t>
      </w:r>
      <w:r>
        <w:rPr>
          <w:rStyle w:val="FootnoteReference"/>
          <w:rFonts w:ascii="Times New Roman" w:hAnsi="Times New Roman"/>
          <w:rtl w:val="0"/>
        </w:rPr>
        <w:footnoteReference w:id="2"/>
      </w:r>
      <w:r w:rsidRPr="006B0548" w:rsidR="00544790">
        <w:rPr>
          <w:rFonts w:ascii="Times New Roman" w:hAnsi="Times New Roman"/>
        </w:rPr>
        <w:t>)</w:t>
      </w:r>
      <w:bookmarkEnd w:id="0"/>
      <w:r w:rsidRPr="006B0548">
        <w:rPr>
          <w:rFonts w:ascii="Times New Roman" w:hAnsi="Times New Roman"/>
        </w:rPr>
        <w:t xml:space="preserve"> (ďalej len "</w:t>
      </w:r>
      <w:r w:rsidRPr="006B0548" w:rsidR="00480D6A">
        <w:rPr>
          <w:rFonts w:ascii="Times New Roman" w:hAnsi="Times New Roman"/>
        </w:rPr>
        <w:t>f</w:t>
      </w:r>
      <w:r w:rsidRPr="006B0548" w:rsidR="00E42F87">
        <w:rPr>
          <w:rFonts w:ascii="Times New Roman" w:hAnsi="Times New Roman"/>
        </w:rPr>
        <w:t xml:space="preserve">iškálna </w:t>
      </w:r>
      <w:r w:rsidRPr="006B0548">
        <w:rPr>
          <w:rFonts w:ascii="Times New Roman" w:hAnsi="Times New Roman"/>
        </w:rPr>
        <w:t>zmluva").</w:t>
      </w:r>
    </w:p>
    <w:p w:rsidR="00A43F2F" w:rsidRPr="006B0548" w:rsidP="00E12AD0">
      <w:pPr>
        <w:pStyle w:val="NormalWeb"/>
        <w:bidi w:val="0"/>
        <w:spacing w:before="0" w:beforeAutospacing="0" w:after="0" w:afterAutospacing="0"/>
        <w:rPr>
          <w:color w:val="000000"/>
        </w:rPr>
      </w:pPr>
    </w:p>
    <w:p w:rsidR="00A43F2F" w:rsidRPr="006B0548" w:rsidP="00E12AD0">
      <w:pPr>
        <w:pStyle w:val="NormalWeb"/>
        <w:bidi w:val="0"/>
        <w:spacing w:before="0" w:beforeAutospacing="0" w:after="0" w:afterAutospacing="0"/>
        <w:jc w:val="center"/>
        <w:rPr>
          <w:b/>
          <w:color w:val="000000"/>
        </w:rPr>
      </w:pPr>
      <w:r w:rsidRPr="006B0548">
        <w:rPr>
          <w:rFonts w:hint="default"/>
          <w:b/>
          <w:color w:val="000000"/>
        </w:rPr>
        <w:t>§</w:t>
      </w:r>
      <w:r w:rsidRPr="006B0548" w:rsidR="006824C7">
        <w:rPr>
          <w:b/>
          <w:color w:val="000000"/>
        </w:rPr>
        <w:t xml:space="preserve"> </w:t>
      </w:r>
      <w:r w:rsidRPr="006B0548">
        <w:rPr>
          <w:b/>
          <w:color w:val="000000"/>
        </w:rPr>
        <w:t>2</w:t>
      </w:r>
    </w:p>
    <w:p w:rsidR="00A43F2F" w:rsidRPr="006B0548" w:rsidP="00E12AD0">
      <w:pPr>
        <w:pStyle w:val="NormalWeb"/>
        <w:bidi w:val="0"/>
        <w:spacing w:before="0" w:beforeAutospacing="0" w:after="0" w:afterAutospacing="0"/>
        <w:rPr>
          <w:color w:val="000000"/>
        </w:rPr>
      </w:pPr>
    </w:p>
    <w:p w:rsidR="00166385" w:rsidRPr="006B0548" w:rsidP="00E12AD0">
      <w:pPr>
        <w:pStyle w:val="NormalWeb"/>
        <w:bidi w:val="0"/>
        <w:spacing w:before="0" w:beforeAutospacing="0" w:after="0" w:afterAutospacing="0"/>
        <w:jc w:val="both"/>
        <w:rPr>
          <w:color w:val="000000"/>
        </w:rPr>
      </w:pPr>
      <w:r w:rsidRPr="006B0548" w:rsidR="00A43F2F">
        <w:rPr>
          <w:rFonts w:hint="default"/>
          <w:color w:val="000000"/>
        </w:rPr>
        <w:t>Slovenskú</w:t>
      </w:r>
      <w:r w:rsidRPr="006B0548" w:rsidR="00A43F2F">
        <w:rPr>
          <w:rFonts w:hint="default"/>
          <w:color w:val="000000"/>
        </w:rPr>
        <w:t xml:space="preserve"> republiku </w:t>
      </w:r>
      <w:r w:rsidRPr="006B0548" w:rsidR="000458BD">
        <w:rPr>
          <w:color w:val="000000"/>
        </w:rPr>
        <w:t xml:space="preserve">na </w:t>
      </w:r>
      <w:r w:rsidR="00FD5DF5">
        <w:rPr>
          <w:color w:val="000000"/>
        </w:rPr>
        <w:t>rokovaniach</w:t>
      </w:r>
      <w:r w:rsidR="0033233F">
        <w:rPr>
          <w:color w:val="000000"/>
        </w:rPr>
        <w:t xml:space="preserve"> </w:t>
      </w:r>
      <w:r w:rsidRPr="006B0548" w:rsidR="000458BD">
        <w:rPr>
          <w:rFonts w:hint="default"/>
          <w:color w:val="000000"/>
        </w:rPr>
        <w:t>eurozó</w:t>
      </w:r>
      <w:r w:rsidRPr="006B0548" w:rsidR="000458BD">
        <w:rPr>
          <w:rFonts w:hint="default"/>
          <w:color w:val="000000"/>
        </w:rPr>
        <w:t>ny, ktoré</w:t>
      </w:r>
      <w:r w:rsidRPr="006B0548" w:rsidR="000458BD">
        <w:rPr>
          <w:rFonts w:hint="default"/>
          <w:color w:val="000000"/>
        </w:rPr>
        <w:t xml:space="preserve"> sa </w:t>
      </w:r>
      <w:r w:rsidR="00B93F3C">
        <w:rPr>
          <w:rFonts w:hint="default"/>
          <w:color w:val="000000"/>
        </w:rPr>
        <w:t>konajú</w:t>
      </w:r>
      <w:r w:rsidRPr="006B0548" w:rsidR="00A51250">
        <w:rPr>
          <w:color w:val="000000"/>
        </w:rPr>
        <w:t xml:space="preserve"> </w:t>
      </w:r>
      <w:r w:rsidRPr="006B0548" w:rsidR="000458BD">
        <w:rPr>
          <w:rFonts w:hint="default"/>
          <w:color w:val="000000"/>
        </w:rPr>
        <w:t>za úč</w:t>
      </w:r>
      <w:r w:rsidRPr="006B0548" w:rsidR="000458BD">
        <w:rPr>
          <w:rFonts w:hint="default"/>
          <w:color w:val="000000"/>
        </w:rPr>
        <w:t>elom prerokovania zá</w:t>
      </w:r>
      <w:r w:rsidRPr="006B0548" w:rsidR="000458BD">
        <w:rPr>
          <w:rFonts w:hint="default"/>
          <w:color w:val="000000"/>
        </w:rPr>
        <w:t>kladný</w:t>
      </w:r>
      <w:r w:rsidRPr="006B0548" w:rsidR="000458BD">
        <w:rPr>
          <w:rFonts w:hint="default"/>
          <w:color w:val="000000"/>
        </w:rPr>
        <w:t>ch pravidiel a </w:t>
      </w:r>
      <w:r w:rsidRPr="006B0548" w:rsidR="000458BD">
        <w:rPr>
          <w:rFonts w:hint="default"/>
          <w:color w:val="000000"/>
        </w:rPr>
        <w:t>budú</w:t>
      </w:r>
      <w:r w:rsidRPr="006B0548" w:rsidR="000458BD">
        <w:rPr>
          <w:rFonts w:hint="default"/>
          <w:color w:val="000000"/>
        </w:rPr>
        <w:t xml:space="preserve">cej </w:t>
      </w:r>
      <w:r w:rsidRPr="006B0548" w:rsidR="00A43F2F">
        <w:rPr>
          <w:rFonts w:hint="default"/>
          <w:color w:val="000000"/>
        </w:rPr>
        <w:t>spoluprá</w:t>
      </w:r>
      <w:r w:rsidRPr="006B0548" w:rsidR="00A43F2F">
        <w:rPr>
          <w:rFonts w:hint="default"/>
          <w:color w:val="000000"/>
        </w:rPr>
        <w:t>ce v oblastiach urč</w:t>
      </w:r>
      <w:r w:rsidRPr="006B0548" w:rsidR="00A43F2F">
        <w:rPr>
          <w:rFonts w:hint="default"/>
          <w:color w:val="000000"/>
        </w:rPr>
        <w:t>ený</w:t>
      </w:r>
      <w:r w:rsidRPr="006B0548" w:rsidR="00A43F2F">
        <w:rPr>
          <w:rFonts w:hint="default"/>
          <w:color w:val="000000"/>
        </w:rPr>
        <w:t xml:space="preserve">ch </w:t>
      </w:r>
      <w:r w:rsidRPr="006B0548" w:rsidR="00480D6A">
        <w:rPr>
          <w:color w:val="000000"/>
        </w:rPr>
        <w:t>f</w:t>
      </w:r>
      <w:r w:rsidRPr="006B0548" w:rsidR="000458BD">
        <w:rPr>
          <w:rFonts w:hint="default"/>
          <w:color w:val="000000"/>
        </w:rPr>
        <w:t>iš</w:t>
      </w:r>
      <w:r w:rsidRPr="006B0548" w:rsidR="000458BD">
        <w:rPr>
          <w:rFonts w:hint="default"/>
          <w:color w:val="000000"/>
        </w:rPr>
        <w:t>ká</w:t>
      </w:r>
      <w:r w:rsidRPr="006B0548" w:rsidR="000458BD">
        <w:rPr>
          <w:rFonts w:hint="default"/>
          <w:color w:val="000000"/>
        </w:rPr>
        <w:t xml:space="preserve">lnou </w:t>
      </w:r>
      <w:r w:rsidRPr="006B0548" w:rsidR="00A43F2F">
        <w:rPr>
          <w:color w:val="000000"/>
        </w:rPr>
        <w:t xml:space="preserve">zmluvou zastupuje </w:t>
      </w:r>
      <w:r w:rsidRPr="006B0548" w:rsidR="00DC1792">
        <w:rPr>
          <w:color w:val="000000"/>
        </w:rPr>
        <w:t>predseda v</w:t>
      </w:r>
      <w:r w:rsidRPr="006B0548" w:rsidR="00DC1792">
        <w:rPr>
          <w:rFonts w:hint="default"/>
          <w:color w:val="000000"/>
        </w:rPr>
        <w:t>lá</w:t>
      </w:r>
      <w:r w:rsidRPr="006B0548" w:rsidR="00DC1792">
        <w:rPr>
          <w:rFonts w:hint="default"/>
          <w:color w:val="000000"/>
        </w:rPr>
        <w:t>dy Slovenskej republiky</w:t>
      </w:r>
      <w:r w:rsidR="00BB3434">
        <w:rPr>
          <w:rFonts w:hint="default"/>
          <w:color w:val="000000"/>
        </w:rPr>
        <w:t>, ktorý</w:t>
      </w:r>
      <w:r w:rsidR="00BB3434">
        <w:rPr>
          <w:rFonts w:hint="default"/>
          <w:color w:val="000000"/>
        </w:rPr>
        <w:t xml:space="preserve"> </w:t>
      </w:r>
      <w:r w:rsidRPr="006B0548">
        <w:rPr>
          <w:color w:val="000000"/>
        </w:rPr>
        <w:t>inform</w:t>
      </w:r>
      <w:r w:rsidR="00BB3434">
        <w:rPr>
          <w:color w:val="000000"/>
        </w:rPr>
        <w:t>uje</w:t>
      </w:r>
      <w:r w:rsidRPr="006B0548">
        <w:rPr>
          <w:rFonts w:hint="default"/>
          <w:color w:val="000000"/>
        </w:rPr>
        <w:t xml:space="preserve"> vlá</w:t>
      </w:r>
      <w:r w:rsidRPr="006B0548">
        <w:rPr>
          <w:rFonts w:hint="default"/>
          <w:color w:val="000000"/>
        </w:rPr>
        <w:t>du</w:t>
      </w:r>
      <w:r w:rsidR="00FB61CD">
        <w:rPr>
          <w:rFonts w:hint="default"/>
          <w:color w:val="000000"/>
        </w:rPr>
        <w:t xml:space="preserve"> Slovenskej republiky (ď</w:t>
      </w:r>
      <w:r w:rsidR="00FB61CD">
        <w:rPr>
          <w:rFonts w:hint="default"/>
          <w:color w:val="000000"/>
        </w:rPr>
        <w:t>ale</w:t>
      </w:r>
      <w:r w:rsidR="00AE57ED">
        <w:rPr>
          <w:color w:val="000000"/>
        </w:rPr>
        <w:t>j</w:t>
      </w:r>
      <w:r w:rsidR="00FB61CD">
        <w:rPr>
          <w:rFonts w:hint="default"/>
          <w:color w:val="000000"/>
        </w:rPr>
        <w:t xml:space="preserve"> len „</w:t>
      </w:r>
      <w:r w:rsidR="00FB61CD">
        <w:rPr>
          <w:rFonts w:hint="default"/>
          <w:color w:val="000000"/>
        </w:rPr>
        <w:t>vlá</w:t>
      </w:r>
      <w:r w:rsidR="00FB61CD">
        <w:rPr>
          <w:rFonts w:hint="default"/>
          <w:color w:val="000000"/>
        </w:rPr>
        <w:t>da“</w:t>
      </w:r>
      <w:r w:rsidR="00FB61CD">
        <w:rPr>
          <w:rFonts w:hint="default"/>
          <w:color w:val="000000"/>
        </w:rPr>
        <w:t>)</w:t>
      </w:r>
      <w:r w:rsidRPr="006B0548">
        <w:rPr>
          <w:rFonts w:hint="default"/>
          <w:color w:val="000000"/>
        </w:rPr>
        <w:t xml:space="preserve"> o prijatý</w:t>
      </w:r>
      <w:r w:rsidRPr="006B0548">
        <w:rPr>
          <w:rFonts w:hint="default"/>
          <w:color w:val="000000"/>
        </w:rPr>
        <w:t>ch zá</w:t>
      </w:r>
      <w:r w:rsidRPr="006B0548">
        <w:rPr>
          <w:rFonts w:hint="default"/>
          <w:color w:val="000000"/>
        </w:rPr>
        <w:t>veroch</w:t>
      </w:r>
      <w:r w:rsidRPr="006B0548" w:rsidR="00C93FC1">
        <w:rPr>
          <w:rFonts w:hint="default"/>
          <w:color w:val="000000"/>
        </w:rPr>
        <w:t xml:space="preserve"> a spoloč</w:t>
      </w:r>
      <w:r w:rsidRPr="006B0548" w:rsidR="00C93FC1">
        <w:rPr>
          <w:rFonts w:hint="default"/>
          <w:color w:val="000000"/>
        </w:rPr>
        <w:t>ný</w:t>
      </w:r>
      <w:r w:rsidRPr="006B0548" w:rsidR="00C93FC1">
        <w:rPr>
          <w:rFonts w:hint="default"/>
          <w:color w:val="000000"/>
        </w:rPr>
        <w:t>ch postupoch v </w:t>
      </w:r>
      <w:r w:rsidRPr="006B0548" w:rsidR="00C93FC1">
        <w:rPr>
          <w:rFonts w:hint="default"/>
          <w:color w:val="000000"/>
        </w:rPr>
        <w:t>oblasti rozpoč</w:t>
      </w:r>
      <w:r w:rsidRPr="006B0548" w:rsidR="00C93FC1">
        <w:rPr>
          <w:rFonts w:hint="default"/>
          <w:color w:val="000000"/>
        </w:rPr>
        <w:t xml:space="preserve">tovej </w:t>
      </w:r>
      <w:r w:rsidR="00BB3434">
        <w:rPr>
          <w:color w:val="000000"/>
        </w:rPr>
        <w:t xml:space="preserve">politiky </w:t>
      </w:r>
      <w:r w:rsidRPr="006B0548" w:rsidR="00C93FC1">
        <w:rPr>
          <w:color w:val="000000"/>
        </w:rPr>
        <w:t xml:space="preserve">a </w:t>
      </w:r>
      <w:r w:rsidRPr="006B0548">
        <w:rPr>
          <w:rFonts w:hint="default"/>
          <w:color w:val="000000"/>
        </w:rPr>
        <w:t>hospodá</w:t>
      </w:r>
      <w:r w:rsidRPr="006B0548">
        <w:rPr>
          <w:rFonts w:hint="default"/>
          <w:color w:val="000000"/>
        </w:rPr>
        <w:t xml:space="preserve">rskej </w:t>
      </w:r>
      <w:r w:rsidRPr="006B0548" w:rsidR="00C93FC1">
        <w:rPr>
          <w:color w:val="000000"/>
        </w:rPr>
        <w:t>p</w:t>
      </w:r>
      <w:r w:rsidRPr="006B0548">
        <w:rPr>
          <w:color w:val="000000"/>
        </w:rPr>
        <w:t>olitiky</w:t>
      </w:r>
      <w:r w:rsidRPr="006B0548" w:rsidR="00392EB2">
        <w:rPr>
          <w:color w:val="000000"/>
        </w:rPr>
        <w:t>.</w:t>
      </w:r>
    </w:p>
    <w:p w:rsidR="000458BD" w:rsidRPr="006B0548" w:rsidP="00E12AD0">
      <w:pPr>
        <w:pStyle w:val="NormalWeb"/>
        <w:bidi w:val="0"/>
        <w:spacing w:before="0" w:beforeAutospacing="0" w:after="0" w:afterAutospacing="0"/>
        <w:rPr>
          <w:color w:val="000000"/>
        </w:rPr>
      </w:pPr>
    </w:p>
    <w:p w:rsidR="006B52B2" w:rsidP="00E12AD0">
      <w:pPr>
        <w:pStyle w:val="NormalWeb"/>
        <w:bidi w:val="0"/>
        <w:spacing w:before="0" w:beforeAutospacing="0" w:after="0" w:afterAutospacing="0"/>
        <w:jc w:val="center"/>
        <w:rPr>
          <w:b/>
          <w:color w:val="000000"/>
        </w:rPr>
      </w:pPr>
    </w:p>
    <w:p w:rsidR="006B52B2" w:rsidP="00E12AD0">
      <w:pPr>
        <w:pStyle w:val="NormalWeb"/>
        <w:bidi w:val="0"/>
        <w:spacing w:before="0" w:beforeAutospacing="0" w:after="0" w:afterAutospacing="0"/>
        <w:jc w:val="center"/>
        <w:rPr>
          <w:b/>
          <w:color w:val="000000"/>
        </w:rPr>
      </w:pPr>
    </w:p>
    <w:p w:rsidR="006B52B2" w:rsidP="00E12AD0">
      <w:pPr>
        <w:pStyle w:val="NormalWeb"/>
        <w:bidi w:val="0"/>
        <w:spacing w:before="0" w:beforeAutospacing="0" w:after="0" w:afterAutospacing="0"/>
        <w:jc w:val="center"/>
        <w:rPr>
          <w:b/>
          <w:color w:val="000000"/>
        </w:rPr>
      </w:pPr>
    </w:p>
    <w:p w:rsidR="006B52B2" w:rsidP="00E12AD0">
      <w:pPr>
        <w:pStyle w:val="NormalWeb"/>
        <w:bidi w:val="0"/>
        <w:spacing w:before="0" w:beforeAutospacing="0" w:after="0" w:afterAutospacing="0"/>
        <w:jc w:val="center"/>
        <w:rPr>
          <w:b/>
          <w:color w:val="000000"/>
        </w:rPr>
      </w:pPr>
    </w:p>
    <w:p w:rsidR="00A43F2F" w:rsidRPr="006B0548" w:rsidP="00E12AD0">
      <w:pPr>
        <w:pStyle w:val="NormalWeb"/>
        <w:bidi w:val="0"/>
        <w:spacing w:before="0" w:beforeAutospacing="0" w:after="0" w:afterAutospacing="0"/>
        <w:jc w:val="center"/>
        <w:rPr>
          <w:color w:val="000000"/>
        </w:rPr>
      </w:pPr>
      <w:r w:rsidRPr="006B0548" w:rsidR="003B07E0">
        <w:rPr>
          <w:rFonts w:hint="default"/>
          <w:b/>
          <w:color w:val="000000"/>
        </w:rPr>
        <w:t>§</w:t>
      </w:r>
      <w:r w:rsidRPr="006B0548" w:rsidR="006824C7">
        <w:rPr>
          <w:b/>
          <w:color w:val="000000"/>
        </w:rPr>
        <w:t xml:space="preserve"> </w:t>
      </w:r>
      <w:r w:rsidRPr="006B0548" w:rsidR="003B07E0">
        <w:rPr>
          <w:b/>
          <w:color w:val="000000"/>
        </w:rPr>
        <w:t>3</w:t>
      </w:r>
    </w:p>
    <w:p w:rsidR="00F7209A" w:rsidRPr="006B0548" w:rsidP="00E12AD0">
      <w:pPr>
        <w:pStyle w:val="NormalWeb"/>
        <w:bidi w:val="0"/>
        <w:spacing w:before="0" w:beforeAutospacing="0" w:after="0" w:afterAutospacing="0"/>
        <w:jc w:val="both"/>
        <w:rPr>
          <w:color w:val="000000"/>
        </w:rPr>
      </w:pPr>
    </w:p>
    <w:p w:rsidR="00FB61CD" w:rsidP="00AE57ED">
      <w:pPr>
        <w:pStyle w:val="NormalWeb"/>
        <w:bidi w:val="0"/>
        <w:spacing w:before="0" w:beforeAutospacing="0" w:after="0" w:afterAutospacing="0"/>
        <w:jc w:val="both"/>
        <w:rPr>
          <w:rFonts w:hint="default"/>
          <w:color w:val="000000"/>
        </w:rPr>
      </w:pPr>
      <w:r w:rsidRPr="006B0548" w:rsidR="00C93FC1">
        <w:rPr>
          <w:rFonts w:hint="default"/>
          <w:color w:val="000000"/>
        </w:rPr>
        <w:t>Ministerstvo financií</w:t>
      </w:r>
      <w:r w:rsidRPr="006B0548" w:rsidR="00897900">
        <w:rPr>
          <w:rFonts w:hint="default"/>
          <w:color w:val="000000"/>
        </w:rPr>
        <w:t xml:space="preserve"> Slovenskej republiky (ď</w:t>
      </w:r>
      <w:r w:rsidRPr="006B0548" w:rsidR="00897900">
        <w:rPr>
          <w:rFonts w:hint="default"/>
          <w:color w:val="000000"/>
        </w:rPr>
        <w:t>alej len „</w:t>
      </w:r>
      <w:r w:rsidRPr="006B0548" w:rsidR="00897900">
        <w:rPr>
          <w:rFonts w:hint="default"/>
          <w:color w:val="000000"/>
        </w:rPr>
        <w:t>m</w:t>
      </w:r>
      <w:r w:rsidRPr="006B0548" w:rsidR="00897900">
        <w:rPr>
          <w:rFonts w:hint="default"/>
          <w:color w:val="000000"/>
        </w:rPr>
        <w:t>inisterstvo financií“</w:t>
      </w:r>
      <w:r w:rsidRPr="006B0548" w:rsidR="00897900">
        <w:rPr>
          <w:rFonts w:hint="default"/>
          <w:color w:val="000000"/>
        </w:rPr>
        <w:t xml:space="preserve">) </w:t>
      </w:r>
      <w:r w:rsidRPr="006B0548" w:rsidR="00C93FC1">
        <w:rPr>
          <w:color w:val="000000"/>
        </w:rPr>
        <w:t xml:space="preserve">je </w:t>
      </w:r>
      <w:r w:rsidRPr="006B0548" w:rsidR="00480D6A">
        <w:rPr>
          <w:rFonts w:hint="default"/>
          <w:color w:val="000000"/>
        </w:rPr>
        <w:t>povinné</w:t>
      </w:r>
      <w:r w:rsidRPr="006B0548" w:rsidR="00480D6A">
        <w:rPr>
          <w:rFonts w:hint="default"/>
          <w:color w:val="000000"/>
        </w:rPr>
        <w:t xml:space="preserve"> v </w:t>
      </w:r>
      <w:r w:rsidRPr="006B0548" w:rsidR="00480D6A">
        <w:rPr>
          <w:rFonts w:hint="default"/>
          <w:color w:val="000000"/>
        </w:rPr>
        <w:t>sú</w:t>
      </w:r>
      <w:r w:rsidRPr="006B0548" w:rsidR="00480D6A">
        <w:rPr>
          <w:rFonts w:hint="default"/>
          <w:color w:val="000000"/>
        </w:rPr>
        <w:t>lade s </w:t>
      </w:r>
      <w:r w:rsidRPr="006B0548" w:rsidR="00480D6A">
        <w:rPr>
          <w:rFonts w:hint="default"/>
          <w:color w:val="000000"/>
        </w:rPr>
        <w:t>fiš</w:t>
      </w:r>
      <w:r w:rsidRPr="006B0548" w:rsidR="00480D6A">
        <w:rPr>
          <w:rFonts w:hint="default"/>
          <w:color w:val="000000"/>
        </w:rPr>
        <w:t>ká</w:t>
      </w:r>
      <w:r w:rsidRPr="006B0548" w:rsidR="00480D6A">
        <w:rPr>
          <w:rFonts w:hint="default"/>
          <w:color w:val="000000"/>
        </w:rPr>
        <w:t xml:space="preserve">lnou zmluvou </w:t>
      </w:r>
      <w:r w:rsidRPr="006B0548" w:rsidR="00C93FC1">
        <w:rPr>
          <w:rFonts w:hint="default"/>
          <w:color w:val="000000"/>
        </w:rPr>
        <w:t>predkladať</w:t>
      </w:r>
      <w:r>
        <w:rPr>
          <w:rFonts w:hint="default"/>
          <w:color w:val="000000"/>
        </w:rPr>
        <w:t xml:space="preserve"> Rade Euró</w:t>
      </w:r>
      <w:r>
        <w:rPr>
          <w:rFonts w:hint="default"/>
          <w:color w:val="000000"/>
        </w:rPr>
        <w:t>pskej ú</w:t>
      </w:r>
      <w:r>
        <w:rPr>
          <w:rFonts w:hint="default"/>
          <w:color w:val="000000"/>
        </w:rPr>
        <w:t>nie a </w:t>
      </w:r>
      <w:r>
        <w:rPr>
          <w:rFonts w:hint="default"/>
          <w:color w:val="000000"/>
        </w:rPr>
        <w:t>Euró</w:t>
      </w:r>
      <w:r>
        <w:rPr>
          <w:rFonts w:hint="default"/>
          <w:color w:val="000000"/>
        </w:rPr>
        <w:t>pskej komisii</w:t>
      </w:r>
    </w:p>
    <w:p w:rsidR="00AE57ED" w:rsidP="00FB61CD">
      <w:pPr>
        <w:pStyle w:val="NormalWeb"/>
        <w:numPr>
          <w:numId w:val="9"/>
        </w:numPr>
        <w:bidi w:val="0"/>
        <w:spacing w:before="0" w:beforeAutospacing="0" w:after="0" w:afterAutospacing="0"/>
        <w:jc w:val="both"/>
        <w:rPr>
          <w:color w:val="000000"/>
        </w:rPr>
      </w:pPr>
      <w:r w:rsidR="00FB61CD">
        <w:rPr>
          <w:color w:val="000000"/>
        </w:rPr>
        <w:t>pr</w:t>
      </w:r>
      <w:r w:rsidRPr="00FB61CD" w:rsidR="00C93FC1">
        <w:rPr>
          <w:rFonts w:hint="default"/>
          <w:color w:val="000000"/>
        </w:rPr>
        <w:t>ogramy rozpoč</w:t>
      </w:r>
      <w:r w:rsidRPr="00FB61CD" w:rsidR="00C93FC1">
        <w:rPr>
          <w:rFonts w:hint="default"/>
          <w:color w:val="000000"/>
        </w:rPr>
        <w:t>tové</w:t>
      </w:r>
      <w:r w:rsidRPr="00FB61CD" w:rsidR="00C93FC1">
        <w:rPr>
          <w:rFonts w:hint="default"/>
          <w:color w:val="000000"/>
        </w:rPr>
        <w:t>ho a </w:t>
      </w:r>
      <w:r w:rsidRPr="00FB61CD" w:rsidR="00C93FC1">
        <w:rPr>
          <w:rFonts w:hint="default"/>
          <w:color w:val="000000"/>
        </w:rPr>
        <w:t>ekonomické</w:t>
      </w:r>
      <w:r w:rsidRPr="00FB61CD" w:rsidR="00C93FC1">
        <w:rPr>
          <w:rFonts w:hint="default"/>
          <w:color w:val="000000"/>
        </w:rPr>
        <w:t>ho partnerstva na úč</w:t>
      </w:r>
      <w:r w:rsidRPr="00FB61CD" w:rsidR="00C93FC1">
        <w:rPr>
          <w:rFonts w:hint="default"/>
          <w:color w:val="000000"/>
        </w:rPr>
        <w:t>ely ich schvá</w:t>
      </w:r>
      <w:r w:rsidRPr="00FB61CD" w:rsidR="00C93FC1">
        <w:rPr>
          <w:rFonts w:hint="default"/>
          <w:color w:val="000000"/>
        </w:rPr>
        <w:t>lenia a</w:t>
      </w:r>
      <w:r w:rsidRPr="00FB61CD" w:rsidR="008D23F8">
        <w:rPr>
          <w:color w:val="000000"/>
        </w:rPr>
        <w:t> </w:t>
      </w:r>
      <w:r w:rsidRPr="00FB61CD" w:rsidR="00C93FC1">
        <w:rPr>
          <w:color w:val="000000"/>
        </w:rPr>
        <w:t>monitorovania</w:t>
      </w:r>
      <w:r w:rsidRPr="00FB61CD" w:rsidR="00A51250">
        <w:rPr>
          <w:color w:val="000000"/>
        </w:rPr>
        <w:t xml:space="preserve"> a </w:t>
      </w:r>
      <w:r w:rsidRPr="00FB61CD" w:rsidR="00A51250">
        <w:rPr>
          <w:rFonts w:hint="default"/>
          <w:color w:val="000000"/>
        </w:rPr>
        <w:t>uplatň</w:t>
      </w:r>
      <w:r w:rsidRPr="00FB61CD" w:rsidR="00A51250">
        <w:rPr>
          <w:rFonts w:hint="default"/>
          <w:color w:val="000000"/>
        </w:rPr>
        <w:t>ovať</w:t>
      </w:r>
      <w:r w:rsidRPr="00FB61CD" w:rsidR="00A51250">
        <w:rPr>
          <w:rFonts w:hint="default"/>
          <w:color w:val="000000"/>
        </w:rPr>
        <w:t xml:space="preserve"> tieto programy</w:t>
      </w:r>
      <w:r w:rsidR="00FB61CD">
        <w:rPr>
          <w:color w:val="000000"/>
        </w:rPr>
        <w:t xml:space="preserve">, </w:t>
      </w:r>
    </w:p>
    <w:p w:rsidR="00FB61CD" w:rsidRPr="006B0548" w:rsidP="00FB61CD">
      <w:pPr>
        <w:pStyle w:val="NormalWeb"/>
        <w:numPr>
          <w:numId w:val="9"/>
        </w:numPr>
        <w:bidi w:val="0"/>
        <w:spacing w:before="0" w:beforeAutospacing="0" w:after="0" w:afterAutospacing="0"/>
        <w:jc w:val="both"/>
        <w:rPr>
          <w:rFonts w:hint="default"/>
          <w:color w:val="000000"/>
        </w:rPr>
      </w:pPr>
      <w:r w:rsidRPr="006B0548">
        <w:rPr>
          <w:rFonts w:hint="default"/>
          <w:color w:val="000000"/>
        </w:rPr>
        <w:t>predbež</w:t>
      </w:r>
      <w:r w:rsidRPr="006B0548">
        <w:rPr>
          <w:rFonts w:hint="default"/>
          <w:color w:val="000000"/>
        </w:rPr>
        <w:t>né</w:t>
      </w:r>
      <w:r w:rsidRPr="006B0548">
        <w:rPr>
          <w:rFonts w:hint="default"/>
          <w:color w:val="000000"/>
        </w:rPr>
        <w:t xml:space="preserve"> sprá</w:t>
      </w:r>
      <w:r w:rsidRPr="006B0548">
        <w:rPr>
          <w:rFonts w:hint="default"/>
          <w:color w:val="000000"/>
        </w:rPr>
        <w:t>vy o </w:t>
      </w:r>
      <w:r w:rsidRPr="006B0548">
        <w:rPr>
          <w:rFonts w:hint="default"/>
          <w:color w:val="000000"/>
        </w:rPr>
        <w:t>plá</w:t>
      </w:r>
      <w:r w:rsidRPr="006B0548">
        <w:rPr>
          <w:rFonts w:hint="default"/>
          <w:color w:val="000000"/>
        </w:rPr>
        <w:t>n</w:t>
      </w:r>
      <w:r w:rsidRPr="006B0548">
        <w:rPr>
          <w:rFonts w:hint="default"/>
          <w:color w:val="000000"/>
        </w:rPr>
        <w:t>och vydá</w:t>
      </w:r>
      <w:r w:rsidRPr="006B0548">
        <w:rPr>
          <w:rFonts w:hint="default"/>
          <w:color w:val="000000"/>
        </w:rPr>
        <w:t>vania š</w:t>
      </w:r>
      <w:r w:rsidRPr="006B0548">
        <w:rPr>
          <w:rFonts w:hint="default"/>
          <w:color w:val="000000"/>
        </w:rPr>
        <w:t>tá</w:t>
      </w:r>
      <w:r w:rsidRPr="006B0548">
        <w:rPr>
          <w:rFonts w:hint="default"/>
          <w:color w:val="000000"/>
        </w:rPr>
        <w:t>tnych dlhopisov.</w:t>
      </w:r>
    </w:p>
    <w:p w:rsidR="00FB61CD" w:rsidRPr="00FB61CD" w:rsidP="00FB61CD">
      <w:pPr>
        <w:pStyle w:val="NormalWeb"/>
        <w:bidi w:val="0"/>
        <w:spacing w:before="0" w:beforeAutospacing="0" w:after="0" w:afterAutospacing="0"/>
        <w:ind w:left="705"/>
        <w:jc w:val="both"/>
        <w:rPr>
          <w:color w:val="000000"/>
        </w:rPr>
      </w:pPr>
    </w:p>
    <w:p w:rsidR="006824C7" w:rsidRPr="006B0548" w:rsidP="00E12AD0">
      <w:pPr>
        <w:pStyle w:val="NormalWeb"/>
        <w:bidi w:val="0"/>
        <w:spacing w:before="0" w:beforeAutospacing="0" w:after="0" w:afterAutospacing="0"/>
        <w:jc w:val="center"/>
        <w:rPr>
          <w:b/>
          <w:color w:val="000000"/>
        </w:rPr>
      </w:pPr>
      <w:r w:rsidRPr="006B0548">
        <w:rPr>
          <w:rFonts w:hint="default"/>
          <w:b/>
          <w:color w:val="000000"/>
        </w:rPr>
        <w:t>§</w:t>
      </w:r>
      <w:r w:rsidRPr="006B0548">
        <w:rPr>
          <w:rFonts w:hint="default"/>
          <w:b/>
          <w:color w:val="000000"/>
        </w:rPr>
        <w:t xml:space="preserve"> </w:t>
      </w:r>
      <w:r w:rsidRPr="006B0548" w:rsidR="008E3918">
        <w:rPr>
          <w:b/>
          <w:color w:val="000000"/>
        </w:rPr>
        <w:t>4</w:t>
      </w:r>
    </w:p>
    <w:p w:rsidR="006824C7" w:rsidRPr="006B0548" w:rsidP="00E12AD0">
      <w:pPr>
        <w:pStyle w:val="NormalWeb"/>
        <w:bidi w:val="0"/>
        <w:spacing w:before="0" w:beforeAutospacing="0" w:after="0" w:afterAutospacing="0"/>
        <w:rPr>
          <w:color w:val="000000"/>
        </w:rPr>
      </w:pPr>
    </w:p>
    <w:p w:rsidR="006C3619" w:rsidRPr="00192799" w:rsidP="006C3619">
      <w:pPr>
        <w:pStyle w:val="NormalWeb"/>
        <w:numPr>
          <w:numId w:val="5"/>
        </w:numPr>
        <w:bidi w:val="0"/>
        <w:spacing w:before="0" w:beforeAutospacing="0" w:after="0" w:afterAutospacing="0"/>
        <w:jc w:val="both"/>
        <w:rPr>
          <w:color w:val="000000"/>
        </w:rPr>
      </w:pPr>
      <w:r w:rsidRPr="00192799">
        <w:rPr>
          <w:color w:val="000000"/>
        </w:rPr>
        <w:t xml:space="preserve">Ministerstvo spravodlivosti Slovenskej republiky </w:t>
      </w:r>
      <w:r>
        <w:rPr>
          <w:rFonts w:hint="default"/>
          <w:color w:val="000000"/>
        </w:rPr>
        <w:t>(ď</w:t>
      </w:r>
      <w:r>
        <w:rPr>
          <w:rFonts w:hint="default"/>
          <w:color w:val="000000"/>
        </w:rPr>
        <w:t>alej len „</w:t>
      </w:r>
      <w:r>
        <w:rPr>
          <w:rFonts w:hint="default"/>
          <w:color w:val="000000"/>
        </w:rPr>
        <w:t>ministerstvo spravodlivosti“</w:t>
      </w:r>
      <w:r>
        <w:rPr>
          <w:rFonts w:hint="default"/>
          <w:color w:val="000000"/>
        </w:rPr>
        <w:t xml:space="preserve">) </w:t>
      </w:r>
      <w:r w:rsidRPr="00192799">
        <w:rPr>
          <w:rFonts w:hint="default"/>
          <w:color w:val="000000"/>
        </w:rPr>
        <w:t>na zá</w:t>
      </w:r>
      <w:r w:rsidRPr="00192799">
        <w:rPr>
          <w:rFonts w:hint="default"/>
          <w:color w:val="000000"/>
        </w:rPr>
        <w:t>klade podnetu ministerstva financií</w:t>
      </w:r>
      <w:r w:rsidRPr="00192799">
        <w:rPr>
          <w:rFonts w:hint="default"/>
          <w:color w:val="000000"/>
        </w:rPr>
        <w:t xml:space="preserve"> a po predchá</w:t>
      </w:r>
      <w:r w:rsidRPr="00192799">
        <w:rPr>
          <w:rFonts w:hint="default"/>
          <w:color w:val="000000"/>
        </w:rPr>
        <w:t>dzajú</w:t>
      </w:r>
      <w:r w:rsidRPr="00192799">
        <w:rPr>
          <w:rFonts w:hint="default"/>
          <w:color w:val="000000"/>
        </w:rPr>
        <w:t>com schvá</w:t>
      </w:r>
      <w:r w:rsidRPr="00192799">
        <w:rPr>
          <w:rFonts w:hint="default"/>
          <w:color w:val="000000"/>
        </w:rPr>
        <w:t>lení</w:t>
      </w:r>
      <w:r w:rsidRPr="00192799">
        <w:rPr>
          <w:rFonts w:hint="default"/>
          <w:color w:val="000000"/>
        </w:rPr>
        <w:t xml:space="preserve"> vlá</w:t>
      </w:r>
      <w:r w:rsidRPr="00192799">
        <w:rPr>
          <w:rFonts w:hint="default"/>
          <w:color w:val="000000"/>
        </w:rPr>
        <w:t>dou predloží</w:t>
      </w:r>
      <w:r w:rsidRPr="00192799">
        <w:rPr>
          <w:rFonts w:hint="default"/>
          <w:color w:val="000000"/>
        </w:rPr>
        <w:t xml:space="preserve"> Sú</w:t>
      </w:r>
      <w:r w:rsidRPr="00192799">
        <w:rPr>
          <w:rFonts w:hint="default"/>
          <w:color w:val="000000"/>
        </w:rPr>
        <w:t>dnemu dvoru Euró</w:t>
      </w:r>
      <w:r w:rsidRPr="00192799">
        <w:rPr>
          <w:rFonts w:hint="default"/>
          <w:color w:val="000000"/>
        </w:rPr>
        <w:t>pskej ú</w:t>
      </w:r>
      <w:r w:rsidRPr="00192799">
        <w:rPr>
          <w:rFonts w:hint="default"/>
          <w:color w:val="000000"/>
        </w:rPr>
        <w:t>nie ná</w:t>
      </w:r>
      <w:r w:rsidRPr="00192799">
        <w:rPr>
          <w:rFonts w:hint="default"/>
          <w:color w:val="000000"/>
        </w:rPr>
        <w:t>vrh na</w:t>
      </w:r>
      <w:r w:rsidRPr="00192799">
        <w:rPr>
          <w:rFonts w:hint="default"/>
          <w:color w:val="000000"/>
        </w:rPr>
        <w:t xml:space="preserve"> zač</w:t>
      </w:r>
      <w:r w:rsidRPr="00192799">
        <w:rPr>
          <w:rFonts w:hint="default"/>
          <w:color w:val="000000"/>
        </w:rPr>
        <w:t>atie konania proti zmluvnej strane</w:t>
      </w:r>
      <w:r w:rsidR="007335C2">
        <w:rPr>
          <w:rFonts w:hint="default"/>
          <w:color w:val="000000"/>
        </w:rPr>
        <w:t xml:space="preserve"> fiš</w:t>
      </w:r>
      <w:r w:rsidR="007335C2">
        <w:rPr>
          <w:rFonts w:hint="default"/>
          <w:color w:val="000000"/>
        </w:rPr>
        <w:t>ká</w:t>
      </w:r>
      <w:r w:rsidR="007335C2">
        <w:rPr>
          <w:rFonts w:hint="default"/>
          <w:color w:val="000000"/>
        </w:rPr>
        <w:t>lnej zmluvy</w:t>
      </w:r>
      <w:r w:rsidRPr="00192799">
        <w:rPr>
          <w:rFonts w:hint="default"/>
          <w:color w:val="000000"/>
        </w:rPr>
        <w:t>, ktorá</w:t>
      </w:r>
      <w:r w:rsidRPr="00192799">
        <w:rPr>
          <w:rFonts w:hint="default"/>
          <w:color w:val="000000"/>
        </w:rPr>
        <w:t xml:space="preserve"> podľ</w:t>
      </w:r>
      <w:r w:rsidRPr="00192799">
        <w:rPr>
          <w:rFonts w:hint="default"/>
          <w:color w:val="000000"/>
        </w:rPr>
        <w:t>a sprá</w:t>
      </w:r>
      <w:r w:rsidRPr="00192799">
        <w:rPr>
          <w:rFonts w:hint="default"/>
          <w:color w:val="000000"/>
        </w:rPr>
        <w:t>vy Euró</w:t>
      </w:r>
      <w:r w:rsidRPr="00192799">
        <w:rPr>
          <w:rFonts w:hint="default"/>
          <w:color w:val="000000"/>
        </w:rPr>
        <w:t>pskej komisie poruš</w:t>
      </w:r>
      <w:r w:rsidRPr="00192799">
        <w:rPr>
          <w:rFonts w:hint="default"/>
          <w:color w:val="000000"/>
        </w:rPr>
        <w:t>ila ustanovenie fiš</w:t>
      </w:r>
      <w:r w:rsidRPr="00192799">
        <w:rPr>
          <w:rFonts w:hint="default"/>
          <w:color w:val="000000"/>
        </w:rPr>
        <w:t>ká</w:t>
      </w:r>
      <w:r w:rsidRPr="00192799">
        <w:rPr>
          <w:rFonts w:hint="default"/>
          <w:color w:val="000000"/>
        </w:rPr>
        <w:t>lnej zmluvy upravujú</w:t>
      </w:r>
      <w:r w:rsidRPr="00192799">
        <w:rPr>
          <w:rFonts w:hint="default"/>
          <w:color w:val="000000"/>
        </w:rPr>
        <w:t xml:space="preserve">ce </w:t>
      </w:r>
      <w:r w:rsidRPr="00192799">
        <w:rPr>
          <w:rFonts w:hint="default"/>
        </w:rPr>
        <w:t>povinnosť</w:t>
      </w:r>
      <w:r w:rsidRPr="00192799">
        <w:rPr>
          <w:rFonts w:hint="default"/>
        </w:rPr>
        <w:t xml:space="preserve"> zaviesť</w:t>
      </w:r>
      <w:r w:rsidRPr="00192799">
        <w:rPr>
          <w:rFonts w:hint="default"/>
        </w:rPr>
        <w:t xml:space="preserve"> fiš</w:t>
      </w:r>
      <w:r w:rsidRPr="00192799">
        <w:rPr>
          <w:rFonts w:hint="default"/>
        </w:rPr>
        <w:t>ká</w:t>
      </w:r>
      <w:r w:rsidRPr="00192799">
        <w:rPr>
          <w:rFonts w:hint="default"/>
        </w:rPr>
        <w:t xml:space="preserve">lne </w:t>
      </w:r>
      <w:r w:rsidRPr="00192799">
        <w:rPr>
          <w:rFonts w:hint="default"/>
          <w:color w:val="000000"/>
        </w:rPr>
        <w:t>pravidlá</w:t>
      </w:r>
      <w:r w:rsidRPr="00192799">
        <w:rPr>
          <w:rFonts w:hint="default"/>
          <w:color w:val="000000"/>
        </w:rPr>
        <w:t xml:space="preserve"> a </w:t>
      </w:r>
      <w:r w:rsidRPr="00192799">
        <w:rPr>
          <w:rFonts w:hint="default"/>
          <w:color w:val="000000"/>
        </w:rPr>
        <w:t>korekč</w:t>
      </w:r>
      <w:r w:rsidRPr="00192799">
        <w:rPr>
          <w:rFonts w:hint="default"/>
          <w:color w:val="000000"/>
        </w:rPr>
        <w:t>ný</w:t>
      </w:r>
      <w:r w:rsidRPr="00192799">
        <w:rPr>
          <w:rFonts w:hint="default"/>
          <w:color w:val="000000"/>
        </w:rPr>
        <w:t xml:space="preserve"> mechanizmus</w:t>
      </w:r>
      <w:r w:rsidR="00FB61CD">
        <w:rPr>
          <w:color w:val="000000"/>
        </w:rPr>
        <w:t>.</w:t>
      </w:r>
      <w:r>
        <w:rPr>
          <w:rStyle w:val="FootnoteReference"/>
          <w:color w:val="000000"/>
          <w:rtl w:val="0"/>
        </w:rPr>
        <w:footnoteReference w:id="3"/>
      </w:r>
      <w:r w:rsidRPr="00192799">
        <w:rPr>
          <w:rFonts w:hint="default"/>
          <w:color w:val="000000"/>
        </w:rPr>
        <w:t>) Ministerstvo financií</w:t>
      </w:r>
      <w:r w:rsidRPr="00192799">
        <w:rPr>
          <w:rFonts w:hint="default"/>
          <w:color w:val="000000"/>
        </w:rPr>
        <w:t xml:space="preserve"> je povinné</w:t>
      </w:r>
      <w:r w:rsidRPr="00192799">
        <w:rPr>
          <w:rFonts w:hint="default"/>
          <w:color w:val="000000"/>
        </w:rPr>
        <w:t xml:space="preserve"> dať</w:t>
      </w:r>
      <w:r w:rsidRPr="00192799">
        <w:rPr>
          <w:rFonts w:hint="default"/>
          <w:color w:val="000000"/>
        </w:rPr>
        <w:t xml:space="preserve"> podnet na poda</w:t>
      </w:r>
      <w:r w:rsidRPr="00192799">
        <w:rPr>
          <w:rFonts w:hint="default"/>
          <w:color w:val="000000"/>
        </w:rPr>
        <w:t>nie také</w:t>
      </w:r>
      <w:r w:rsidRPr="00192799">
        <w:rPr>
          <w:rFonts w:hint="default"/>
          <w:color w:val="000000"/>
        </w:rPr>
        <w:t>hoto ná</w:t>
      </w:r>
      <w:r w:rsidRPr="00192799">
        <w:rPr>
          <w:rFonts w:hint="default"/>
          <w:color w:val="000000"/>
        </w:rPr>
        <w:t xml:space="preserve">vrhu </w:t>
      </w:r>
      <w:r>
        <w:rPr>
          <w:color w:val="000000"/>
        </w:rPr>
        <w:t>m</w:t>
      </w:r>
      <w:r w:rsidRPr="00192799">
        <w:rPr>
          <w:rFonts w:hint="default"/>
          <w:color w:val="000000"/>
        </w:rPr>
        <w:t>inisterstvu spravodlivosti, ak sú</w:t>
      </w:r>
      <w:r w:rsidRPr="00192799">
        <w:rPr>
          <w:rFonts w:hint="default"/>
          <w:color w:val="000000"/>
        </w:rPr>
        <w:t xml:space="preserve"> v </w:t>
      </w:r>
      <w:r w:rsidRPr="00192799">
        <w:rPr>
          <w:rFonts w:hint="default"/>
          <w:color w:val="000000"/>
        </w:rPr>
        <w:t>deň</w:t>
      </w:r>
      <w:r w:rsidRPr="00192799">
        <w:rPr>
          <w:rFonts w:hint="default"/>
          <w:color w:val="000000"/>
        </w:rPr>
        <w:t xml:space="preserve"> uverejnenia sprá</w:t>
      </w:r>
      <w:r w:rsidRPr="00192799">
        <w:rPr>
          <w:rFonts w:hint="default"/>
          <w:color w:val="000000"/>
        </w:rPr>
        <w:t>vy Euró</w:t>
      </w:r>
      <w:r w:rsidRPr="00192799">
        <w:rPr>
          <w:rFonts w:hint="default"/>
          <w:color w:val="000000"/>
        </w:rPr>
        <w:t>pskej komisie</w:t>
      </w:r>
      <w:r w:rsidR="007335C2">
        <w:rPr>
          <w:rFonts w:hint="default"/>
          <w:color w:val="000000"/>
        </w:rPr>
        <w:t xml:space="preserve"> súč</w:t>
      </w:r>
      <w:r w:rsidR="007335C2">
        <w:rPr>
          <w:rFonts w:hint="default"/>
          <w:color w:val="000000"/>
        </w:rPr>
        <w:t>asne</w:t>
      </w:r>
      <w:r w:rsidRPr="00192799">
        <w:rPr>
          <w:rFonts w:hint="default"/>
          <w:color w:val="000000"/>
        </w:rPr>
        <w:t xml:space="preserve"> splnené</w:t>
      </w:r>
      <w:r w:rsidRPr="00192799">
        <w:rPr>
          <w:rFonts w:hint="default"/>
          <w:color w:val="000000"/>
        </w:rPr>
        <w:t xml:space="preserve"> </w:t>
      </w:r>
      <w:r w:rsidR="007335C2">
        <w:rPr>
          <w:color w:val="000000"/>
        </w:rPr>
        <w:t xml:space="preserve">tieto </w:t>
      </w:r>
      <w:r w:rsidRPr="00192799">
        <w:rPr>
          <w:color w:val="000000"/>
        </w:rPr>
        <w:t>podmienky:</w:t>
      </w:r>
    </w:p>
    <w:p w:rsidR="006C3619" w:rsidP="006C3619">
      <w:pPr>
        <w:pStyle w:val="NormalWeb"/>
        <w:numPr>
          <w:numId w:val="8"/>
        </w:numPr>
        <w:bidi w:val="0"/>
        <w:spacing w:before="0" w:beforeAutospacing="0" w:after="0" w:afterAutospacing="0"/>
        <w:jc w:val="both"/>
        <w:rPr>
          <w:color w:val="000000"/>
        </w:rPr>
      </w:pPr>
      <w:r w:rsidRPr="00192799">
        <w:rPr>
          <w:rFonts w:hint="default"/>
          <w:color w:val="000000"/>
        </w:rPr>
        <w:t>Slovenská</w:t>
      </w:r>
      <w:r w:rsidRPr="00192799">
        <w:rPr>
          <w:rFonts w:hint="default"/>
          <w:color w:val="000000"/>
        </w:rPr>
        <w:t xml:space="preserve"> republika je č</w:t>
      </w:r>
      <w:r w:rsidRPr="00192799">
        <w:rPr>
          <w:rFonts w:hint="default"/>
          <w:color w:val="000000"/>
        </w:rPr>
        <w:t>len</w:t>
      </w:r>
      <w:r w:rsidR="00BB3434">
        <w:rPr>
          <w:color w:val="000000"/>
        </w:rPr>
        <w:t>om</w:t>
      </w:r>
      <w:r w:rsidRPr="00192799">
        <w:rPr>
          <w:rFonts w:hint="default"/>
          <w:color w:val="000000"/>
        </w:rPr>
        <w:t xml:space="preserve"> vopred urč</w:t>
      </w:r>
      <w:r w:rsidRPr="00192799">
        <w:rPr>
          <w:rFonts w:hint="default"/>
          <w:color w:val="000000"/>
        </w:rPr>
        <w:t>enej skupiny č</w:t>
      </w:r>
      <w:r w:rsidRPr="00192799">
        <w:rPr>
          <w:rFonts w:hint="default"/>
          <w:color w:val="000000"/>
        </w:rPr>
        <w:t>lenský</w:t>
      </w:r>
      <w:r w:rsidRPr="00192799">
        <w:rPr>
          <w:rFonts w:hint="default"/>
          <w:color w:val="000000"/>
        </w:rPr>
        <w:t>ch š</w:t>
      </w:r>
      <w:r w:rsidRPr="00192799">
        <w:rPr>
          <w:rFonts w:hint="default"/>
          <w:color w:val="000000"/>
        </w:rPr>
        <w:t>tá</w:t>
      </w:r>
      <w:r w:rsidRPr="00192799">
        <w:rPr>
          <w:rFonts w:hint="default"/>
          <w:color w:val="000000"/>
        </w:rPr>
        <w:t>tov</w:t>
      </w:r>
      <w:r w:rsidR="00E90041">
        <w:rPr>
          <w:rFonts w:hint="default"/>
          <w:color w:val="000000"/>
        </w:rPr>
        <w:t xml:space="preserve"> Euró</w:t>
      </w:r>
      <w:r w:rsidR="00E90041">
        <w:rPr>
          <w:rFonts w:hint="default"/>
          <w:color w:val="000000"/>
        </w:rPr>
        <w:t>pskej ú</w:t>
      </w:r>
      <w:r w:rsidR="00E90041">
        <w:rPr>
          <w:rFonts w:hint="default"/>
          <w:color w:val="000000"/>
        </w:rPr>
        <w:t>nie</w:t>
      </w:r>
      <w:r w:rsidRPr="00192799">
        <w:rPr>
          <w:rFonts w:hint="default"/>
          <w:color w:val="000000"/>
        </w:rPr>
        <w:t xml:space="preserve"> vykoná</w:t>
      </w:r>
      <w:r w:rsidRPr="00192799">
        <w:rPr>
          <w:rFonts w:hint="default"/>
          <w:color w:val="000000"/>
        </w:rPr>
        <w:t>vajú</w:t>
      </w:r>
      <w:r w:rsidRPr="00192799">
        <w:rPr>
          <w:rFonts w:hint="default"/>
          <w:color w:val="000000"/>
        </w:rPr>
        <w:t>cich predsední</w:t>
      </w:r>
      <w:r w:rsidRPr="00192799">
        <w:rPr>
          <w:rFonts w:hint="default"/>
          <w:color w:val="000000"/>
        </w:rPr>
        <w:t>ctvo Rady Euró</w:t>
      </w:r>
      <w:r w:rsidRPr="00192799">
        <w:rPr>
          <w:rFonts w:hint="default"/>
          <w:color w:val="000000"/>
        </w:rPr>
        <w:t>ps</w:t>
      </w:r>
      <w:r w:rsidRPr="00192799">
        <w:rPr>
          <w:rFonts w:hint="default"/>
          <w:color w:val="000000"/>
        </w:rPr>
        <w:t>kej ú</w:t>
      </w:r>
      <w:r w:rsidRPr="00192799">
        <w:rPr>
          <w:rFonts w:hint="default"/>
          <w:color w:val="000000"/>
        </w:rPr>
        <w:t>nie</w:t>
      </w:r>
      <w:r w:rsidR="00FB61CD">
        <w:rPr>
          <w:color w:val="000000"/>
        </w:rPr>
        <w:t>,</w:t>
      </w:r>
      <w:r>
        <w:rPr>
          <w:rStyle w:val="FootnoteReference"/>
          <w:color w:val="000000"/>
          <w:rtl w:val="0"/>
        </w:rPr>
        <w:footnoteReference w:id="4"/>
      </w:r>
      <w:r w:rsidR="007335C2">
        <w:rPr>
          <w:color w:val="000000"/>
        </w:rPr>
        <w:t>)</w:t>
      </w:r>
    </w:p>
    <w:p w:rsidR="006C3619" w:rsidP="006C3619">
      <w:pPr>
        <w:pStyle w:val="NormalWeb"/>
        <w:numPr>
          <w:numId w:val="8"/>
        </w:numPr>
        <w:bidi w:val="0"/>
        <w:spacing w:before="0" w:beforeAutospacing="0" w:after="0" w:afterAutospacing="0"/>
        <w:jc w:val="both"/>
        <w:rPr>
          <w:color w:val="000000"/>
        </w:rPr>
      </w:pPr>
      <w:r w:rsidRPr="00A42484">
        <w:rPr>
          <w:rFonts w:hint="default"/>
          <w:color w:val="000000"/>
        </w:rPr>
        <w:t>Slovenská</w:t>
      </w:r>
      <w:r w:rsidRPr="00A42484">
        <w:rPr>
          <w:rFonts w:hint="default"/>
          <w:color w:val="000000"/>
        </w:rPr>
        <w:t xml:space="preserve"> republika nie je v </w:t>
      </w:r>
      <w:r w:rsidRPr="00A148AA">
        <w:rPr>
          <w:rFonts w:hint="default"/>
          <w:color w:val="000000"/>
        </w:rPr>
        <w:t>sprá</w:t>
      </w:r>
      <w:r w:rsidRPr="00A148AA">
        <w:rPr>
          <w:rFonts w:hint="default"/>
          <w:color w:val="000000"/>
        </w:rPr>
        <w:t>ve Euró</w:t>
      </w:r>
      <w:r w:rsidRPr="00A148AA">
        <w:rPr>
          <w:rFonts w:hint="default"/>
          <w:color w:val="000000"/>
        </w:rPr>
        <w:t>pskej komisie považ</w:t>
      </w:r>
      <w:r w:rsidRPr="00A148AA">
        <w:rPr>
          <w:rFonts w:hint="default"/>
          <w:color w:val="000000"/>
        </w:rPr>
        <w:t>ovaná</w:t>
      </w:r>
      <w:r w:rsidRPr="00A148AA">
        <w:rPr>
          <w:rFonts w:hint="default"/>
          <w:color w:val="000000"/>
        </w:rPr>
        <w:t xml:space="preserve"> za š</w:t>
      </w:r>
      <w:r w:rsidRPr="00A148AA">
        <w:rPr>
          <w:rFonts w:hint="default"/>
          <w:color w:val="000000"/>
        </w:rPr>
        <w:t>tá</w:t>
      </w:r>
      <w:r w:rsidRPr="00A148AA">
        <w:rPr>
          <w:rFonts w:hint="default"/>
          <w:color w:val="000000"/>
        </w:rPr>
        <w:t>t, ktorý</w:t>
      </w:r>
      <w:r w:rsidRPr="00A148AA">
        <w:rPr>
          <w:rFonts w:hint="default"/>
          <w:color w:val="000000"/>
        </w:rPr>
        <w:t xml:space="preserve"> nesplnil </w:t>
      </w:r>
      <w:r>
        <w:rPr>
          <w:rFonts w:hint="default"/>
        </w:rPr>
        <w:t>povinnosť</w:t>
      </w:r>
      <w:r>
        <w:rPr>
          <w:rFonts w:hint="default"/>
        </w:rPr>
        <w:t xml:space="preserve"> zaviesť</w:t>
      </w:r>
      <w:r>
        <w:rPr>
          <w:rFonts w:hint="default"/>
        </w:rPr>
        <w:t xml:space="preserve"> prí</w:t>
      </w:r>
      <w:r>
        <w:rPr>
          <w:rFonts w:hint="default"/>
        </w:rPr>
        <w:t>sluš</w:t>
      </w:r>
      <w:r>
        <w:rPr>
          <w:rFonts w:hint="default"/>
        </w:rPr>
        <w:t>né</w:t>
      </w:r>
      <w:r>
        <w:rPr>
          <w:rFonts w:hint="default"/>
        </w:rPr>
        <w:t xml:space="preserve"> fiš</w:t>
      </w:r>
      <w:r>
        <w:rPr>
          <w:rFonts w:hint="default"/>
        </w:rPr>
        <w:t>ká</w:t>
      </w:r>
      <w:r>
        <w:rPr>
          <w:rFonts w:hint="default"/>
        </w:rPr>
        <w:t xml:space="preserve">lne </w:t>
      </w:r>
      <w:r>
        <w:rPr>
          <w:rFonts w:hint="default"/>
          <w:color w:val="000000"/>
        </w:rPr>
        <w:t>pravidlá</w:t>
      </w:r>
      <w:r>
        <w:rPr>
          <w:rFonts w:hint="default"/>
          <w:color w:val="000000"/>
        </w:rPr>
        <w:t xml:space="preserve"> a </w:t>
      </w:r>
      <w:r>
        <w:rPr>
          <w:rFonts w:hint="default"/>
          <w:color w:val="000000"/>
        </w:rPr>
        <w:t>korekč</w:t>
      </w:r>
      <w:r>
        <w:rPr>
          <w:rFonts w:hint="default"/>
          <w:color w:val="000000"/>
        </w:rPr>
        <w:t>ný</w:t>
      </w:r>
      <w:r>
        <w:rPr>
          <w:rFonts w:hint="default"/>
          <w:color w:val="000000"/>
        </w:rPr>
        <w:t xml:space="preserve"> mechanizmus</w:t>
      </w:r>
      <w:r w:rsidR="00FB61CD">
        <w:rPr>
          <w:color w:val="000000"/>
        </w:rPr>
        <w:t>,</w:t>
      </w:r>
      <w:r w:rsidRPr="007335C2" w:rsidR="007335C2">
        <w:rPr>
          <w:color w:val="000000"/>
          <w:vertAlign w:val="superscript"/>
        </w:rPr>
        <w:t>2</w:t>
      </w:r>
      <w:r w:rsidR="007335C2">
        <w:rPr>
          <w:color w:val="000000"/>
        </w:rPr>
        <w:t>)</w:t>
      </w:r>
    </w:p>
    <w:p w:rsidR="006C3619" w:rsidP="006C3619">
      <w:pPr>
        <w:pStyle w:val="NormalWeb"/>
        <w:numPr>
          <w:numId w:val="8"/>
        </w:numPr>
        <w:bidi w:val="0"/>
        <w:spacing w:before="0" w:beforeAutospacing="0" w:after="0" w:afterAutospacing="0"/>
        <w:jc w:val="both"/>
        <w:rPr>
          <w:color w:val="000000"/>
        </w:rPr>
      </w:pPr>
      <w:r w:rsidR="007335C2">
        <w:rPr>
          <w:color w:val="000000"/>
        </w:rPr>
        <w:t xml:space="preserve">proti </w:t>
      </w:r>
      <w:r w:rsidRPr="00016936">
        <w:rPr>
          <w:color w:val="000000"/>
        </w:rPr>
        <w:t>Slovensk</w:t>
      </w:r>
      <w:r w:rsidR="007335C2">
        <w:rPr>
          <w:color w:val="000000"/>
        </w:rPr>
        <w:t>ej</w:t>
      </w:r>
      <w:r w:rsidRPr="00016936">
        <w:rPr>
          <w:color w:val="000000"/>
        </w:rPr>
        <w:t xml:space="preserve"> republik</w:t>
      </w:r>
      <w:r w:rsidR="007335C2">
        <w:rPr>
          <w:color w:val="000000"/>
        </w:rPr>
        <w:t>e sa nevedie konanie n</w:t>
      </w:r>
      <w:r w:rsidRPr="00016936">
        <w:rPr>
          <w:rFonts w:hint="default"/>
          <w:color w:val="000000"/>
        </w:rPr>
        <w:t>a Sú</w:t>
      </w:r>
      <w:r w:rsidRPr="00016936">
        <w:rPr>
          <w:rFonts w:hint="default"/>
          <w:color w:val="000000"/>
        </w:rPr>
        <w:t>dnom dvore Euró</w:t>
      </w:r>
      <w:r w:rsidRPr="00016936">
        <w:rPr>
          <w:rFonts w:hint="default"/>
          <w:color w:val="000000"/>
        </w:rPr>
        <w:t>pskej ú</w:t>
      </w:r>
      <w:r w:rsidRPr="00016936">
        <w:rPr>
          <w:rFonts w:hint="default"/>
          <w:color w:val="000000"/>
        </w:rPr>
        <w:t>nie podľ</w:t>
      </w:r>
      <w:r w:rsidRPr="00016936">
        <w:rPr>
          <w:rFonts w:hint="default"/>
          <w:color w:val="000000"/>
        </w:rPr>
        <w:t xml:space="preserve">a </w:t>
      </w:r>
      <w:r w:rsidRPr="00016936">
        <w:rPr>
          <w:rFonts w:hint="default"/>
          <w:color w:val="000000"/>
        </w:rPr>
        <w:t>fiš</w:t>
      </w:r>
      <w:r w:rsidRPr="00016936">
        <w:rPr>
          <w:rFonts w:hint="default"/>
          <w:color w:val="000000"/>
        </w:rPr>
        <w:t>ká</w:t>
      </w:r>
      <w:r w:rsidRPr="00016936">
        <w:rPr>
          <w:rFonts w:hint="default"/>
          <w:color w:val="000000"/>
        </w:rPr>
        <w:t>lnej zmluvy</w:t>
      </w:r>
      <w:r w:rsidR="00FB61CD">
        <w:rPr>
          <w:color w:val="000000"/>
        </w:rPr>
        <w:t>,</w:t>
      </w:r>
      <w:r>
        <w:rPr>
          <w:rStyle w:val="FootnoteReference"/>
          <w:color w:val="000000"/>
          <w:rtl w:val="0"/>
        </w:rPr>
        <w:footnoteReference w:id="5"/>
      </w:r>
      <w:r w:rsidR="007335C2">
        <w:rPr>
          <w:color w:val="000000"/>
        </w:rPr>
        <w:t xml:space="preserve">) </w:t>
      </w:r>
    </w:p>
    <w:p w:rsidR="006C3619" w:rsidP="006C3619">
      <w:pPr>
        <w:pStyle w:val="NormalWeb"/>
        <w:numPr>
          <w:numId w:val="8"/>
        </w:numPr>
        <w:bidi w:val="0"/>
        <w:spacing w:before="0" w:beforeAutospacing="0" w:after="0" w:afterAutospacing="0"/>
        <w:jc w:val="both"/>
        <w:rPr>
          <w:color w:val="000000"/>
        </w:rPr>
      </w:pPr>
      <w:r w:rsidRPr="00A42484">
        <w:rPr>
          <w:rFonts w:hint="default"/>
          <w:color w:val="000000"/>
        </w:rPr>
        <w:t>Slovenskej republike nie je znemož</w:t>
      </w:r>
      <w:r w:rsidRPr="00A42484">
        <w:rPr>
          <w:rFonts w:hint="default"/>
          <w:color w:val="000000"/>
        </w:rPr>
        <w:t>nené</w:t>
      </w:r>
      <w:r w:rsidRPr="00A42484">
        <w:rPr>
          <w:rFonts w:hint="default"/>
          <w:color w:val="000000"/>
        </w:rPr>
        <w:t xml:space="preserve"> podať</w:t>
      </w:r>
      <w:r w:rsidRPr="00A42484">
        <w:rPr>
          <w:rFonts w:hint="default"/>
          <w:color w:val="000000"/>
        </w:rPr>
        <w:t xml:space="preserve"> taký</w:t>
      </w:r>
      <w:r w:rsidRPr="00A42484">
        <w:rPr>
          <w:rFonts w:hint="default"/>
          <w:color w:val="000000"/>
        </w:rPr>
        <w:t>to ná</w:t>
      </w:r>
      <w:r w:rsidRPr="00A42484">
        <w:rPr>
          <w:rFonts w:hint="default"/>
          <w:color w:val="000000"/>
        </w:rPr>
        <w:t>vrh z </w:t>
      </w:r>
      <w:r w:rsidRPr="00A148AA">
        <w:rPr>
          <w:rFonts w:hint="default"/>
          <w:color w:val="000000"/>
        </w:rPr>
        <w:t>iný</w:t>
      </w:r>
      <w:r w:rsidRPr="00A148AA">
        <w:rPr>
          <w:rFonts w:hint="default"/>
          <w:color w:val="000000"/>
        </w:rPr>
        <w:t>ch dô</w:t>
      </w:r>
      <w:r w:rsidRPr="00A148AA">
        <w:rPr>
          <w:rFonts w:hint="default"/>
          <w:color w:val="000000"/>
        </w:rPr>
        <w:t>vodov v </w:t>
      </w:r>
      <w:r w:rsidRPr="00A148AA">
        <w:rPr>
          <w:rFonts w:hint="default"/>
          <w:color w:val="000000"/>
        </w:rPr>
        <w:t>sú</w:t>
      </w:r>
      <w:r w:rsidRPr="00A148AA">
        <w:rPr>
          <w:rFonts w:hint="default"/>
          <w:color w:val="000000"/>
        </w:rPr>
        <w:t>lade so vš</w:t>
      </w:r>
      <w:r w:rsidRPr="00A148AA">
        <w:rPr>
          <w:rFonts w:hint="default"/>
          <w:color w:val="000000"/>
        </w:rPr>
        <w:t>eobecný</w:t>
      </w:r>
      <w:r w:rsidRPr="00A148AA">
        <w:rPr>
          <w:rFonts w:hint="default"/>
          <w:color w:val="000000"/>
        </w:rPr>
        <w:t>mi zá</w:t>
      </w:r>
      <w:r w:rsidRPr="00A148AA">
        <w:rPr>
          <w:rFonts w:hint="default"/>
          <w:color w:val="000000"/>
        </w:rPr>
        <w:t>sadami medziná</w:t>
      </w:r>
      <w:r w:rsidRPr="00A148AA">
        <w:rPr>
          <w:rFonts w:hint="default"/>
          <w:color w:val="000000"/>
        </w:rPr>
        <w:t>rodné</w:t>
      </w:r>
      <w:r w:rsidRPr="00A148AA">
        <w:rPr>
          <w:rFonts w:hint="default"/>
          <w:color w:val="000000"/>
        </w:rPr>
        <w:t>ho prá</w:t>
      </w:r>
      <w:r w:rsidRPr="00A148AA">
        <w:rPr>
          <w:rFonts w:hint="default"/>
          <w:color w:val="000000"/>
        </w:rPr>
        <w:t>va.</w:t>
      </w:r>
    </w:p>
    <w:p w:rsidR="006C3619" w:rsidP="006C3619">
      <w:pPr>
        <w:pStyle w:val="NormalWeb"/>
        <w:bidi w:val="0"/>
        <w:spacing w:before="0" w:beforeAutospacing="0" w:after="0" w:afterAutospacing="0"/>
        <w:ind w:left="1080"/>
        <w:jc w:val="both"/>
        <w:rPr>
          <w:color w:val="000000"/>
        </w:rPr>
      </w:pPr>
    </w:p>
    <w:p w:rsidR="006C3619" w:rsidP="006C3619">
      <w:pPr>
        <w:numPr>
          <w:numId w:val="5"/>
        </w:numPr>
        <w:bidi w:val="0"/>
        <w:jc w:val="both"/>
        <w:rPr>
          <w:rFonts w:ascii="Times New Roman" w:hAnsi="Times New Roman"/>
          <w:color w:val="000000"/>
        </w:rPr>
      </w:pPr>
      <w:r w:rsidRPr="00016936">
        <w:rPr>
          <w:rFonts w:ascii="Times New Roman" w:hAnsi="Times New Roman"/>
          <w:color w:val="000000"/>
        </w:rPr>
        <w:t xml:space="preserve">Vláda je na návrh </w:t>
      </w:r>
      <w:r>
        <w:rPr>
          <w:rFonts w:ascii="Times New Roman" w:hAnsi="Times New Roman"/>
          <w:color w:val="000000"/>
        </w:rPr>
        <w:t>mi</w:t>
      </w:r>
      <w:r w:rsidRPr="00016936">
        <w:rPr>
          <w:rFonts w:ascii="Times New Roman" w:hAnsi="Times New Roman"/>
          <w:color w:val="000000"/>
        </w:rPr>
        <w:t xml:space="preserve">nisterstva spravodlivosti </w:t>
      </w:r>
      <w:r w:rsidRPr="00192799">
        <w:rPr>
          <w:rFonts w:ascii="Times New Roman" w:hAnsi="Times New Roman"/>
          <w:color w:val="000000"/>
        </w:rPr>
        <w:t>povinná</w:t>
      </w:r>
      <w:r w:rsidRPr="00016936">
        <w:rPr>
          <w:rFonts w:ascii="Times New Roman" w:hAnsi="Times New Roman"/>
          <w:color w:val="000000"/>
        </w:rPr>
        <w:t xml:space="preserve"> uznesením rozhodnúť o  postupe uvedenom v odseku 1 </w:t>
      </w:r>
      <w:r w:rsidR="00E90041">
        <w:rPr>
          <w:rFonts w:ascii="Times New Roman" w:hAnsi="Times New Roman"/>
          <w:color w:val="000000"/>
        </w:rPr>
        <w:t>najneskôr do jedného mesiaca</w:t>
      </w:r>
      <w:r w:rsidRPr="00016936">
        <w:rPr>
          <w:rFonts w:ascii="Times New Roman" w:hAnsi="Times New Roman"/>
          <w:color w:val="000000"/>
        </w:rPr>
        <w:t xml:space="preserve"> od prijatia správy Európskej komisie Slovenskou republikou.</w:t>
      </w:r>
    </w:p>
    <w:p w:rsidR="006C3619" w:rsidRPr="00192799" w:rsidP="006C3619">
      <w:pPr>
        <w:bidi w:val="0"/>
        <w:ind w:left="720"/>
        <w:jc w:val="both"/>
        <w:rPr>
          <w:rFonts w:ascii="Times New Roman" w:hAnsi="Times New Roman"/>
          <w:color w:val="000000"/>
        </w:rPr>
      </w:pPr>
    </w:p>
    <w:p w:rsidR="006C3619" w:rsidP="006C3619">
      <w:pPr>
        <w:numPr>
          <w:numId w:val="5"/>
        </w:numPr>
        <w:bidi w:val="0"/>
        <w:jc w:val="both"/>
        <w:rPr>
          <w:rFonts w:ascii="Times New Roman" w:hAnsi="Times New Roman"/>
          <w:color w:val="000000"/>
        </w:rPr>
      </w:pPr>
      <w:r w:rsidRPr="00016936">
        <w:rPr>
          <w:rFonts w:ascii="Times New Roman" w:hAnsi="Times New Roman"/>
          <w:color w:val="000000"/>
        </w:rPr>
        <w:t>Postup podľa odsekov 1 a 2 sa použije primerane aj na späťvzat</w:t>
      </w:r>
      <w:r w:rsidR="00CC727D">
        <w:rPr>
          <w:rFonts w:ascii="Times New Roman" w:hAnsi="Times New Roman"/>
          <w:color w:val="000000"/>
        </w:rPr>
        <w:t>ie</w:t>
      </w:r>
      <w:r w:rsidRPr="00016936">
        <w:rPr>
          <w:rFonts w:ascii="Times New Roman" w:hAnsi="Times New Roman"/>
          <w:color w:val="000000"/>
        </w:rPr>
        <w:t xml:space="preserve"> náv</w:t>
      </w:r>
      <w:r w:rsidRPr="00192799">
        <w:rPr>
          <w:rFonts w:ascii="Times New Roman" w:hAnsi="Times New Roman"/>
          <w:color w:val="000000"/>
        </w:rPr>
        <w:t>rhu na</w:t>
      </w:r>
      <w:r w:rsidRPr="00016936">
        <w:rPr>
          <w:rFonts w:ascii="Times New Roman" w:hAnsi="Times New Roman"/>
          <w:color w:val="000000"/>
        </w:rPr>
        <w:t xml:space="preserve"> začatie konania pred Súdnym dvorom Európ</w:t>
      </w:r>
      <w:r w:rsidR="007335C2">
        <w:rPr>
          <w:rFonts w:ascii="Times New Roman" w:hAnsi="Times New Roman"/>
          <w:color w:val="000000"/>
        </w:rPr>
        <w:t>skej únie</w:t>
      </w:r>
      <w:r w:rsidRPr="00016936">
        <w:rPr>
          <w:rFonts w:ascii="Times New Roman" w:hAnsi="Times New Roman"/>
          <w:color w:val="000000"/>
        </w:rPr>
        <w:t xml:space="preserve">, ak sa v novej správe Európskej komisie dospelo k záveru, že </w:t>
      </w:r>
      <w:r w:rsidRPr="000C5099">
        <w:rPr>
          <w:rFonts w:ascii="Times New Roman" w:hAnsi="Times New Roman"/>
          <w:color w:val="000000"/>
        </w:rPr>
        <w:t>skončilo</w:t>
      </w:r>
      <w:r w:rsidRPr="00192799">
        <w:rPr>
          <w:rFonts w:ascii="Times New Roman" w:hAnsi="Times New Roman"/>
          <w:color w:val="000000"/>
        </w:rPr>
        <w:t xml:space="preserve"> </w:t>
      </w:r>
      <w:r w:rsidRPr="00016936">
        <w:rPr>
          <w:rFonts w:ascii="Times New Roman" w:hAnsi="Times New Roman"/>
          <w:color w:val="000000"/>
        </w:rPr>
        <w:t>porušenie ustanovenia fiškálnej zmluvy upravujúce</w:t>
      </w:r>
      <w:r w:rsidR="00E90041">
        <w:rPr>
          <w:rFonts w:ascii="Times New Roman" w:hAnsi="Times New Roman"/>
          <w:color w:val="000000"/>
        </w:rPr>
        <w:t>ho</w:t>
      </w:r>
      <w:r w:rsidRPr="00016936">
        <w:rPr>
          <w:rFonts w:ascii="Times New Roman" w:hAnsi="Times New Roman"/>
          <w:color w:val="000000"/>
        </w:rPr>
        <w:t xml:space="preserve"> </w:t>
      </w:r>
      <w:r w:rsidRPr="00016936">
        <w:rPr>
          <w:rFonts w:ascii="Times New Roman" w:hAnsi="Times New Roman"/>
        </w:rPr>
        <w:t xml:space="preserve">povinnosť zaviesť príslušné fiškálne </w:t>
      </w:r>
      <w:r w:rsidRPr="00016936">
        <w:rPr>
          <w:rFonts w:ascii="Times New Roman" w:hAnsi="Times New Roman"/>
          <w:color w:val="000000"/>
        </w:rPr>
        <w:t>pravidlá a korekčný mechanizmus</w:t>
      </w:r>
      <w:r w:rsidRPr="007335C2" w:rsidR="007335C2">
        <w:rPr>
          <w:rFonts w:ascii="Times New Roman" w:hAnsi="Times New Roman"/>
          <w:color w:val="000000"/>
          <w:vertAlign w:val="superscript"/>
        </w:rPr>
        <w:t>2</w:t>
      </w:r>
      <w:r w:rsidR="007335C2">
        <w:rPr>
          <w:rFonts w:ascii="Times New Roman" w:hAnsi="Times New Roman"/>
          <w:color w:val="000000"/>
        </w:rPr>
        <w:t>)</w:t>
      </w:r>
      <w:r w:rsidRPr="00016936">
        <w:rPr>
          <w:rFonts w:ascii="Times New Roman" w:hAnsi="Times New Roman"/>
          <w:color w:val="000000"/>
        </w:rPr>
        <w:t xml:space="preserve"> zmluvnou stran</w:t>
      </w:r>
      <w:r w:rsidRPr="00192799">
        <w:rPr>
          <w:rFonts w:ascii="Times New Roman" w:hAnsi="Times New Roman"/>
          <w:color w:val="000000"/>
        </w:rPr>
        <w:t>ou</w:t>
      </w:r>
      <w:r w:rsidR="007335C2">
        <w:rPr>
          <w:rFonts w:ascii="Times New Roman" w:hAnsi="Times New Roman"/>
          <w:color w:val="000000"/>
        </w:rPr>
        <w:t xml:space="preserve"> fiškálnej zmluvy</w:t>
      </w:r>
      <w:r w:rsidRPr="00192799">
        <w:rPr>
          <w:rFonts w:ascii="Times New Roman" w:hAnsi="Times New Roman"/>
          <w:color w:val="000000"/>
        </w:rPr>
        <w:t>, proti ktorej</w:t>
      </w:r>
      <w:r w:rsidR="007335C2">
        <w:rPr>
          <w:rFonts w:ascii="Times New Roman" w:hAnsi="Times New Roman"/>
          <w:color w:val="000000"/>
        </w:rPr>
        <w:t xml:space="preserve"> tento</w:t>
      </w:r>
      <w:r w:rsidRPr="00192799">
        <w:rPr>
          <w:rFonts w:ascii="Times New Roman" w:hAnsi="Times New Roman"/>
          <w:color w:val="000000"/>
        </w:rPr>
        <w:t xml:space="preserve"> návrh smeroval</w:t>
      </w:r>
      <w:r w:rsidRPr="00016936">
        <w:rPr>
          <w:rFonts w:ascii="Times New Roman" w:hAnsi="Times New Roman"/>
          <w:color w:val="000000"/>
        </w:rPr>
        <w:t xml:space="preserve">. </w:t>
      </w:r>
    </w:p>
    <w:p w:rsidR="006C3619" w:rsidP="006C3619">
      <w:pPr>
        <w:pStyle w:val="Odsekzoznamu"/>
        <w:bidi w:val="0"/>
        <w:rPr>
          <w:rFonts w:ascii="Times New Roman" w:hAnsi="Times New Roman"/>
          <w:color w:val="000000"/>
        </w:rPr>
      </w:pPr>
    </w:p>
    <w:p w:rsidR="006C3619" w:rsidRPr="00192799" w:rsidP="006C3619">
      <w:pPr>
        <w:numPr>
          <w:numId w:val="5"/>
        </w:numPr>
        <w:bidi w:val="0"/>
        <w:jc w:val="both"/>
        <w:rPr>
          <w:rFonts w:ascii="Times New Roman" w:hAnsi="Times New Roman"/>
          <w:color w:val="000000"/>
        </w:rPr>
      </w:pPr>
      <w:r w:rsidRPr="00016936">
        <w:rPr>
          <w:rFonts w:ascii="Times New Roman" w:hAnsi="Times New Roman"/>
        </w:rPr>
        <w:t xml:space="preserve">Ministerstvo financií môže dať </w:t>
      </w:r>
      <w:r>
        <w:rPr>
          <w:rFonts w:ascii="Times New Roman" w:hAnsi="Times New Roman"/>
          <w:color w:val="000000"/>
        </w:rPr>
        <w:t>m</w:t>
      </w:r>
      <w:r w:rsidRPr="00016936">
        <w:rPr>
          <w:rFonts w:ascii="Times New Roman" w:hAnsi="Times New Roman"/>
          <w:color w:val="000000"/>
        </w:rPr>
        <w:t xml:space="preserve">inisterstvu spravodlivosti </w:t>
      </w:r>
      <w:r w:rsidRPr="00016936">
        <w:rPr>
          <w:rFonts w:ascii="Times New Roman" w:hAnsi="Times New Roman"/>
        </w:rPr>
        <w:t xml:space="preserve">podnet na podanie návrhu </w:t>
      </w:r>
      <w:r w:rsidRPr="00016936">
        <w:rPr>
          <w:rFonts w:ascii="Times New Roman" w:hAnsi="Times New Roman"/>
          <w:color w:val="000000"/>
        </w:rPr>
        <w:t>na začatie konania pred Súdnym dvorom Európskej únie proti inej zmluvnej strane f</w:t>
      </w:r>
      <w:r w:rsidR="007335C2">
        <w:rPr>
          <w:rFonts w:ascii="Times New Roman" w:hAnsi="Times New Roman"/>
          <w:color w:val="000000"/>
        </w:rPr>
        <w:t>iškálnej zmluvy aj</w:t>
      </w:r>
      <w:r w:rsidR="00E90041">
        <w:rPr>
          <w:rFonts w:ascii="Times New Roman" w:hAnsi="Times New Roman"/>
          <w:color w:val="000000"/>
        </w:rPr>
        <w:t>,</w:t>
      </w:r>
      <w:r w:rsidR="007335C2">
        <w:rPr>
          <w:rFonts w:ascii="Times New Roman" w:hAnsi="Times New Roman"/>
          <w:color w:val="000000"/>
        </w:rPr>
        <w:t xml:space="preserve"> ak</w:t>
      </w:r>
      <w:r w:rsidRPr="00016936">
        <w:rPr>
          <w:rFonts w:ascii="Times New Roman" w:hAnsi="Times New Roman"/>
          <w:color w:val="000000"/>
        </w:rPr>
        <w:t xml:space="preserve"> </w:t>
      </w:r>
    </w:p>
    <w:p w:rsidR="006C3619" w:rsidP="006C3619">
      <w:pPr>
        <w:pStyle w:val="Odsekzoznamu"/>
        <w:numPr>
          <w:numId w:val="7"/>
        </w:numPr>
        <w:bidi w:val="0"/>
        <w:contextualSpacing/>
        <w:jc w:val="both"/>
        <w:rPr>
          <w:rFonts w:ascii="Times New Roman" w:hAnsi="Times New Roman"/>
          <w:color w:val="000000"/>
        </w:rPr>
      </w:pPr>
      <w:r w:rsidRPr="00016936">
        <w:rPr>
          <w:rFonts w:ascii="Times New Roman" w:hAnsi="Times New Roman"/>
        </w:rPr>
        <w:t xml:space="preserve">sa </w:t>
      </w:r>
      <w:r w:rsidRPr="00016936">
        <w:rPr>
          <w:rFonts w:ascii="Times New Roman" w:hAnsi="Times New Roman"/>
          <w:color w:val="000000"/>
        </w:rPr>
        <w:t xml:space="preserve">bez ohľadu na správu Európskej komisie domnieva, že iná zmluvná strana </w:t>
      </w:r>
      <w:r w:rsidR="007335C2">
        <w:rPr>
          <w:rFonts w:ascii="Times New Roman" w:hAnsi="Times New Roman"/>
          <w:color w:val="000000"/>
        </w:rPr>
        <w:t xml:space="preserve">fiškálnej zmluvy </w:t>
      </w:r>
      <w:r w:rsidRPr="00016936">
        <w:rPr>
          <w:rFonts w:ascii="Times New Roman" w:hAnsi="Times New Roman"/>
          <w:color w:val="000000"/>
        </w:rPr>
        <w:t xml:space="preserve">porušila ustanovenie fiškálnej zmluvy upravujúce </w:t>
      </w:r>
      <w:r w:rsidRPr="00016936">
        <w:rPr>
          <w:rFonts w:ascii="Times New Roman" w:hAnsi="Times New Roman"/>
        </w:rPr>
        <w:t xml:space="preserve">povinnosť zaviesť príslušné fiškálne </w:t>
      </w:r>
      <w:r w:rsidRPr="00016936">
        <w:rPr>
          <w:rFonts w:ascii="Times New Roman" w:hAnsi="Times New Roman"/>
          <w:color w:val="000000"/>
        </w:rPr>
        <w:t>pravidlá a korekčný mechanizmus</w:t>
      </w:r>
      <w:r w:rsidRPr="007335C2" w:rsidR="007335C2">
        <w:rPr>
          <w:rFonts w:ascii="Times New Roman" w:hAnsi="Times New Roman"/>
          <w:color w:val="000000"/>
          <w:vertAlign w:val="superscript"/>
        </w:rPr>
        <w:t>2</w:t>
      </w:r>
      <w:r w:rsidR="007335C2">
        <w:rPr>
          <w:rFonts w:ascii="Times New Roman" w:hAnsi="Times New Roman"/>
          <w:color w:val="000000"/>
        </w:rPr>
        <w:t>)</w:t>
      </w:r>
      <w:r w:rsidRPr="00016936">
        <w:rPr>
          <w:rFonts w:ascii="Times New Roman" w:hAnsi="Times New Roman"/>
          <w:color w:val="000000"/>
        </w:rPr>
        <w:t xml:space="preserve"> alebo</w:t>
      </w:r>
    </w:p>
    <w:p w:rsidR="00FB1F87" w:rsidP="00FB1F87">
      <w:pPr>
        <w:pStyle w:val="Odsekzoznamu"/>
        <w:numPr>
          <w:numId w:val="7"/>
        </w:numPr>
        <w:bidi w:val="0"/>
        <w:contextualSpacing/>
        <w:jc w:val="both"/>
        <w:rPr>
          <w:rFonts w:ascii="Times New Roman" w:hAnsi="Times New Roman"/>
        </w:rPr>
      </w:pPr>
      <w:r w:rsidRPr="00016936" w:rsidR="006C3619">
        <w:rPr>
          <w:rFonts w:ascii="Times New Roman" w:hAnsi="Times New Roman"/>
        </w:rPr>
        <w:t>sa na základe vlastného hodnotenia alebo hodnotenia Európskej komisie domnieva, že iná zmluvná strana</w:t>
      </w:r>
      <w:r w:rsidR="007335C2">
        <w:rPr>
          <w:rFonts w:ascii="Times New Roman" w:hAnsi="Times New Roman"/>
        </w:rPr>
        <w:t xml:space="preserve"> fiškálnej zmluvy</w:t>
      </w:r>
      <w:r w:rsidRPr="00016936" w:rsidR="006C3619">
        <w:rPr>
          <w:rFonts w:ascii="Times New Roman" w:hAnsi="Times New Roman"/>
        </w:rPr>
        <w:t xml:space="preserve"> neprijala opatrenia potrebné na dosiahnutie súladu s rozsudkom Súdneho dvora </w:t>
      </w:r>
      <w:r w:rsidRPr="00016936" w:rsidR="006C3619">
        <w:rPr>
          <w:rFonts w:ascii="Times New Roman" w:hAnsi="Times New Roman"/>
          <w:color w:val="000000"/>
        </w:rPr>
        <w:t>Európskej únie</w:t>
      </w:r>
      <w:r w:rsidRPr="00016936" w:rsidR="006C3619">
        <w:rPr>
          <w:rFonts w:ascii="Times New Roman" w:hAnsi="Times New Roman"/>
        </w:rPr>
        <w:t xml:space="preserve"> vo veci žaloby podľa fiškálnej zmluvy</w:t>
      </w:r>
      <w:r>
        <w:rPr>
          <w:rFonts w:ascii="Times New Roman" w:hAnsi="Times New Roman"/>
        </w:rPr>
        <w:t>;</w:t>
      </w:r>
      <w:r w:rsidRPr="007335C2" w:rsidR="007335C2">
        <w:rPr>
          <w:rFonts w:ascii="Times New Roman" w:hAnsi="Times New Roman"/>
          <w:vertAlign w:val="superscript"/>
        </w:rPr>
        <w:t>4</w:t>
      </w:r>
      <w:r w:rsidR="007335C2">
        <w:rPr>
          <w:rFonts w:ascii="Times New Roman" w:hAnsi="Times New Roman"/>
        </w:rPr>
        <w:t xml:space="preserve">) </w:t>
      </w:r>
      <w:r>
        <w:rPr>
          <w:rFonts w:ascii="Times New Roman" w:hAnsi="Times New Roman"/>
        </w:rPr>
        <w:t>m</w:t>
      </w:r>
      <w:r w:rsidR="007335C2">
        <w:rPr>
          <w:rFonts w:ascii="Times New Roman" w:hAnsi="Times New Roman"/>
        </w:rPr>
        <w:t>inisterstvo financií môže zároveň</w:t>
      </w:r>
      <w:r w:rsidRPr="00016936" w:rsidR="006C3619">
        <w:rPr>
          <w:rFonts w:ascii="Times New Roman" w:hAnsi="Times New Roman"/>
        </w:rPr>
        <w:t xml:space="preserve"> navrhnúť, aby v návrhu na začatie konania </w:t>
      </w:r>
      <w:r>
        <w:rPr>
          <w:rFonts w:ascii="Times New Roman" w:hAnsi="Times New Roman"/>
        </w:rPr>
        <w:t>S</w:t>
      </w:r>
      <w:r w:rsidRPr="00016936" w:rsidR="006C3619">
        <w:rPr>
          <w:rFonts w:ascii="Times New Roman" w:hAnsi="Times New Roman"/>
        </w:rPr>
        <w:t>lovenská republika žiadala o uloženie finančných sankcií žalovanej zmluvnej strane</w:t>
      </w:r>
      <w:r w:rsidR="00E90041">
        <w:rPr>
          <w:rFonts w:ascii="Times New Roman" w:hAnsi="Times New Roman"/>
        </w:rPr>
        <w:t xml:space="preserve"> fiškálnej zmluvy</w:t>
      </w:r>
      <w:r>
        <w:rPr>
          <w:rFonts w:ascii="Times New Roman" w:hAnsi="Times New Roman"/>
        </w:rPr>
        <w:t>.</w:t>
      </w:r>
    </w:p>
    <w:p w:rsidR="00FB1F87" w:rsidP="00FB1F87">
      <w:pPr>
        <w:pStyle w:val="Odsekzoznamu"/>
        <w:bidi w:val="0"/>
        <w:ind w:left="360"/>
        <w:contextualSpacing/>
        <w:jc w:val="both"/>
        <w:rPr>
          <w:rFonts w:ascii="Times New Roman" w:hAnsi="Times New Roman"/>
        </w:rPr>
      </w:pPr>
    </w:p>
    <w:p w:rsidR="00FB1F87" w:rsidP="00FB1F87">
      <w:pPr>
        <w:pStyle w:val="Odsekzoznamu"/>
        <w:numPr>
          <w:numId w:val="5"/>
        </w:numPr>
        <w:bidi w:val="0"/>
        <w:contextualSpacing/>
        <w:jc w:val="both"/>
        <w:rPr>
          <w:rFonts w:ascii="Times New Roman" w:hAnsi="Times New Roman"/>
        </w:rPr>
      </w:pPr>
      <w:r>
        <w:rPr>
          <w:rFonts w:ascii="Times New Roman" w:hAnsi="Times New Roman"/>
        </w:rPr>
        <w:t>O postupe podľa odsek</w:t>
      </w:r>
      <w:r w:rsidR="00AD3155">
        <w:rPr>
          <w:rFonts w:ascii="Times New Roman" w:hAnsi="Times New Roman"/>
        </w:rPr>
        <w:t>u</w:t>
      </w:r>
      <w:r w:rsidRPr="00FB1F87">
        <w:rPr>
          <w:rFonts w:ascii="Times New Roman" w:hAnsi="Times New Roman"/>
        </w:rPr>
        <w:t xml:space="preserve"> 4</w:t>
      </w:r>
      <w:r>
        <w:rPr>
          <w:rFonts w:ascii="Times New Roman" w:hAnsi="Times New Roman"/>
        </w:rPr>
        <w:t xml:space="preserve"> </w:t>
      </w:r>
      <w:r w:rsidRPr="00FB1F87">
        <w:rPr>
          <w:rFonts w:ascii="Times New Roman" w:hAnsi="Times New Roman"/>
        </w:rPr>
        <w:t>rozhodne na návrh ministerstva spravodlivosti vláda uznesením.</w:t>
      </w:r>
    </w:p>
    <w:p w:rsidR="00FB1F87" w:rsidP="00FB1F87">
      <w:pPr>
        <w:pStyle w:val="Odsekzoznamu"/>
        <w:bidi w:val="0"/>
        <w:ind w:left="0"/>
        <w:contextualSpacing/>
        <w:jc w:val="both"/>
        <w:rPr>
          <w:rFonts w:ascii="Times New Roman" w:hAnsi="Times New Roman"/>
        </w:rPr>
      </w:pPr>
    </w:p>
    <w:p w:rsidR="006C3619" w:rsidP="006C3619">
      <w:pPr>
        <w:pStyle w:val="NormalWeb"/>
        <w:numPr>
          <w:numId w:val="5"/>
        </w:numPr>
        <w:bidi w:val="0"/>
        <w:spacing w:before="0" w:beforeAutospacing="0" w:after="0" w:afterAutospacing="0"/>
        <w:jc w:val="both"/>
      </w:pPr>
      <w:r>
        <w:rPr>
          <w:rFonts w:hint="default"/>
          <w:color w:val="000000"/>
        </w:rPr>
        <w:t>Predchá</w:t>
      </w:r>
      <w:r>
        <w:rPr>
          <w:rFonts w:hint="default"/>
          <w:color w:val="000000"/>
        </w:rPr>
        <w:t>dzajú</w:t>
      </w:r>
      <w:r>
        <w:rPr>
          <w:rFonts w:hint="default"/>
          <w:color w:val="000000"/>
        </w:rPr>
        <w:t>ce schvá</w:t>
      </w:r>
      <w:r>
        <w:rPr>
          <w:rFonts w:hint="default"/>
          <w:color w:val="000000"/>
        </w:rPr>
        <w:t>lenie vlá</w:t>
      </w:r>
      <w:r>
        <w:rPr>
          <w:rFonts w:hint="default"/>
          <w:color w:val="000000"/>
        </w:rPr>
        <w:t>dou sa vyž</w:t>
      </w:r>
      <w:r>
        <w:rPr>
          <w:rFonts w:hint="default"/>
          <w:color w:val="000000"/>
        </w:rPr>
        <w:t>aduje aj na schvá</w:t>
      </w:r>
      <w:r>
        <w:rPr>
          <w:rFonts w:hint="default"/>
          <w:color w:val="000000"/>
        </w:rPr>
        <w:t>lenie postupu pri nadmernom deficite zmluvnej strany</w:t>
      </w:r>
      <w:r w:rsidR="007335C2">
        <w:rPr>
          <w:rFonts w:hint="default"/>
          <w:color w:val="000000"/>
        </w:rPr>
        <w:t xml:space="preserve"> fiš</w:t>
      </w:r>
      <w:r w:rsidR="007335C2">
        <w:rPr>
          <w:rFonts w:hint="default"/>
          <w:color w:val="000000"/>
        </w:rPr>
        <w:t>ká</w:t>
      </w:r>
      <w:r w:rsidR="007335C2">
        <w:rPr>
          <w:rFonts w:hint="default"/>
          <w:color w:val="000000"/>
        </w:rPr>
        <w:t>lnej zmluvy</w:t>
      </w:r>
      <w:r>
        <w:rPr>
          <w:color w:val="000000"/>
        </w:rPr>
        <w:t xml:space="preserve"> via</w:t>
      </w:r>
      <w:r>
        <w:rPr>
          <w:color w:val="000000"/>
        </w:rPr>
        <w:t xml:space="preserve">zanej </w:t>
      </w:r>
      <w:bookmarkStart w:id="1" w:name="_GoBack"/>
      <w:r w:rsidR="00E90041">
        <w:rPr>
          <w:rFonts w:hint="default"/>
          <w:color w:val="000000"/>
        </w:rPr>
        <w:t>ustanovení</w:t>
      </w:r>
      <w:r w:rsidR="00E90041">
        <w:rPr>
          <w:rFonts w:hint="default"/>
          <w:color w:val="000000"/>
        </w:rPr>
        <w:t xml:space="preserve">m </w:t>
      </w:r>
      <w:r>
        <w:rPr>
          <w:rFonts w:hint="default"/>
          <w:color w:val="000000"/>
        </w:rPr>
        <w:t>fiš</w:t>
      </w:r>
      <w:r>
        <w:rPr>
          <w:rFonts w:hint="default"/>
          <w:color w:val="000000"/>
        </w:rPr>
        <w:t>ká</w:t>
      </w:r>
      <w:r>
        <w:rPr>
          <w:rFonts w:hint="default"/>
          <w:color w:val="000000"/>
        </w:rPr>
        <w:t>lnej zmluvy</w:t>
      </w:r>
      <w:r w:rsidR="007335C2">
        <w:rPr>
          <w:rFonts w:hint="default"/>
          <w:color w:val="000000"/>
        </w:rPr>
        <w:t xml:space="preserve"> upravujú</w:t>
      </w:r>
      <w:r w:rsidR="007335C2">
        <w:rPr>
          <w:rFonts w:hint="default"/>
          <w:color w:val="000000"/>
        </w:rPr>
        <w:t>cim povinnosť</w:t>
      </w:r>
      <w:r w:rsidR="007335C2">
        <w:rPr>
          <w:rFonts w:hint="default"/>
          <w:color w:val="000000"/>
        </w:rPr>
        <w:t xml:space="preserve"> zaviesť</w:t>
      </w:r>
      <w:r w:rsidR="007335C2">
        <w:rPr>
          <w:rFonts w:hint="default"/>
          <w:color w:val="000000"/>
        </w:rPr>
        <w:t xml:space="preserve"> fiš</w:t>
      </w:r>
      <w:r w:rsidR="007335C2">
        <w:rPr>
          <w:rFonts w:hint="default"/>
          <w:color w:val="000000"/>
        </w:rPr>
        <w:t>ká</w:t>
      </w:r>
      <w:r w:rsidR="007335C2">
        <w:rPr>
          <w:rFonts w:hint="default"/>
          <w:color w:val="000000"/>
        </w:rPr>
        <w:t>lne pravidlá</w:t>
      </w:r>
      <w:r w:rsidR="007335C2">
        <w:rPr>
          <w:rFonts w:hint="default"/>
          <w:color w:val="000000"/>
        </w:rPr>
        <w:t xml:space="preserve"> a </w:t>
      </w:r>
      <w:r w:rsidR="007335C2">
        <w:rPr>
          <w:rFonts w:hint="default"/>
          <w:color w:val="000000"/>
        </w:rPr>
        <w:t>korekč</w:t>
      </w:r>
      <w:r w:rsidR="007335C2">
        <w:rPr>
          <w:rFonts w:hint="default"/>
          <w:color w:val="000000"/>
        </w:rPr>
        <w:t>ný</w:t>
      </w:r>
      <w:r w:rsidR="007335C2">
        <w:rPr>
          <w:rFonts w:hint="default"/>
          <w:color w:val="000000"/>
        </w:rPr>
        <w:t xml:space="preserve"> mechanizmus</w:t>
      </w:r>
      <w:r w:rsidR="00CC727D">
        <w:rPr>
          <w:color w:val="000000"/>
        </w:rPr>
        <w:t>,</w:t>
      </w:r>
      <w:r w:rsidRPr="007335C2" w:rsidR="007335C2">
        <w:rPr>
          <w:color w:val="000000"/>
          <w:vertAlign w:val="superscript"/>
        </w:rPr>
        <w:t>2</w:t>
      </w:r>
      <w:r w:rsidR="007335C2">
        <w:rPr>
          <w:color w:val="000000"/>
        </w:rPr>
        <w:t>)</w:t>
      </w:r>
      <w:r>
        <w:rPr>
          <w:color w:val="000000"/>
        </w:rPr>
        <w:t xml:space="preserve"> ak </w:t>
      </w:r>
      <w:r>
        <w:rPr>
          <w:rFonts w:hint="default"/>
          <w:color w:val="000000"/>
        </w:rPr>
        <w:t>Euró</w:t>
      </w:r>
      <w:r>
        <w:rPr>
          <w:rFonts w:hint="default"/>
          <w:color w:val="000000"/>
        </w:rPr>
        <w:t>pska komisia dospeje k </w:t>
      </w:r>
      <w:r>
        <w:rPr>
          <w:rFonts w:hint="default"/>
          <w:color w:val="000000"/>
        </w:rPr>
        <w:t>zá</w:t>
      </w:r>
      <w:r>
        <w:rPr>
          <w:rFonts w:hint="default"/>
          <w:color w:val="000000"/>
        </w:rPr>
        <w:t>veru, ž</w:t>
      </w:r>
      <w:r>
        <w:rPr>
          <w:rFonts w:hint="default"/>
          <w:color w:val="000000"/>
        </w:rPr>
        <w:t>e tá</w:t>
      </w:r>
      <w:r>
        <w:rPr>
          <w:rFonts w:hint="default"/>
          <w:color w:val="000000"/>
        </w:rPr>
        <w:t>to zmluvná</w:t>
      </w:r>
      <w:r>
        <w:rPr>
          <w:rFonts w:hint="default"/>
          <w:color w:val="000000"/>
        </w:rPr>
        <w:t xml:space="preserve"> strana poruš</w:t>
      </w:r>
      <w:r>
        <w:rPr>
          <w:rFonts w:hint="default"/>
          <w:color w:val="000000"/>
        </w:rPr>
        <w:t>ila krité</w:t>
      </w:r>
      <w:r>
        <w:rPr>
          <w:rFonts w:hint="default"/>
          <w:color w:val="000000"/>
        </w:rPr>
        <w:t>rium pre deficit; tý</w:t>
      </w:r>
      <w:r>
        <w:rPr>
          <w:rFonts w:hint="default"/>
          <w:color w:val="000000"/>
        </w:rPr>
        <w:t>m nie sú</w:t>
      </w:r>
      <w:r>
        <w:rPr>
          <w:rFonts w:hint="default"/>
          <w:color w:val="000000"/>
        </w:rPr>
        <w:t xml:space="preserve"> dotknuté</w:t>
      </w:r>
      <w:r>
        <w:rPr>
          <w:rFonts w:hint="default"/>
          <w:color w:val="000000"/>
        </w:rPr>
        <w:t xml:space="preserve"> ustanovenia fiš</w:t>
      </w:r>
      <w:r>
        <w:rPr>
          <w:rFonts w:hint="default"/>
          <w:color w:val="000000"/>
        </w:rPr>
        <w:t>ká</w:t>
      </w:r>
      <w:r>
        <w:rPr>
          <w:rFonts w:hint="default"/>
          <w:color w:val="000000"/>
        </w:rPr>
        <w:t>lnej zmluvy</w:t>
      </w:r>
      <w:r w:rsidR="00FB61CD">
        <w:rPr>
          <w:color w:val="000000"/>
        </w:rPr>
        <w:t>.</w:t>
      </w:r>
      <w:r>
        <w:rPr>
          <w:rStyle w:val="FootnoteReference"/>
          <w:color w:val="000000"/>
          <w:rtl w:val="0"/>
        </w:rPr>
        <w:footnoteReference w:id="6"/>
      </w:r>
      <w:r>
        <w:rPr>
          <w:color w:val="000000"/>
        </w:rPr>
        <w:t xml:space="preserve">)  </w:t>
      </w:r>
    </w:p>
    <w:p w:rsidR="00E12AD0" w:rsidP="00E12AD0">
      <w:pPr>
        <w:pStyle w:val="NormalWeb"/>
        <w:bidi w:val="0"/>
        <w:spacing w:before="0" w:beforeAutospacing="0" w:after="0" w:afterAutospacing="0"/>
        <w:jc w:val="center"/>
        <w:rPr>
          <w:b/>
          <w:color w:val="000000"/>
        </w:rPr>
      </w:pPr>
      <w:bookmarkEnd w:id="1"/>
    </w:p>
    <w:p w:rsidR="00A43F2F" w:rsidRPr="006B0548" w:rsidP="00E12AD0">
      <w:pPr>
        <w:pStyle w:val="NormalWeb"/>
        <w:bidi w:val="0"/>
        <w:spacing w:before="0" w:beforeAutospacing="0" w:after="0" w:afterAutospacing="0"/>
        <w:jc w:val="center"/>
        <w:rPr>
          <w:rFonts w:hint="default"/>
          <w:b/>
          <w:color w:val="000000"/>
        </w:rPr>
      </w:pPr>
      <w:r w:rsidRPr="006B0548">
        <w:rPr>
          <w:rFonts w:hint="default"/>
          <w:b/>
          <w:color w:val="000000"/>
        </w:rPr>
        <w:t>Č</w:t>
      </w:r>
      <w:r w:rsidRPr="006B0548">
        <w:rPr>
          <w:rFonts w:hint="default"/>
          <w:b/>
          <w:color w:val="000000"/>
        </w:rPr>
        <w:t>l. II</w:t>
      </w:r>
    </w:p>
    <w:p w:rsidR="00337ADE" w:rsidRPr="006B0548" w:rsidP="00E12AD0">
      <w:pPr>
        <w:pStyle w:val="NormalWeb"/>
        <w:bidi w:val="0"/>
        <w:spacing w:before="0" w:beforeAutospacing="0" w:after="0" w:afterAutospacing="0"/>
        <w:jc w:val="center"/>
        <w:rPr>
          <w:b/>
          <w:color w:val="000000"/>
        </w:rPr>
      </w:pPr>
    </w:p>
    <w:p w:rsidR="004C450C" w:rsidRPr="006B0548" w:rsidP="004C450C">
      <w:pPr>
        <w:bidi w:val="0"/>
        <w:jc w:val="both"/>
        <w:rPr>
          <w:rFonts w:ascii="Times New Roman" w:hAnsi="Times New Roman"/>
          <w:iCs/>
        </w:rPr>
      </w:pPr>
      <w:r w:rsidRPr="006B0548">
        <w:rPr>
          <w:rFonts w:ascii="Times New Roman" w:hAnsi="Times New Roman"/>
          <w:iCs/>
        </w:rPr>
        <w:t>Zákon č. 386/2002 Z. z. o štátnom dlhu a štátnych zárukách a ktorým sa dopĺňa zákon č. 291/2002 Z. z. o Štátnej pokladnici a o zmene a doplnení niektorých zákonov v znení zákona č. 442/2003 Z. z., zákona č. 594/2003 Z. z., zákona č. 581/2004 Z. z., zákona č. 468/2005 Z. z., zákona č. 276/2009 Z. z.</w:t>
      </w:r>
      <w:r>
        <w:rPr>
          <w:rFonts w:ascii="Times New Roman" w:hAnsi="Times New Roman"/>
          <w:iCs/>
        </w:rPr>
        <w:t>,</w:t>
      </w:r>
      <w:r w:rsidRPr="006B0548">
        <w:rPr>
          <w:rFonts w:ascii="Times New Roman" w:hAnsi="Times New Roman"/>
          <w:iCs/>
        </w:rPr>
        <w:t xml:space="preserve"> zákona č. 378/2009 Z. z.</w:t>
      </w:r>
      <w:r>
        <w:rPr>
          <w:rFonts w:ascii="Times New Roman" w:hAnsi="Times New Roman"/>
          <w:iCs/>
        </w:rPr>
        <w:t>, zákona č. 381/2010 Z. z., zákona č. 547/2011 Z. z.</w:t>
      </w:r>
      <w:r w:rsidRPr="006B0548">
        <w:rPr>
          <w:rFonts w:ascii="Times New Roman" w:hAnsi="Times New Roman"/>
          <w:iCs/>
        </w:rPr>
        <w:t xml:space="preserve"> a zákona č. 296/2012 Z. z. sa</w:t>
      </w:r>
      <w:r w:rsidR="00EA0916">
        <w:rPr>
          <w:rFonts w:ascii="Times New Roman" w:hAnsi="Times New Roman"/>
          <w:iCs/>
        </w:rPr>
        <w:t xml:space="preserve"> mení a</w:t>
      </w:r>
      <w:r w:rsidRPr="006B0548">
        <w:rPr>
          <w:rFonts w:ascii="Times New Roman" w:hAnsi="Times New Roman"/>
          <w:iCs/>
        </w:rPr>
        <w:t xml:space="preserve"> dopĺňa takto:</w:t>
      </w:r>
    </w:p>
    <w:p w:rsidR="004C450C" w:rsidRPr="006B0548" w:rsidP="004C450C">
      <w:pPr>
        <w:bidi w:val="0"/>
        <w:jc w:val="both"/>
        <w:rPr>
          <w:rFonts w:ascii="Times New Roman" w:hAnsi="Times New Roman"/>
          <w:iCs/>
        </w:rPr>
      </w:pPr>
    </w:p>
    <w:p w:rsidR="004C450C" w:rsidRPr="006B0548" w:rsidP="004C450C">
      <w:pPr>
        <w:bidi w:val="0"/>
        <w:jc w:val="both"/>
        <w:rPr>
          <w:rFonts w:ascii="Times New Roman" w:hAnsi="Times New Roman"/>
          <w:iCs/>
        </w:rPr>
      </w:pPr>
      <w:r w:rsidR="00EA0916">
        <w:rPr>
          <w:rFonts w:ascii="Times New Roman" w:hAnsi="Times New Roman"/>
          <w:iCs/>
        </w:rPr>
        <w:t xml:space="preserve">1.    </w:t>
      </w:r>
      <w:r w:rsidRPr="006B0548">
        <w:rPr>
          <w:rFonts w:ascii="Times New Roman" w:hAnsi="Times New Roman"/>
          <w:iCs/>
        </w:rPr>
        <w:t>V § 4 ods. 3 sa na konci pripája</w:t>
      </w:r>
      <w:r>
        <w:rPr>
          <w:rFonts w:ascii="Times New Roman" w:hAnsi="Times New Roman"/>
          <w:iCs/>
        </w:rPr>
        <w:t xml:space="preserve"> táto</w:t>
      </w:r>
      <w:r w:rsidRPr="006B0548">
        <w:rPr>
          <w:rFonts w:ascii="Times New Roman" w:hAnsi="Times New Roman"/>
          <w:iCs/>
        </w:rPr>
        <w:t xml:space="preserve"> veta:</w:t>
      </w:r>
    </w:p>
    <w:p w:rsidR="004C450C" w:rsidP="004C450C">
      <w:pPr>
        <w:pStyle w:val="NormalWeb"/>
        <w:bidi w:val="0"/>
        <w:spacing w:before="0" w:beforeAutospacing="0" w:after="0" w:afterAutospacing="0"/>
        <w:jc w:val="both"/>
        <w:rPr>
          <w:iCs/>
          <w:color w:val="000000"/>
        </w:rPr>
      </w:pPr>
      <w:r w:rsidRPr="006B0548">
        <w:rPr>
          <w:rFonts w:hint="default"/>
          <w:iCs/>
          <w:color w:val="000000"/>
        </w:rPr>
        <w:t>„</w:t>
      </w:r>
      <w:r w:rsidRPr="006B0548">
        <w:rPr>
          <w:rFonts w:hint="default"/>
          <w:iCs/>
          <w:color w:val="000000"/>
        </w:rPr>
        <w:t>Zdroje financovania zí</w:t>
      </w:r>
      <w:r w:rsidRPr="006B0548">
        <w:rPr>
          <w:rFonts w:hint="default"/>
          <w:iCs/>
          <w:color w:val="000000"/>
        </w:rPr>
        <w:t>skané</w:t>
      </w:r>
      <w:r w:rsidRPr="006B0548">
        <w:rPr>
          <w:rFonts w:hint="default"/>
          <w:iCs/>
          <w:color w:val="000000"/>
        </w:rPr>
        <w:t xml:space="preserve"> </w:t>
      </w:r>
      <w:r>
        <w:rPr>
          <w:iCs/>
          <w:color w:val="000000"/>
        </w:rPr>
        <w:t xml:space="preserve">na financovanie </w:t>
      </w:r>
      <w:r w:rsidRPr="006B0548">
        <w:rPr>
          <w:rFonts w:hint="default"/>
          <w:iCs/>
          <w:color w:val="000000"/>
        </w:rPr>
        <w:t>š</w:t>
      </w:r>
      <w:r w:rsidRPr="006B0548">
        <w:rPr>
          <w:rFonts w:hint="default"/>
          <w:iCs/>
          <w:color w:val="000000"/>
        </w:rPr>
        <w:t>pecifický</w:t>
      </w:r>
      <w:r w:rsidRPr="006B0548">
        <w:rPr>
          <w:rFonts w:hint="default"/>
          <w:iCs/>
          <w:color w:val="000000"/>
        </w:rPr>
        <w:t>ch š</w:t>
      </w:r>
      <w:r w:rsidRPr="006B0548">
        <w:rPr>
          <w:rFonts w:hint="default"/>
          <w:iCs/>
          <w:color w:val="000000"/>
        </w:rPr>
        <w:t>tá</w:t>
      </w:r>
      <w:r w:rsidRPr="006B0548">
        <w:rPr>
          <w:rFonts w:hint="default"/>
          <w:iCs/>
          <w:color w:val="000000"/>
        </w:rPr>
        <w:t>tnych zá</w:t>
      </w:r>
      <w:r w:rsidRPr="006B0548">
        <w:rPr>
          <w:rFonts w:hint="default"/>
          <w:iCs/>
          <w:color w:val="000000"/>
        </w:rPr>
        <w:t>ruk a splatenia zá</w:t>
      </w:r>
      <w:r w:rsidRPr="006B0548">
        <w:rPr>
          <w:rFonts w:hint="default"/>
          <w:iCs/>
          <w:color w:val="000000"/>
        </w:rPr>
        <w:t>kladné</w:t>
      </w:r>
      <w:r w:rsidRPr="006B0548">
        <w:rPr>
          <w:rFonts w:hint="default"/>
          <w:iCs/>
          <w:color w:val="000000"/>
        </w:rPr>
        <w:t>ho imania v </w:t>
      </w:r>
      <w:r w:rsidRPr="006B0548">
        <w:rPr>
          <w:rFonts w:hint="default"/>
          <w:iCs/>
          <w:color w:val="000000"/>
        </w:rPr>
        <w:t>subjektoch založ</w:t>
      </w:r>
      <w:r w:rsidRPr="006B0548">
        <w:rPr>
          <w:rFonts w:hint="default"/>
          <w:iCs/>
          <w:color w:val="000000"/>
        </w:rPr>
        <w:t>ený</w:t>
      </w:r>
      <w:r w:rsidRPr="006B0548">
        <w:rPr>
          <w:rFonts w:hint="default"/>
          <w:iCs/>
          <w:color w:val="000000"/>
        </w:rPr>
        <w:t>ch na zabezpeč</w:t>
      </w:r>
      <w:r w:rsidRPr="006B0548">
        <w:rPr>
          <w:rFonts w:hint="default"/>
          <w:iCs/>
          <w:color w:val="000000"/>
        </w:rPr>
        <w:t>enie finanč</w:t>
      </w:r>
      <w:r w:rsidRPr="006B0548">
        <w:rPr>
          <w:rFonts w:hint="default"/>
          <w:iCs/>
          <w:color w:val="000000"/>
        </w:rPr>
        <w:t>nej stability eurozó</w:t>
      </w:r>
      <w:r w:rsidRPr="006B0548">
        <w:rPr>
          <w:rFonts w:hint="default"/>
          <w:iCs/>
          <w:color w:val="000000"/>
        </w:rPr>
        <w:t>ny, o </w:t>
      </w:r>
      <w:r w:rsidRPr="006B0548">
        <w:rPr>
          <w:rFonts w:hint="default"/>
          <w:iCs/>
          <w:color w:val="000000"/>
        </w:rPr>
        <w:t>ktorý</w:t>
      </w:r>
      <w:r w:rsidRPr="006B0548">
        <w:rPr>
          <w:rFonts w:hint="default"/>
          <w:iCs/>
          <w:color w:val="000000"/>
        </w:rPr>
        <w:t>ch použ</w:t>
      </w:r>
      <w:r w:rsidRPr="006B0548">
        <w:rPr>
          <w:rFonts w:hint="default"/>
          <w:iCs/>
          <w:color w:val="000000"/>
        </w:rPr>
        <w:t>ití</w:t>
      </w:r>
      <w:r w:rsidRPr="006B0548">
        <w:rPr>
          <w:rFonts w:hint="default"/>
          <w:iCs/>
          <w:color w:val="000000"/>
        </w:rPr>
        <w:t xml:space="preserve"> rozhodne</w:t>
      </w:r>
      <w:r w:rsidR="00FB61CD">
        <w:rPr>
          <w:iCs/>
          <w:color w:val="000000"/>
        </w:rPr>
        <w:t xml:space="preserve"> </w:t>
      </w:r>
      <w:r w:rsidRPr="006B0548">
        <w:rPr>
          <w:rFonts w:hint="default"/>
          <w:iCs/>
          <w:color w:val="000000"/>
        </w:rPr>
        <w:t>vlá</w:t>
      </w:r>
      <w:r w:rsidRPr="006B0548">
        <w:rPr>
          <w:rFonts w:hint="default"/>
          <w:iCs/>
          <w:color w:val="000000"/>
        </w:rPr>
        <w:t>da</w:t>
      </w:r>
      <w:r w:rsidR="00EA0916">
        <w:rPr>
          <w:rFonts w:hint="default"/>
          <w:iCs/>
          <w:color w:val="000000"/>
        </w:rPr>
        <w:t xml:space="preserve"> Slovenskej republiky (ď</w:t>
      </w:r>
      <w:r w:rsidR="00EA0916">
        <w:rPr>
          <w:rFonts w:hint="default"/>
          <w:iCs/>
          <w:color w:val="000000"/>
        </w:rPr>
        <w:t>alej len „</w:t>
      </w:r>
      <w:r w:rsidR="00EA0916">
        <w:rPr>
          <w:rFonts w:hint="default"/>
          <w:iCs/>
          <w:color w:val="000000"/>
        </w:rPr>
        <w:t>vlá</w:t>
      </w:r>
      <w:r w:rsidR="00EA0916">
        <w:rPr>
          <w:rFonts w:hint="default"/>
          <w:iCs/>
          <w:color w:val="000000"/>
        </w:rPr>
        <w:t>da“</w:t>
      </w:r>
      <w:r w:rsidR="00EA0916">
        <w:rPr>
          <w:rFonts w:hint="default"/>
          <w:iCs/>
          <w:color w:val="000000"/>
        </w:rPr>
        <w:t>)</w:t>
      </w:r>
      <w:r w:rsidR="00FB61CD">
        <w:rPr>
          <w:rFonts w:hint="default"/>
          <w:iCs/>
          <w:color w:val="000000"/>
        </w:rPr>
        <w:t xml:space="preserve"> uznesení</w:t>
      </w:r>
      <w:r w:rsidR="00FB61CD">
        <w:rPr>
          <w:rFonts w:hint="default"/>
          <w:iCs/>
          <w:color w:val="000000"/>
        </w:rPr>
        <w:t>m</w:t>
      </w:r>
      <w:r w:rsidRPr="006B0548">
        <w:rPr>
          <w:rFonts w:hint="default"/>
          <w:iCs/>
          <w:color w:val="000000"/>
        </w:rPr>
        <w:t>, tvoria š</w:t>
      </w:r>
      <w:r w:rsidRPr="006B0548">
        <w:rPr>
          <w:rFonts w:hint="default"/>
          <w:iCs/>
          <w:color w:val="000000"/>
        </w:rPr>
        <w:t>tá</w:t>
      </w:r>
      <w:r w:rsidRPr="006B0548">
        <w:rPr>
          <w:rFonts w:hint="default"/>
          <w:iCs/>
          <w:color w:val="000000"/>
        </w:rPr>
        <w:t>tne finanč</w:t>
      </w:r>
      <w:r w:rsidRPr="006B0548">
        <w:rPr>
          <w:rFonts w:hint="default"/>
          <w:iCs/>
          <w:color w:val="000000"/>
        </w:rPr>
        <w:t>n</w:t>
      </w:r>
      <w:r w:rsidRPr="006B0548">
        <w:rPr>
          <w:rFonts w:hint="default"/>
          <w:iCs/>
          <w:color w:val="000000"/>
        </w:rPr>
        <w:t>é</w:t>
      </w:r>
      <w:r w:rsidRPr="006B0548">
        <w:rPr>
          <w:rFonts w:hint="default"/>
          <w:iCs/>
          <w:color w:val="000000"/>
        </w:rPr>
        <w:t xml:space="preserve"> aktí</w:t>
      </w:r>
      <w:r w:rsidRPr="006B0548">
        <w:rPr>
          <w:rFonts w:hint="default"/>
          <w:iCs/>
          <w:color w:val="000000"/>
        </w:rPr>
        <w:t>va</w:t>
      </w:r>
      <w:r w:rsidR="00BE591E">
        <w:rPr>
          <w:iCs/>
          <w:color w:val="000000"/>
        </w:rPr>
        <w:t>.</w:t>
      </w:r>
      <w:r w:rsidRPr="00BE591E">
        <w:rPr>
          <w:iCs/>
          <w:color w:val="000000"/>
          <w:vertAlign w:val="superscript"/>
        </w:rPr>
        <w:t>5ab</w:t>
      </w:r>
      <w:r w:rsidR="00CC727D">
        <w:rPr>
          <w:iCs/>
          <w:color w:val="000000"/>
        </w:rPr>
        <w:t>)</w:t>
      </w:r>
      <w:r w:rsidR="00BE591E">
        <w:rPr>
          <w:rFonts w:hint="default"/>
          <w:iCs/>
          <w:color w:val="000000"/>
        </w:rPr>
        <w:t>“</w:t>
      </w:r>
      <w:r w:rsidR="007335C2">
        <w:rPr>
          <w:iCs/>
          <w:color w:val="000000"/>
        </w:rPr>
        <w:t>.</w:t>
      </w:r>
    </w:p>
    <w:p w:rsidR="004C450C" w:rsidP="004C450C">
      <w:pPr>
        <w:pStyle w:val="NormalWeb"/>
        <w:bidi w:val="0"/>
        <w:spacing w:before="0" w:beforeAutospacing="0" w:after="0" w:afterAutospacing="0"/>
        <w:jc w:val="both"/>
        <w:rPr>
          <w:iCs/>
          <w:color w:val="000000"/>
        </w:rPr>
      </w:pPr>
    </w:p>
    <w:p w:rsidR="004C450C" w:rsidP="004C450C">
      <w:pPr>
        <w:pStyle w:val="NormalWeb"/>
        <w:bidi w:val="0"/>
        <w:spacing w:before="0" w:beforeAutospacing="0" w:after="0" w:afterAutospacing="0"/>
        <w:jc w:val="both"/>
        <w:rPr>
          <w:iCs/>
          <w:color w:val="000000"/>
        </w:rPr>
      </w:pPr>
      <w:r>
        <w:rPr>
          <w:rFonts w:hint="default"/>
          <w:iCs/>
          <w:color w:val="000000"/>
        </w:rPr>
        <w:t>Pozná</w:t>
      </w:r>
      <w:r>
        <w:rPr>
          <w:rFonts w:hint="default"/>
          <w:iCs/>
          <w:color w:val="000000"/>
        </w:rPr>
        <w:t>mka pod č</w:t>
      </w:r>
      <w:r>
        <w:rPr>
          <w:rFonts w:hint="default"/>
          <w:iCs/>
          <w:color w:val="000000"/>
        </w:rPr>
        <w:t>iarou k</w:t>
      </w:r>
      <w:r w:rsidR="00BB3434">
        <w:rPr>
          <w:iCs/>
          <w:color w:val="000000"/>
        </w:rPr>
        <w:t> </w:t>
      </w:r>
      <w:r>
        <w:rPr>
          <w:iCs/>
          <w:color w:val="000000"/>
        </w:rPr>
        <w:t>odkazu</w:t>
      </w:r>
      <w:r w:rsidR="00BB3434">
        <w:rPr>
          <w:iCs/>
          <w:color w:val="000000"/>
          <w:vertAlign w:val="superscript"/>
        </w:rPr>
        <w:t xml:space="preserve"> </w:t>
      </w:r>
      <w:r w:rsidR="00BB3434">
        <w:rPr>
          <w:iCs/>
          <w:color w:val="000000"/>
        </w:rPr>
        <w:t>5ab</w:t>
      </w:r>
      <w:r w:rsidR="00F65295">
        <w:rPr>
          <w:iCs/>
          <w:color w:val="000000"/>
        </w:rPr>
        <w:t xml:space="preserve"> </w:t>
      </w:r>
      <w:r>
        <w:rPr>
          <w:iCs/>
          <w:color w:val="000000"/>
        </w:rPr>
        <w:t>znie:</w:t>
      </w:r>
    </w:p>
    <w:p w:rsidR="004C450C" w:rsidRPr="006B0548" w:rsidP="004C450C">
      <w:pPr>
        <w:pStyle w:val="NormalWeb"/>
        <w:bidi w:val="0"/>
        <w:spacing w:before="0" w:beforeAutospacing="0" w:after="0" w:afterAutospacing="0"/>
        <w:jc w:val="both"/>
        <w:rPr>
          <w:color w:val="000000"/>
        </w:rPr>
      </w:pPr>
      <w:r w:rsidR="00E90041">
        <w:rPr>
          <w:rFonts w:hint="default"/>
          <w:iCs/>
          <w:color w:val="000000"/>
        </w:rPr>
        <w:t>„</w:t>
      </w:r>
      <w:r w:rsidRPr="00FB61CD" w:rsidR="007335C2">
        <w:rPr>
          <w:iCs/>
          <w:color w:val="000000"/>
          <w:vertAlign w:val="superscript"/>
        </w:rPr>
        <w:t>5ab</w:t>
      </w:r>
      <w:r w:rsidR="00CC727D">
        <w:rPr>
          <w:iCs/>
          <w:color w:val="000000"/>
        </w:rPr>
        <w:t>)</w:t>
      </w:r>
      <w:r>
        <w:rPr>
          <w:iCs/>
          <w:color w:val="000000"/>
        </w:rPr>
        <w:t xml:space="preserve"> </w:t>
      </w:r>
      <w:r w:rsidRPr="006B0548">
        <w:rPr>
          <w:rFonts w:hint="default"/>
          <w:iCs/>
          <w:color w:val="000000"/>
        </w:rPr>
        <w:t>§</w:t>
      </w:r>
      <w:r w:rsidRPr="006B0548">
        <w:rPr>
          <w:rFonts w:hint="default"/>
          <w:iCs/>
          <w:color w:val="000000"/>
        </w:rPr>
        <w:t xml:space="preserve"> 13 ods. 1 pí</w:t>
      </w:r>
      <w:r w:rsidRPr="006B0548">
        <w:rPr>
          <w:rFonts w:hint="default"/>
          <w:iCs/>
          <w:color w:val="000000"/>
        </w:rPr>
        <w:t>sm. f) zá</w:t>
      </w:r>
      <w:r w:rsidRPr="006B0548">
        <w:rPr>
          <w:rFonts w:hint="default"/>
          <w:iCs/>
          <w:color w:val="000000"/>
        </w:rPr>
        <w:t>kona č</w:t>
      </w:r>
      <w:r w:rsidRPr="006B0548">
        <w:rPr>
          <w:rFonts w:hint="default"/>
          <w:iCs/>
          <w:color w:val="000000"/>
        </w:rPr>
        <w:t>. 523/2004 Z. z.</w:t>
      </w:r>
      <w:r w:rsidR="00E90041">
        <w:rPr>
          <w:rFonts w:hint="default"/>
          <w:iCs/>
          <w:color w:val="000000"/>
        </w:rPr>
        <w:t>“</w:t>
      </w:r>
      <w:r w:rsidRPr="006B0548">
        <w:rPr>
          <w:iCs/>
          <w:color w:val="1F497D"/>
        </w:rPr>
        <w:t>.</w:t>
      </w:r>
    </w:p>
    <w:p w:rsidR="004C450C" w:rsidP="00E12AD0">
      <w:pPr>
        <w:bidi w:val="0"/>
        <w:jc w:val="both"/>
        <w:rPr>
          <w:rFonts w:ascii="Times New Roman" w:hAnsi="Times New Roman"/>
        </w:rPr>
      </w:pPr>
    </w:p>
    <w:p w:rsidR="00EA0916" w:rsidP="00E12AD0">
      <w:pPr>
        <w:bidi w:val="0"/>
        <w:jc w:val="both"/>
        <w:rPr>
          <w:rFonts w:ascii="Times New Roman" w:hAnsi="Times New Roman"/>
        </w:rPr>
      </w:pPr>
      <w:r>
        <w:rPr>
          <w:rFonts w:ascii="Times New Roman" w:hAnsi="Times New Roman"/>
        </w:rPr>
        <w:t>2. V §</w:t>
      </w:r>
      <w:r w:rsidR="007335C2">
        <w:rPr>
          <w:rFonts w:ascii="Times New Roman" w:hAnsi="Times New Roman"/>
        </w:rPr>
        <w:t xml:space="preserve"> </w:t>
      </w:r>
      <w:r>
        <w:rPr>
          <w:rFonts w:ascii="Times New Roman" w:hAnsi="Times New Roman"/>
        </w:rPr>
        <w:t>9 ods. 1 sa slová „vládou Slovenskej republiky (ďalej len „vláda“)“ nahrádzajú slovom „vládou“.</w:t>
      </w:r>
    </w:p>
    <w:p w:rsidR="00337ADE" w:rsidP="00E12AD0">
      <w:pPr>
        <w:pStyle w:val="NormalWeb"/>
        <w:bidi w:val="0"/>
        <w:spacing w:before="0" w:beforeAutospacing="0" w:after="0" w:afterAutospacing="0"/>
        <w:jc w:val="center"/>
        <w:rPr>
          <w:b/>
          <w:color w:val="000000"/>
        </w:rPr>
      </w:pPr>
    </w:p>
    <w:p w:rsidR="00337ADE" w:rsidRPr="006B0548" w:rsidP="00E12AD0">
      <w:pPr>
        <w:pStyle w:val="NormalWeb"/>
        <w:bidi w:val="0"/>
        <w:spacing w:before="0" w:beforeAutospacing="0" w:after="0" w:afterAutospacing="0"/>
        <w:jc w:val="center"/>
        <w:rPr>
          <w:b/>
          <w:color w:val="000000"/>
        </w:rPr>
      </w:pPr>
      <w:r w:rsidRPr="006B0548">
        <w:rPr>
          <w:rFonts w:hint="default"/>
          <w:b/>
          <w:color w:val="000000"/>
        </w:rPr>
        <w:t>Č</w:t>
      </w:r>
      <w:r w:rsidRPr="006B0548">
        <w:rPr>
          <w:rFonts w:hint="default"/>
          <w:b/>
          <w:color w:val="000000"/>
        </w:rPr>
        <w:t>l. I</w:t>
      </w:r>
      <w:r w:rsidR="00EA0916">
        <w:rPr>
          <w:b/>
          <w:color w:val="000000"/>
        </w:rPr>
        <w:t>II</w:t>
      </w:r>
    </w:p>
    <w:p w:rsidR="00843A69" w:rsidRPr="006B0548" w:rsidP="00E12AD0">
      <w:pPr>
        <w:pStyle w:val="NormalWeb"/>
        <w:bidi w:val="0"/>
        <w:spacing w:before="0" w:beforeAutospacing="0" w:after="0" w:afterAutospacing="0"/>
        <w:rPr>
          <w:color w:val="000000"/>
        </w:rPr>
      </w:pPr>
    </w:p>
    <w:p w:rsidR="00A43F2F" w:rsidRPr="006B0548" w:rsidP="00E12AD0">
      <w:pPr>
        <w:pStyle w:val="NormalWeb"/>
        <w:bidi w:val="0"/>
        <w:spacing w:before="0" w:beforeAutospacing="0" w:after="0" w:afterAutospacing="0"/>
        <w:rPr>
          <w:rFonts w:hint="default"/>
          <w:color w:val="000000"/>
        </w:rPr>
      </w:pPr>
      <w:r w:rsidRPr="006B0548">
        <w:rPr>
          <w:rFonts w:hint="default"/>
          <w:color w:val="000000"/>
        </w:rPr>
        <w:t>Tento zá</w:t>
      </w:r>
      <w:r w:rsidRPr="006B0548">
        <w:rPr>
          <w:rFonts w:hint="default"/>
          <w:color w:val="000000"/>
        </w:rPr>
        <w:t>kon nadobú</w:t>
      </w:r>
      <w:r w:rsidRPr="006B0548">
        <w:rPr>
          <w:rFonts w:hint="default"/>
          <w:color w:val="000000"/>
        </w:rPr>
        <w:t>da úč</w:t>
      </w:r>
      <w:r w:rsidRPr="006B0548">
        <w:rPr>
          <w:rFonts w:hint="default"/>
          <w:color w:val="000000"/>
        </w:rPr>
        <w:t>innosť</w:t>
      </w:r>
      <w:r w:rsidRPr="006B0548">
        <w:rPr>
          <w:rFonts w:hint="default"/>
          <w:color w:val="000000"/>
        </w:rPr>
        <w:t xml:space="preserve"> dň</w:t>
      </w:r>
      <w:r w:rsidRPr="006B0548">
        <w:rPr>
          <w:rFonts w:hint="default"/>
          <w:color w:val="000000"/>
        </w:rPr>
        <w:t>om vyhlá</w:t>
      </w:r>
      <w:r w:rsidRPr="006B0548">
        <w:rPr>
          <w:rFonts w:hint="default"/>
          <w:color w:val="000000"/>
        </w:rPr>
        <w:t>senia.</w:t>
      </w:r>
    </w:p>
    <w:p w:rsidR="00A43F2F" w:rsidP="00EA0916">
      <w:pPr>
        <w:bidi w:val="0"/>
        <w:rPr>
          <w:rFonts w:ascii="Times New Roman" w:hAnsi="Times New Roman"/>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34" w:rsidP="00392EB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B3434" w:rsidP="00843A6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34" w:rsidP="00392EB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70D9D">
      <w:rPr>
        <w:rStyle w:val="PageNumber"/>
        <w:rFonts w:ascii="Times New Roman" w:hAnsi="Times New Roman"/>
        <w:noProof/>
      </w:rPr>
      <w:t>1</w:t>
    </w:r>
    <w:r>
      <w:rPr>
        <w:rStyle w:val="PageNumber"/>
        <w:rFonts w:ascii="Times New Roman" w:hAnsi="Times New Roman"/>
      </w:rPr>
      <w:fldChar w:fldCharType="end"/>
    </w:r>
  </w:p>
  <w:p w:rsidR="00BB3434" w:rsidP="00843A69">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2C">
      <w:pPr>
        <w:bidi w:val="0"/>
        <w:rPr>
          <w:rFonts w:ascii="Times New Roman" w:hAnsi="Times New Roman"/>
        </w:rPr>
      </w:pPr>
      <w:r>
        <w:rPr>
          <w:rFonts w:ascii="Times New Roman" w:hAnsi="Times New Roman"/>
        </w:rPr>
        <w:separator/>
      </w:r>
    </w:p>
  </w:footnote>
  <w:footnote w:type="continuationSeparator" w:id="1">
    <w:p w:rsidR="00DB702C">
      <w:pPr>
        <w:bidi w:val="0"/>
        <w:rPr>
          <w:rFonts w:ascii="Times New Roman" w:hAnsi="Times New Roman"/>
        </w:rPr>
      </w:pPr>
      <w:r>
        <w:rPr>
          <w:rFonts w:ascii="Times New Roman" w:hAnsi="Times New Roman"/>
        </w:rPr>
        <w:continuationSeparator/>
      </w:r>
    </w:p>
  </w:footnote>
  <w:footnote w:id="2">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w:t>
      </w:r>
      <w:r w:rsidRPr="00FD5DF5" w:rsidR="00BB3434">
        <w:rPr>
          <w:rFonts w:ascii="Times New Roman" w:hAnsi="Times New Roman"/>
          <w:sz w:val="18"/>
          <w:szCs w:val="18"/>
        </w:rPr>
        <w:t>Zmluva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(oznámenie Ministerstva zahraničných vecí Slovenskej republiky č. .../2012 Z. z.).</w:t>
      </w:r>
    </w:p>
  </w:footnote>
  <w:footnote w:id="3">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Čl. 3 ods. 2 Zmluvy o stabilite, koordinácii a správe v hospodárskej a menovej únii (oznámenie Ministerstva zahraničných vecí Slovenskej republiky č. .../2012 Z. z.).</w:t>
      </w:r>
    </w:p>
  </w:footnote>
  <w:footnote w:id="4">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Rozhodnutie Rady z 1. decembra 2009, ktorým sa ustanovujú opatrenia na vykonávanie rozhodnutia </w:t>
      </w:r>
      <w:r w:rsidRPr="000133DE" w:rsidR="00BB3434">
        <w:rPr>
          <w:rFonts w:ascii="Times New Roman" w:hAnsi="Times New Roman"/>
        </w:rPr>
        <w:t>Európskej rady o vykonávaní predsedníctva Rady a o predsedníctve prípravných orgánov Rady (2009/908/EÚ)</w:t>
      </w:r>
      <w:r w:rsidRPr="000133DE" w:rsidR="000133DE">
        <w:rPr>
          <w:rFonts w:ascii="Times New Roman" w:hAnsi="Times New Roman"/>
        </w:rPr>
        <w:t xml:space="preserve"> (Ú. v. EÚ L 322, 9.12.2009)</w:t>
      </w:r>
      <w:r w:rsidRPr="000133DE" w:rsidR="00BB3434">
        <w:rPr>
          <w:rFonts w:ascii="Times New Roman" w:hAnsi="Times New Roman"/>
        </w:rPr>
        <w:t>.</w:t>
      </w:r>
    </w:p>
  </w:footnote>
  <w:footnote w:id="5">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Čl. 8 ods. 1 Zmluvy o stabilite, koordinácii a správe v hospodárskej a menovej únii (oznámenie Ministerstva zahraničných vecí Slovenskej republiky č. .../2012 Z. z.).</w:t>
      </w:r>
    </w:p>
  </w:footnote>
  <w:footnote w:id="6">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Čl. 7 Zmluvy o stabilite, koordinácii a správe v hospodárskej a menovej únii (oznámenie Ministerstva zahraničných vecí Slovenskej republiky č. .../2012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173"/>
    <w:multiLevelType w:val="hybridMultilevel"/>
    <w:tmpl w:val="6AEA091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17E4B20"/>
    <w:multiLevelType w:val="hybridMultilevel"/>
    <w:tmpl w:val="664270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6D05AB7"/>
    <w:multiLevelType w:val="hybridMultilevel"/>
    <w:tmpl w:val="068437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6A056C0"/>
    <w:multiLevelType w:val="hybridMultilevel"/>
    <w:tmpl w:val="D390CFC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F112094"/>
    <w:multiLevelType w:val="hybridMultilevel"/>
    <w:tmpl w:val="D0F49696"/>
    <w:lvl w:ilvl="0">
      <w:start w:val="1"/>
      <w:numFmt w:val="decimal"/>
      <w:lvlText w:val="(%1)"/>
      <w:lvlJc w:val="left"/>
      <w:pPr>
        <w:ind w:left="720" w:hanging="360"/>
      </w:pPr>
      <w:rPr>
        <w:rFonts w:ascii="Times New Roman" w:hAnsi="Times New Roman"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350288D"/>
    <w:multiLevelType w:val="hybridMultilevel"/>
    <w:tmpl w:val="E9667C4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1FF3C13"/>
    <w:multiLevelType w:val="hybridMultilevel"/>
    <w:tmpl w:val="E390C07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6E404B7C"/>
    <w:multiLevelType w:val="hybridMultilevel"/>
    <w:tmpl w:val="A7D41D7A"/>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
    <w:nsid w:val="70CA4B08"/>
    <w:multiLevelType w:val="hybridMultilevel"/>
    <w:tmpl w:val="943E825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3"/>
  </w:num>
  <w:num w:numId="2">
    <w:abstractNumId w:val="0"/>
  </w:num>
  <w:num w:numId="3">
    <w:abstractNumId w:val="2"/>
  </w:num>
  <w:num w:numId="4">
    <w:abstractNumId w:val="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A43F2F"/>
    <w:rsid w:val="00005974"/>
    <w:rsid w:val="000133DE"/>
    <w:rsid w:val="00016936"/>
    <w:rsid w:val="000458BD"/>
    <w:rsid w:val="00050ADB"/>
    <w:rsid w:val="00071074"/>
    <w:rsid w:val="0009355A"/>
    <w:rsid w:val="000A1CCD"/>
    <w:rsid w:val="000A7F7A"/>
    <w:rsid w:val="000C3264"/>
    <w:rsid w:val="000C5099"/>
    <w:rsid w:val="000E2A43"/>
    <w:rsid w:val="00166385"/>
    <w:rsid w:val="00192799"/>
    <w:rsid w:val="001A1413"/>
    <w:rsid w:val="001A61CC"/>
    <w:rsid w:val="001C5A22"/>
    <w:rsid w:val="001C65D2"/>
    <w:rsid w:val="001D40F4"/>
    <w:rsid w:val="001F5100"/>
    <w:rsid w:val="0021547C"/>
    <w:rsid w:val="0024313F"/>
    <w:rsid w:val="002739CC"/>
    <w:rsid w:val="002D5BB7"/>
    <w:rsid w:val="002E4F33"/>
    <w:rsid w:val="002E4FAF"/>
    <w:rsid w:val="00324160"/>
    <w:rsid w:val="0033233F"/>
    <w:rsid w:val="00337ADE"/>
    <w:rsid w:val="00346F92"/>
    <w:rsid w:val="00371709"/>
    <w:rsid w:val="00374B3B"/>
    <w:rsid w:val="00386464"/>
    <w:rsid w:val="00392EB2"/>
    <w:rsid w:val="003B07E0"/>
    <w:rsid w:val="003C49C0"/>
    <w:rsid w:val="003E2716"/>
    <w:rsid w:val="00434355"/>
    <w:rsid w:val="00480D6A"/>
    <w:rsid w:val="004C450C"/>
    <w:rsid w:val="005003F7"/>
    <w:rsid w:val="00541557"/>
    <w:rsid w:val="00544790"/>
    <w:rsid w:val="006369AB"/>
    <w:rsid w:val="00670D9D"/>
    <w:rsid w:val="006824C7"/>
    <w:rsid w:val="0069735C"/>
    <w:rsid w:val="006B0548"/>
    <w:rsid w:val="006B52B2"/>
    <w:rsid w:val="006C3619"/>
    <w:rsid w:val="006D2D06"/>
    <w:rsid w:val="006E6DC9"/>
    <w:rsid w:val="0073300A"/>
    <w:rsid w:val="007335C2"/>
    <w:rsid w:val="00751DD9"/>
    <w:rsid w:val="00773382"/>
    <w:rsid w:val="00773F9B"/>
    <w:rsid w:val="007C4565"/>
    <w:rsid w:val="007E1BB3"/>
    <w:rsid w:val="00832BB5"/>
    <w:rsid w:val="0084020D"/>
    <w:rsid w:val="00843A69"/>
    <w:rsid w:val="00897900"/>
    <w:rsid w:val="008C0313"/>
    <w:rsid w:val="008D23F8"/>
    <w:rsid w:val="008E3918"/>
    <w:rsid w:val="00942C17"/>
    <w:rsid w:val="00945ECD"/>
    <w:rsid w:val="00973F18"/>
    <w:rsid w:val="009D45C0"/>
    <w:rsid w:val="009F56A0"/>
    <w:rsid w:val="00A148AA"/>
    <w:rsid w:val="00A16F24"/>
    <w:rsid w:val="00A2320D"/>
    <w:rsid w:val="00A42484"/>
    <w:rsid w:val="00A43F2F"/>
    <w:rsid w:val="00A51250"/>
    <w:rsid w:val="00A70902"/>
    <w:rsid w:val="00AD3155"/>
    <w:rsid w:val="00AD4378"/>
    <w:rsid w:val="00AD7054"/>
    <w:rsid w:val="00AE57ED"/>
    <w:rsid w:val="00B32E3C"/>
    <w:rsid w:val="00B8412F"/>
    <w:rsid w:val="00B93F3C"/>
    <w:rsid w:val="00BA4011"/>
    <w:rsid w:val="00BA5BD4"/>
    <w:rsid w:val="00BB3434"/>
    <w:rsid w:val="00BD0BE9"/>
    <w:rsid w:val="00BD3F5F"/>
    <w:rsid w:val="00BD770D"/>
    <w:rsid w:val="00BE4443"/>
    <w:rsid w:val="00BE591E"/>
    <w:rsid w:val="00C15032"/>
    <w:rsid w:val="00C31DD3"/>
    <w:rsid w:val="00C43DA2"/>
    <w:rsid w:val="00C93FC1"/>
    <w:rsid w:val="00CC727D"/>
    <w:rsid w:val="00CD7B88"/>
    <w:rsid w:val="00D37A1F"/>
    <w:rsid w:val="00DA0C45"/>
    <w:rsid w:val="00DB702C"/>
    <w:rsid w:val="00DC1792"/>
    <w:rsid w:val="00DD1D1A"/>
    <w:rsid w:val="00E03889"/>
    <w:rsid w:val="00E0526B"/>
    <w:rsid w:val="00E12AD0"/>
    <w:rsid w:val="00E42F87"/>
    <w:rsid w:val="00E63DEA"/>
    <w:rsid w:val="00E90041"/>
    <w:rsid w:val="00EA0916"/>
    <w:rsid w:val="00EC2CC9"/>
    <w:rsid w:val="00ED0B58"/>
    <w:rsid w:val="00EF5995"/>
    <w:rsid w:val="00F07155"/>
    <w:rsid w:val="00F14DAF"/>
    <w:rsid w:val="00F313E3"/>
    <w:rsid w:val="00F35C73"/>
    <w:rsid w:val="00F36DE4"/>
    <w:rsid w:val="00F42432"/>
    <w:rsid w:val="00F65295"/>
    <w:rsid w:val="00F7209A"/>
    <w:rsid w:val="00F853E6"/>
    <w:rsid w:val="00FA0DC0"/>
    <w:rsid w:val="00FB1F87"/>
    <w:rsid w:val="00FB2018"/>
    <w:rsid w:val="00FB61CD"/>
    <w:rsid w:val="00FD4CD3"/>
    <w:rsid w:val="00FD5DF5"/>
    <w:rsid w:val="00FF2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semiHidden/>
    <w:rsid w:val="00A43F2F"/>
    <w:rPr>
      <w:rFonts w:cs="Times New Roman"/>
      <w:color w:val="0000FF"/>
      <w:u w:val="single"/>
      <w:rtl w:val="0"/>
      <w:cs w:val="0"/>
    </w:rPr>
  </w:style>
  <w:style w:type="paragraph" w:styleId="NormalWeb">
    <w:name w:val="Normal (Web)"/>
    <w:basedOn w:val="Normal"/>
    <w:uiPriority w:val="99"/>
    <w:semiHidden/>
    <w:rsid w:val="00A43F2F"/>
    <w:pPr>
      <w:spacing w:before="100" w:beforeAutospacing="1" w:after="100" w:afterAutospacing="1"/>
      <w:jc w:val="left"/>
    </w:pPr>
    <w:rPr>
      <w:rFonts w:ascii="Times New Roman" w:eastAsia="Calibri" w:hAnsi="Times New Roman"/>
    </w:rPr>
  </w:style>
  <w:style w:type="paragraph" w:customStyle="1" w:styleId="sdfootnote">
    <w:name w:val="sdfootnote"/>
    <w:basedOn w:val="Normal"/>
    <w:semiHidden/>
    <w:rsid w:val="00A43F2F"/>
    <w:pPr>
      <w:spacing w:before="100" w:beforeAutospacing="1" w:after="100" w:afterAutospacing="1"/>
      <w:jc w:val="left"/>
    </w:pPr>
    <w:rPr>
      <w:rFonts w:ascii="Times New Roman" w:eastAsia="Calibri" w:hAnsi="Times New Roman"/>
    </w:rPr>
  </w:style>
  <w:style w:type="paragraph" w:styleId="BalloonText">
    <w:name w:val="Balloon Text"/>
    <w:basedOn w:val="Normal"/>
    <w:semiHidden/>
    <w:rsid w:val="001C5A22"/>
    <w:pPr>
      <w:jc w:val="left"/>
    </w:pPr>
    <w:rPr>
      <w:rFonts w:ascii="Tahoma" w:hAnsi="Tahoma" w:cs="Tahoma"/>
      <w:sz w:val="16"/>
      <w:szCs w:val="16"/>
    </w:rPr>
  </w:style>
  <w:style w:type="paragraph" w:customStyle="1" w:styleId="Zkladntext">
    <w:name w:val="Základní text"/>
    <w:rsid w:val="00BA4011"/>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FootnoteText">
    <w:name w:val="footnote text"/>
    <w:basedOn w:val="Normal"/>
    <w:link w:val="FootnoteTextChar"/>
    <w:uiPriority w:val="99"/>
    <w:semiHidden/>
    <w:rsid w:val="00544790"/>
    <w:pPr>
      <w:jc w:val="left"/>
    </w:pPr>
    <w:rPr>
      <w:sz w:val="20"/>
      <w:szCs w:val="20"/>
    </w:rPr>
  </w:style>
  <w:style w:type="character" w:styleId="FootnoteReference">
    <w:name w:val="footnote reference"/>
    <w:basedOn w:val="DefaultParagraphFont"/>
    <w:uiPriority w:val="99"/>
    <w:semiHidden/>
    <w:rsid w:val="00544790"/>
    <w:rPr>
      <w:rFonts w:cs="Times New Roman"/>
      <w:vertAlign w:val="superscript"/>
      <w:rtl w:val="0"/>
      <w:cs w:val="0"/>
    </w:rPr>
  </w:style>
  <w:style w:type="paragraph" w:styleId="Footer">
    <w:name w:val="footer"/>
    <w:basedOn w:val="Normal"/>
    <w:rsid w:val="00843A69"/>
    <w:pPr>
      <w:tabs>
        <w:tab w:val="center" w:pos="4536"/>
        <w:tab w:val="right" w:pos="9072"/>
      </w:tabs>
      <w:jc w:val="left"/>
    </w:pPr>
  </w:style>
  <w:style w:type="character" w:styleId="PageNumber">
    <w:name w:val="page number"/>
    <w:basedOn w:val="DefaultParagraphFont"/>
    <w:rsid w:val="00843A69"/>
    <w:rPr>
      <w:rFonts w:cs="Times New Roman"/>
      <w:rtl w:val="0"/>
      <w:cs w:val="0"/>
    </w:rPr>
  </w:style>
  <w:style w:type="character" w:styleId="CommentReference">
    <w:name w:val="annotation reference"/>
    <w:basedOn w:val="DefaultParagraphFont"/>
    <w:semiHidden/>
    <w:rsid w:val="00843A69"/>
    <w:rPr>
      <w:rFonts w:cs="Times New Roman"/>
      <w:sz w:val="16"/>
      <w:szCs w:val="16"/>
      <w:rtl w:val="0"/>
      <w:cs w:val="0"/>
    </w:rPr>
  </w:style>
  <w:style w:type="paragraph" w:styleId="CommentText">
    <w:name w:val="annotation text"/>
    <w:basedOn w:val="Normal"/>
    <w:semiHidden/>
    <w:rsid w:val="00843A69"/>
    <w:pPr>
      <w:jc w:val="left"/>
    </w:pPr>
    <w:rPr>
      <w:sz w:val="20"/>
      <w:szCs w:val="20"/>
    </w:rPr>
  </w:style>
  <w:style w:type="paragraph" w:styleId="CommentSubject">
    <w:name w:val="annotation subject"/>
    <w:basedOn w:val="CommentText"/>
    <w:next w:val="CommentText"/>
    <w:semiHidden/>
    <w:rsid w:val="00843A69"/>
    <w:pPr>
      <w:jc w:val="left"/>
    </w:pPr>
    <w:rPr>
      <w:b/>
      <w:bCs/>
    </w:rPr>
  </w:style>
  <w:style w:type="paragraph" w:customStyle="1" w:styleId="Odsekzoznamu">
    <w:name w:val="Odsek zoznamu"/>
    <w:basedOn w:val="Normal"/>
    <w:uiPriority w:val="34"/>
    <w:qFormat/>
    <w:rsid w:val="008E3918"/>
    <w:pPr>
      <w:ind w:left="708"/>
      <w:jc w:val="left"/>
    </w:pPr>
  </w:style>
  <w:style w:type="character" w:customStyle="1" w:styleId="FootnoteTextChar">
    <w:name w:val="Footnote Text Char"/>
    <w:basedOn w:val="DefaultParagraphFont"/>
    <w:link w:val="FootnoteText"/>
    <w:uiPriority w:val="99"/>
    <w:semiHidden/>
    <w:locked/>
    <w:rsid w:val="006C3619"/>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842</Words>
  <Characters>4806</Characters>
  <Application>Microsoft Office Word</Application>
  <DocSecurity>0</DocSecurity>
  <Lines>0</Lines>
  <Paragraphs>0</Paragraphs>
  <ScaleCrop>false</ScaleCrop>
  <Company>mfsr</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NRSR č</dc:title>
  <dc:creator>Administrator</dc:creator>
  <cp:lastModifiedBy>Gašparíková, Jarmila</cp:lastModifiedBy>
  <cp:revision>2</cp:revision>
  <cp:lastPrinted>2012-11-07T10:40:00Z</cp:lastPrinted>
  <dcterms:created xsi:type="dcterms:W3CDTF">2012-11-09T14:18:00Z</dcterms:created>
  <dcterms:modified xsi:type="dcterms:W3CDTF">2012-11-09T14:18:00Z</dcterms:modified>
</cp:coreProperties>
</file>