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>Návrh zákona o integrovanej prevencii a kontrole znečisťovania životného prostredia a o zmene a doplnení niektorých zákonov 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Rozpočet je veľmi výrazne ovplyvnený v dôsledku potreby zvýšenia počtu inšpektorov, ktoré je potrebné transpozíciou smernice 75/2010/EÚ a v dôsledku zmeny kontrolnej periodicity. Smernica ukladá povinnosť vykonať kontrolu v každej prevádzke v závislosti od rizika poškodenia životného prostredia minimálne 1 krát za 3 roky a maximálne raz za rok. Na základe vykonanej kontroly je povinný inšpektor vypracovať správu, ktorú prekonzultuje s prevádzkovateľom a v prípade porušenia akejkoľvek povinnosti prevádzkovateľa mu uloží povinnosti na nápravu. Inšpektor je povinný kontrolu zopakovať v prevádzke do 6 mesiacov a skontrolovať prijaté opatrenia na nápravu. Voči predchádzajúcim povinnostiam inšpekcie v oblasti environmentálnej kontroly ako orgánu štátneho dozoru, kde bola povinnosť vykonať kontrolu raz za 8-10 rokov dochádza k viac ako zdvojnásobeniu kontrolnej činnosti. V súčasnosti registrujeme viac ako 600 prevádzok, ktoré spadajú pod zákon o integrovanej prevencii a kontrole znečistenia, pričom jedna prevádzka môže mať vydaných niekoľko povolení. Nasledujúci prehľad uvádza počet uložených pokút vyplynutých z environmentálnych kontrol. Kontroly boli vykonávané na niektorú činnosť, resp. na kontrolu niektorej zložky životného prostredia.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Prehľad uložených pokút a výška pokút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TableNormal"/>
        <w:tblW w:w="8590" w:type="dxa"/>
        <w:tblCellMar>
          <w:left w:w="0" w:type="dxa"/>
          <w:right w:w="0" w:type="dxa"/>
        </w:tblCellMar>
      </w:tblPr>
      <w:tblGrid>
        <w:gridCol w:w="960"/>
        <w:gridCol w:w="2457"/>
        <w:gridCol w:w="2905"/>
        <w:gridCol w:w="2268"/>
      </w:tblGrid>
      <w:tr>
        <w:tblPrEx>
          <w:tblW w:w="8590" w:type="dxa"/>
          <w:tblCellMar>
            <w:left w:w="0" w:type="dxa"/>
            <w:right w:w="0" w:type="dxa"/>
          </w:tblCellMar>
        </w:tblPrEx>
        <w:trPr>
          <w:trHeight w:val="5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Rok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Počet vykonaných kontrol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Počet rozhodnutí o uložení pokuty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Výška pokuty (€)</w:t>
            </w:r>
          </w:p>
        </w:tc>
      </w:tr>
      <w:tr>
        <w:tblPrEx>
          <w:tblW w:w="8590" w:type="dxa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5 974,90</w:t>
            </w:r>
          </w:p>
        </w:tc>
      </w:tr>
      <w:tr>
        <w:tblPrEx>
          <w:tblW w:w="8590" w:type="dxa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173 239,00</w:t>
            </w:r>
          </w:p>
        </w:tc>
      </w:tr>
      <w:tr>
        <w:tblPrEx>
          <w:tblW w:w="8590" w:type="dxa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47 799,20</w:t>
            </w:r>
          </w:p>
        </w:tc>
      </w:tr>
      <w:tr>
        <w:tblPrEx>
          <w:tblW w:w="8590" w:type="dxa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182 433,80</w:t>
            </w:r>
          </w:p>
        </w:tc>
      </w:tr>
      <w:tr>
        <w:tblPrEx>
          <w:tblW w:w="8590" w:type="dxa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138 972,86</w:t>
            </w:r>
          </w:p>
        </w:tc>
      </w:tr>
      <w:tr>
        <w:tblPrEx>
          <w:tblW w:w="8590" w:type="dxa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130 260,00</w:t>
            </w:r>
          </w:p>
        </w:tc>
      </w:tr>
      <w:tr>
        <w:tblPrEx>
          <w:tblW w:w="8590" w:type="dxa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118 310,00</w:t>
            </w:r>
          </w:p>
        </w:tc>
      </w:tr>
    </w:tbl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prípade dostatočného počtu inšpektorov a nárastu počtu environmentálnych kontrol je predpoklad aj nárastu počtu pokút a tým aj príjmu do štátneho rozpočtu. Dôležitejší je dopad na životné prostredie, nakoľko prevádzkovatelia budú prísnejšie strážení v dodržiavaní povinností a tým bude zabezpečená vyššia ochrana životného prostredia.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 Výpočet nákladov na mzdy za 40 pracovníkov bol robený podľa tabuľkového ohodnotenia verejnej správy požadovaných pracovných pozícií. Materiál bol vypracovaný Slovenskou inšpekciou životného prostredia ako zamestnávateľov. Počet zamestnancov navrhnutý s ohľadom na nárast počtu kontrol a ich frekvencie, čo bude tvoriť približne 150%-ný nárast oproti súčasne platným podmienkam vykonávania kontrolnej činnosti Slovenskou inšpekciou životného prostredia.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widowControl/>
        <w:bidi w:val="0"/>
        <w:spacing w:after="2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>Alternatívne riešenia nie sú navrhnuté.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je. Predbežné pripomienkové konanie sa neuskutočnilo z dôvodu uvedenom v čl. 12 ods. 3 Legislatívnych pravidiel vlády Slovenskej republiky, v ktorom je uvedené, že predbežné pripomienkové konanie sa nevykonáva pri návrhoch zákonov, ktorými Slovenská republika preberá alebo vykonáva právne záväzné akty Európskej únie.  Návrhom zákona o integrovanej prevencii a kontrole znečisťovania životného prostredia a o zmene a doplnení niektorých zákonov sa do slovenského právneho poriadku preberá smernica Európskeho parlamentu a Rady 2010/75/EU o priemyselných emisiách (integrovaná prevencia a kontrola znečisťovania životného prostredia).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Vplyvy na podnikateľské prostredie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tbl>
      <w:tblPr>
        <w:tblStyle w:val="TableNormal"/>
        <w:tblW w:w="9195" w:type="dxa"/>
        <w:tblCellMar>
          <w:left w:w="0" w:type="dxa"/>
          <w:right w:w="0" w:type="dxa"/>
        </w:tblCellMar>
      </w:tblPr>
      <w:tblGrid>
        <w:gridCol w:w="4155"/>
        <w:gridCol w:w="5040"/>
      </w:tblGrid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Vplyvy na podnikateľské prostredie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2948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3.1. Ktoré podnikateľské subjekty budú predkladaným návrhom ovplyvnené a aký je ich počet?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Prevádzkovatelia, ktorý prevádzkujú prevádzku s činnosťou definovanou v Prílohe 1 zákona. Transpozíciou novej smernice už pod povoľovanie v zmysle zákona o IPKZ spadajú aj nové činnosti, ktoré majú stanovené prechodné obdobia na prispôsobenie sa novým podmienkam. Celkový počet týchto prevádzkovateľov v Slovenskej republike je cca. 400. Ovplyvnení budú všetci prevádzkovatelia v inom časovom horizonte od 1-8 rokov, kedy dôjde k prehodnoteniu BAT technológií a ich prijatiu rozhodnutím Európskou komisiou, čím sa stanú záväzné pre prevádzkovateľov. Inšpekcia aktualizuje ich povolenie a do 4 rokov od prijatého rozhodnutia by mali zosúladiť prevádzkovatelia ich technológie s prijatými rozhodnutiami o záveroch o najlepších dostupných technikách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3.2. Aký je predpokladaný charakter a rozsah nákladov a prínosov?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Náklady: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Náklady prevádzkovateľov budú spojené s vypracovaním východiskovej správy, ktorú môže vypracovať iba oprávnená osoba. V oveľa väčšej miere budú náklady pre prevádzkovateľov spojené so zavádzaním najlepších dostupných techník, t.j. s inštaláciou nových technológií a technických prvkov tak aby spĺňali rozhodnutie Európskej komisie pre príslučnú priemyselnú činnosť. Prevádzkovatelia budú musieť zahrnúť tieto náklady do dlhodobého finančného a obchodného plánu.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Prínosy: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 zavedení nových BAT technológií budú spĺňať najprísnejšie environmenátlne kritériá.   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3.3. Aká je predpokladaná výška administratívnych nákladov, ktoré podniky vynaložia v súvislosti s implementáciou návrhu?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Výška administratívnych nákladov bude spojená s vypracovaním východiskovej správy. Mierne sa zvyšujú správne poplatky a zavádza sa nový správny poplatok za  predbežné prerokovanie žiadosti.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3.4. Aké sú dôsledky pripravovaného návrhu pre fungovanie podnikateľských subjektov na slovenskom trhu (ako sa zmenia operácie na trhu?)</w:t>
            </w:r>
          </w:p>
          <w:p w:rsidR="00593F1E">
            <w:pPr>
              <w:widowControl/>
              <w:bidi w:val="0"/>
              <w:spacing w:after="0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Prijatie návrhu zákona bude znamenať v horizonte 4-10 rokov pre prevádzkovateľov značné investičné náklady do nových technológií v zmysle rozhodnutí Európskej komisie o záveroch o najlepších dostupných technikách. Pre niektoré subjekty môže byť zavádzanie uvedených technológií veľmi finančne zaťažujúce a ohrozujúce ich konkurencieschopnosť.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3.5. Aké sú predpokladané spoločensko – ekonomické dôsledky pripravovaných regulácií?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Dôsledky sa môžu líšiť od jednotlivých regiónov a činnosti v závislosti od náročnosti finančnej náročnosti pre prevádzkovateľov prispôsobiť sa novým podmienkam. Prístup v jednotlivých regiónoch k riešeniu možných vzniknutých problémov a dopadov v niektorých prípadoch aj na zamestnanosť by sa mala riešiť individuálne.</w:t>
            </w:r>
          </w:p>
        </w:tc>
      </w:tr>
    </w:tbl>
    <w:p w:rsidR="00593F1E">
      <w:pPr>
        <w:widowControl/>
        <w:bidi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  <w:sectPr>
          <w:pgSz w:w="12240" w:h="15840"/>
          <w:pgMar w:top="1440" w:right="1440" w:bottom="1440" w:left="1440" w:header="708" w:footer="708" w:gutter="0"/>
          <w:lnNumType w:distance="0"/>
          <w:cols w:space="708"/>
          <w:bidi w:val="0"/>
        </w:sectPr>
      </w:pP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Vplyvy na rozpočet verejnej správy,</w:t>
      </w:r>
    </w:p>
    <w:p w:rsidR="00593F1E">
      <w:pPr>
        <w:widowControl/>
        <w:bidi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zamestnanosť vo verejnej správe a financovanie návrhu</w:t>
      </w:r>
    </w:p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Zhrnutie vplyvov na rozpočet verejnej správy v návrhu</w:t>
      </w:r>
    </w:p>
    <w:p w:rsidR="00593F1E">
      <w:pPr>
        <w:widowControl/>
        <w:bidi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526"/>
        <w:gridCol w:w="1256"/>
        <w:gridCol w:w="1250"/>
        <w:gridCol w:w="1253"/>
        <w:gridCol w:w="1444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Vplyvy na rozpočet verejnej správy</w:t>
            </w:r>
          </w:p>
        </w:tc>
        <w:tc>
          <w:tcPr>
            <w:tcW w:w="52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Vplyv na rozpočet verejnej správy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Príjmy verejnej správy celkom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247 020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241 686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234 953 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229 620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 tom: za každý subjekt verejnej správy zvlášť</w:t>
            </w:r>
          </w:p>
          <w:p w:rsidR="00593F1E">
            <w:pPr>
              <w:widowControl/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SIŽP (odvod do ŠR)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Environmentálny fond*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247 020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 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241 686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 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234 953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229 620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247 020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241 686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234 953 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229 620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 vplyv na územnú samosprávu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Výdavky verejnej správy celkom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SIŽP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561 940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 vplyv na územnú samosprávu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 z toho vplyv na ŠR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Financovanie zabezpečené v rozpočte MŽP SR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Financovanie návrhu</w:t>
      </w:r>
    </w:p>
    <w:p w:rsidR="00593F1E">
      <w:pPr>
        <w:widowControl/>
        <w:bidi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185"/>
        <w:gridCol w:w="1249"/>
        <w:gridCol w:w="1249"/>
        <w:gridCol w:w="1249"/>
        <w:gridCol w:w="1428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Financovanie</w:t>
            </w:r>
          </w:p>
        </w:tc>
        <w:tc>
          <w:tcPr>
            <w:tcW w:w="52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Vplyv na rozpočet verejnej správy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2014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2015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Celkový vplyv na rozpočet verejnej správy (výdavky)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561 940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561 940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561 940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 z toho vplyv na ŠR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561 940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561 940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561 940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561 940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financovanie zabezpečené v rozpočte MŽP SR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ostatné zdroje financovania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Rozpočtovo nekrytý vplyv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561 940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561 940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561 940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561 940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Návrh na riešenie úbytku príjmov alebo zvýšených výdavkov podľa § 33 ods. 1 zákona č. 523/2004 Z. z. o rozpočtových pravidlách verejnej správy:</w:t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súčasnosti nie je možné predpokladať výšku pokút uložených SIŽP za porušenie predpisov, ktoré budú príjmom Environmentálneho fondu. Príjmy SIŽP predstavujú príjmy za správne poplatky, ktoré budú odvedené do štátneho rozpočtu.</w:t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Zvýšené rozpočtové výdavky zabezpečí MŽP SR v rámci schválených rozpočtových limitov na príslušný rozpočtový rok.</w:t>
      </w:r>
    </w:p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0" w:name="OLE_LINK1"/>
      <w:bookmarkEnd w:id="0"/>
      <w:r>
        <w:rPr>
          <w:rFonts w:ascii="Times New Roman" w:hAnsi="Times New Roman"/>
          <w:color w:val="000000"/>
          <w:sz w:val="24"/>
          <w:szCs w:val="24"/>
        </w:rPr>
        <w:t> 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Popis a charakteristika návrhu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2.3.1. Popis návrhu: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Akú problematiku návrhu rieši? Kto bude návrh implementovať? Kde sa budú služby poskytovať?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.......................................................................................................................................................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2.3.2. Charakteristika návrhu podľa bodu  2.3.2. Metodiky :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   zmena sadzby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single" w:sz="8" w:space="0" w:color="000000"/>
        </w:rPr>
        <w:t> X </w:t>
      </w:r>
      <w:r>
        <w:rPr>
          <w:rFonts w:ascii="Times New Roman" w:hAnsi="Times New Roman"/>
          <w:color w:val="000000"/>
          <w:sz w:val="24"/>
          <w:szCs w:val="24"/>
        </w:rPr>
        <w:t>  zmena v nároku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single" w:sz="8" w:space="0" w:color="000000"/>
        </w:rPr>
        <w:t xml:space="preserve">     </w:t>
      </w:r>
      <w:r>
        <w:rPr>
          <w:rFonts w:ascii="Times New Roman" w:hAnsi="Times New Roman"/>
          <w:color w:val="000000"/>
          <w:sz w:val="24"/>
          <w:szCs w:val="24"/>
        </w:rPr>
        <w:t>  nová služba alebo nariadenie (alebo ich zrušenie)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single" w:sz="8" w:space="0" w:color="000000"/>
        </w:rPr>
        <w:t xml:space="preserve">     </w:t>
      </w:r>
      <w:r>
        <w:rPr>
          <w:rFonts w:ascii="Times New Roman" w:hAnsi="Times New Roman"/>
          <w:color w:val="000000"/>
          <w:sz w:val="24"/>
          <w:szCs w:val="24"/>
        </w:rPr>
        <w:t>  kombinovaný návrh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single" w:sz="8" w:space="0" w:color="000000"/>
        </w:rPr>
        <w:t xml:space="preserve">     </w:t>
      </w:r>
      <w:r>
        <w:rPr>
          <w:rFonts w:ascii="Times New Roman" w:hAnsi="Times New Roman"/>
          <w:color w:val="000000"/>
          <w:sz w:val="24"/>
          <w:szCs w:val="24"/>
        </w:rPr>
        <w:t xml:space="preserve">  iné 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2.3.3. Predpoklady vývoja objemu aktivít: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Jasne popíšte, v prípade potreby použite nižšie uvedenú tabuľku. Uveďte aj odhady základov daní a/alebo poplatkov, ak sa ich táto zmena týka.</w:t>
      </w:r>
    </w:p>
    <w:p w:rsidR="00593F1E">
      <w:pPr>
        <w:widowControl/>
        <w:bidi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592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Objem aktivít</w:t>
            </w:r>
          </w:p>
        </w:tc>
        <w:tc>
          <w:tcPr>
            <w:tcW w:w="49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r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r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r 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Indikátor ABC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Indikátor KLM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Indikátor XYZ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2.3.4. Výpočty vplyvov na verejné financie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Tabuľka č. 4 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3369"/>
        <w:gridCol w:w="1022"/>
        <w:gridCol w:w="1022"/>
        <w:gridCol w:w="1022"/>
        <w:gridCol w:w="1022"/>
        <w:gridCol w:w="2043"/>
      </w:tblGrid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Príjmy (v eurách)</w:t>
            </w:r>
          </w:p>
        </w:tc>
        <w:tc>
          <w:tcPr>
            <w:tcW w:w="215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Vplyv na rozpočet verejnej správy</w:t>
            </w:r>
          </w:p>
        </w:tc>
        <w:tc>
          <w:tcPr>
            <w:tcW w:w="10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r 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r 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r 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Daňové príjmy (100)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Nedaňové príjmy (200)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Administratívne poplatky (221)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Poplatky a platby z nepriemyselného a náhodného predaja a služieb (223)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247 020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241 686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234 953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229 620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Granty a transfery (300)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Príjmy z transakcií s finančnými aktívami a finančnými pasívami (400)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Prijaté úvery, pôžičky a návratné finančné výpomoci (500)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Dopad na príjmy verejnej správy celkom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247 020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241 686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234 953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229 620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1 –  príjmy rozpísať až do položiek platnej ekonomickej klasifikácie    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 xml:space="preserve">Tabuľka č. 5 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264"/>
        <w:gridCol w:w="865"/>
        <w:gridCol w:w="865"/>
        <w:gridCol w:w="865"/>
        <w:gridCol w:w="1001"/>
        <w:gridCol w:w="1640"/>
      </w:tblGrid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Výdavky (v eurách)</w:t>
            </w:r>
          </w:p>
        </w:tc>
        <w:tc>
          <w:tcPr>
            <w:tcW w:w="205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Vplyv na rozpočet verejnej správy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848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Bežné výdavky (600)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MŽP SR (SIŽP)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561 940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561 940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561 940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561 940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561 940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561 940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561 940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561 940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Mzdy, platy, služobné príjmy a ostatné osobné vyrovnania (610) spolu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9. platová trieda ŠS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360 000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360 000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360 000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360 000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501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Poistné a príspevok do poisťovní (620) spolu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Tovary a služby (630)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30"/>
                <w:szCs w:val="24"/>
                <w:vertAlign w:val="superscript"/>
              </w:rPr>
              <w:t xml:space="preserve"> s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76 120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76 120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76 120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76 120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Predpokladaný náklad na zamestnanca 1903 Eur/ rok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Bežné transfery (640)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Splácanie úrokov a ostatné platby súvisiace s úvermi, pôžičkami a NFV (650)</w:t>
            </w:r>
            <w:r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Kapitálové výdavky (700)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Obstarávanie kapitálových aktív (710)</w:t>
            </w:r>
            <w:r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 Kapitálové transfery (720)</w:t>
            </w:r>
            <w:r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Výdavky z transakcií s finančnými aktívami a finančnými pasívami (800)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99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Dopad na výdavky verejnej správy celkom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561 940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561 940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561 940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561 940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 z toho výdavky na ŠR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561 940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561 940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561 940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561 940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 Bežné výdavky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(600)</w:t>
            </w: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485 820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485 820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485 820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485 820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    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Mzdy, platy, služobné príjmy a ostatné osobné vyrovnania (610)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360 000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360 000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360 000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360 000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  Kapitálové výdavky (700)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22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    Výdavky z transakcií s finančnými aktívami a finančnými pasívami (800)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2 –  výdavky rozpísať až do položiek platnej ekonomickej klasifikácie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Tabuľka č. 6 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3728"/>
        <w:gridCol w:w="942"/>
        <w:gridCol w:w="1005"/>
        <w:gridCol w:w="355"/>
        <w:gridCol w:w="937"/>
        <w:gridCol w:w="975"/>
        <w:gridCol w:w="587"/>
        <w:gridCol w:w="971"/>
      </w:tblGrid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Zamestnanosť</w:t>
            </w:r>
          </w:p>
        </w:tc>
        <w:tc>
          <w:tcPr>
            <w:tcW w:w="221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Vplyv na rozpočet verejnej správy</w:t>
            </w:r>
          </w:p>
        </w:tc>
        <w:tc>
          <w:tcPr>
            <w:tcW w:w="81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poznámka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Počet zamestnancov celkom*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 toho: SIŽP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  z toho vplyv na ŠR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Priemerný mzdový výdavok (v eurách)*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  z toho vplyv na ŠR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Osobné výdavky celkom (v eurách)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Mzdy, platy, služobné príjmy a ostatné osobné vyrovnania (610)*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360 000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360 000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360 000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360 000</w:t>
            </w:r>
          </w:p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  z toho vplyv na ŠR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360 000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360 000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360 000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360 000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Poistné a príspevok do poisťovní (620)*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  z toho vplyv na ŠR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125 820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Poznámky: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18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Poistné tvorí podiel mzdových výdavkov, pričom za organizácie v pôsobnosti kapitol štátneho rozpočtu, s výnimkou prenesených kompetencií výkonu štátnej správy,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 zamestnancov štátnej služby a zamestnancov pri výkone práce vo verejnom záujme predstavuje  34,95 %,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174" w:type="pct"/>
            <w:gridSpan w:val="4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textDirection w:val="lrTb"/>
            <w:vAlign w:val="bottom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počet zamestnancov,  mzdy a poistné rozpísať podľa spôsobu odmeňovania (napr. policajti, colníci ...)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Vplyvy na životné prostredie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680"/>
        <w:gridCol w:w="4680"/>
      </w:tblGrid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159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32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FFFFFF"/>
                <w:sz w:val="32"/>
                <w:szCs w:val="24"/>
              </w:rPr>
              <w:t>Životné prostredie</w:t>
            </w:r>
          </w:p>
          <w:tbl>
            <w:tblPr>
              <w:tblStyle w:val="TableNormal"/>
              <w:tblCellMar>
                <w:left w:w="0" w:type="dxa"/>
                <w:right w:w="0" w:type="dxa"/>
              </w:tblCellMar>
            </w:tblPr>
            <w:tblGrid>
              <w:gridCol w:w="570"/>
            </w:tblGrid>
            <w:tr>
              <w:tblPrEx>
                <w:tblCellMar>
                  <w:left w:w="0" w:type="dxa"/>
                  <w:right w:w="0" w:type="dxa"/>
                </w:tblCellMar>
              </w:tblPrEx>
              <w:trPr>
                <w:trHeight w:val="159"/>
              </w:trPr>
              <w:tc>
                <w:tcPr>
                  <w:tcW w:w="3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000000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lrTb"/>
                  <w:vAlign w:val="center"/>
                </w:tcPr>
                <w:p w:rsidR="00593F1E">
                  <w:pPr>
                    <w:widowControl/>
                    <w:bidi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711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 xml:space="preserve">5.1. 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Ktoré zložky životného prostredia (najmä ovzdušie, voda, horniny, pôda, organizmy) budú návrhom ovplyvnené a aký bude ich vplyv (pozitívny alebo negatívny)?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Ovplyvnené budú všetky zložky životného prostredia pozitívne, nakoľko prevádzkovatelia podľa zákona budú povinný zavádzať najlepšie dostupné techniky, čím sa bude chrániť životné prostredie a jeho všetky zložky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97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 xml:space="preserve">5.2. 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Bude mať navrhovaný materiál vplyv na chránené územia a ak áno aký?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 xml:space="preserve">V prípade prevádzok umiestnených v blízkosti chránených území dôjde k zlepšeniu stavu životného prostredia.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97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 xml:space="preserve">5.3. 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Bude mať návrh vplyv na životné prostredie presahujúce štátne hranice?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V prípade prevádzok umiestnených v blízkosti štátnych hraníc, zavedenie nových technológií v súlade s navrhovaným zákonom bude mať pozitívny vplyv na životné prostredie presahujúce štátne hranice.</w:t>
            </w:r>
          </w:p>
        </w:tc>
      </w:tr>
    </w:tbl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Vplyvy na informatizáciu spoločnosti</w:t>
      </w:r>
    </w:p>
    <w:p w:rsidR="00593F1E">
      <w:pPr>
        <w:widowControl/>
        <w:bidi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680"/>
        <w:gridCol w:w="4680"/>
      </w:tblGrid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14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146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Obsah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Rozširujú alebo inovujú sa existujúce alebo vytvárajú sa či zavádzajú sa nové elektronické služby?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(Popíšte ich funkciu a úroveň poskytovania.)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Nezavádzajú sa nové ale rozširuje sa množstvo informácií prístupných verejnosti a uvedených na webovom sídle príslušnej organizácie.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Vytvárajú sa podmienky pre sémantickú interoperabilitu?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(Popíšte spôsob jej zabezpečenia.)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Áno, je potrebné prepojenie systémov agentúry životného prostredia (SAŽP), Slovenskej inšpekcie životného prostredia (SIŽP) ako aj Slovenského hydrometeorologického ústavu (SHMÚ). Toto sa bude diať postupne v čo najbližšej dobe.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146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Ľudia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Zabezpečuje sa vzdelávanie v oblasti počítačovej gramotnosti a rozširovanie vedomostí o IKT?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(Uveďte spôsob, napr. projekty, školenia.)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9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Zabezpečuje sa rozvoj elektronického vzdelávania?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(Uveďte typ a spôsob zabezpečenia vzdelávacích aktivít.)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513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Zabezpečuje sa podporná a propagačná aktivita zameraná na zvyšovanie povedomia o informatizácii a IKT?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(Uveďte typ a spôsob zabezpečenia propagačných aktivít.)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513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6.6.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Zabezpečuje/zohľadňuje/zlepšuje sa prístup znevýhodnených osôb k službám informačnej spoločnosti?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(Uveďte spôsob sprístupnenia digitálneho prostredia.)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146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Infraštruktúra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6.7.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Rozširuje, inovuje, vytvára alebo zavádza sa nový informačný systém?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(Uveďte jeho funkciu.)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Zavádza sa nový informačný systém SHMÚ, ktorý zlučuje starý NRZ informačný systém a dopĺňa požiadavky pre reportovanie v zmysle IPKZ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Rozširuje sa prístupnosť k internetu?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(Uveďte spôsob rozširovania prístupnosti.)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6.9.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Rozširuje sa prístupnosť k elektronickým službám? 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(Uveďte spôsob rozširovania prístupnosti.)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Rozširuje sa množstvo informácií v rámci informačného systému IPKZ zo žiadostí, povoľovacieho procesu, vydaných povolení, najlepších dostupných techník.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6.10.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Zabezpečuje sa technická interoperabilita?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(Uveďte spôsob jej zabezpečenia.)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Áno, je potrebné zabezpečiť priame prepojenie, resp. exportovanie a dennú aktualizáciu údajov zo zberného informačného systému SHMÚ do informačného systému Ministerstva životného prostredia, ktorý spravuje SAŽP. Taktiež je potrebné priame a bezchybné prepojenie systému SIŽP a SAŽP.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Informačný systém SAŽP, je oficiálnym informačným systémom Ministerstva životného prostredia, preto by mal obsahovať všetky potrebné aktuálne a presné údaje. Ostatné poriadené organizácie by mali prispôsobiť svoje zberné informačné systémy tak, aby priamo  poskytovali a aktualizovali denne, ideálne on-line údaje v databáze informačného systému SAŽP. SAŽP z týchto údajov vychádza v reportovacích povinnostiach MŽP SR vo vzťahu so zahraničnými medzinárodnými inštitúciami.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59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6.11.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Zvyšuje sa bezpečnosť IT?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Uveďte spôsob zvýšenia bezpečnosti a ochrany IT.)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6.12.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Rozširuje sa technická infraštruktúra?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Uveďte stručný popis zavádzanej infraštruktúry.)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146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Riadenie procesu informatizácie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6.13.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Predpokladajú sa zmeny v riadení procesu informatizácie? </w:t>
            </w:r>
          </w:p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(Uveďte popis zmien.)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146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Financovanie procesu informatizácie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86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6.14.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Vyžaduje si proces informatizácie finančné investície? 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(Popíšte príslušnú úroveň financovania.)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146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Legislatívne prostredie procesu informatizácie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rPr>
          <w:trHeight w:val="386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6.15.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Predpokladá nelegislatívny materiál potrebu úpravy legislatívneho prostredia procesu informatizácie? </w:t>
            </w:r>
          </w:p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(Stručne popíšte navrhované legislatívne zmeny.)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Áno – upravuje sa zber informácií do informačného registra, živnostenský zákon, zákon o správnych poplatkoch</w:t>
            </w:r>
          </w:p>
        </w:tc>
      </w:tr>
    </w:tbl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317CD"/>
    <w:rsid w:val="002704AC"/>
    <w:rsid w:val="005317CD"/>
    <w:rsid w:val="00593F1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3448</Words>
  <Characters>19658</Characters>
  <Application>Microsoft Office Word</Application>
  <DocSecurity>0</DocSecurity>
  <Lines>0</Lines>
  <Paragraphs>0</Paragraphs>
  <ScaleCrop>false</ScaleCrop>
  <Company/>
  <LinksUpToDate>false</LinksUpToDate>
  <CharactersWithSpaces>23060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cp:lastModifiedBy>Katrlik</cp:lastModifiedBy>
  <cp:revision>2</cp:revision>
  <dcterms:created xsi:type="dcterms:W3CDTF">2012-11-09T11:02:00Z</dcterms:created>
  <dcterms:modified xsi:type="dcterms:W3CDTF">2012-11-09T11:02:00Z</dcterms:modified>
</cp:coreProperties>
</file>