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93F1E">
      <w:pPr>
        <w:bidi w:val="0"/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pacing w:val="30"/>
          <w:sz w:val="24"/>
          <w:szCs w:val="24"/>
        </w:rPr>
      </w:pPr>
      <w:r>
        <w:rPr>
          <w:rFonts w:ascii="Times New Roman" w:hAnsi="Times New Roman"/>
          <w:b/>
          <w:bCs/>
          <w:caps/>
          <w:color w:val="000000"/>
          <w:spacing w:val="30"/>
          <w:sz w:val="24"/>
          <w:szCs w:val="24"/>
        </w:rPr>
        <w:t>Doložka</w:t>
      </w:r>
    </w:p>
    <w:p w:rsidR="00593F1E">
      <w:pPr>
        <w:bidi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vybraných vplyvov</w:t>
      </w:r>
    </w:p>
    <w:p w:rsidR="00593F1E">
      <w:pPr>
        <w:bidi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593F1E">
      <w:pPr>
        <w:bidi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593F1E">
      <w:pPr>
        <w:bidi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A.1. Názov materiálu: </w:t>
      </w:r>
      <w:r>
        <w:rPr>
          <w:rFonts w:ascii="Times New Roman" w:hAnsi="Times New Roman"/>
          <w:color w:val="000000"/>
          <w:sz w:val="24"/>
          <w:szCs w:val="24"/>
        </w:rPr>
        <w:t>Návrh zákona o integrovanej prevencii a kontrole znečisťovania životného prostredia a o zmene a doplnení niektorých zákonov  </w:t>
      </w:r>
    </w:p>
    <w:p w:rsidR="00593F1E">
      <w:pPr>
        <w:bidi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  <w:t xml:space="preserve">        Termín začatia a ukončenia PPK:</w:t>
      </w:r>
      <w:r w:rsidRPr="002704AC" w:rsidR="002704AC">
        <w:rPr>
          <w:rFonts w:ascii="Times New Roman" w:hAnsi="Times New Roman"/>
          <w:color w:val="000000"/>
          <w:sz w:val="24"/>
          <w:szCs w:val="24"/>
        </w:rPr>
        <w:t xml:space="preserve"> -  </w:t>
      </w:r>
    </w:p>
    <w:p w:rsidR="00593F1E">
      <w:pPr>
        <w:bidi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93F1E">
      <w:pPr>
        <w:bidi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A.2. Vplyvy:</w:t>
      </w:r>
    </w:p>
    <w:tbl>
      <w:tblPr>
        <w:tblStyle w:val="TableNormal"/>
        <w:tblW w:w="5000" w:type="pct"/>
        <w:tblInd w:w="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</w:tblPr>
      <w:tblGrid>
        <w:gridCol w:w="5758"/>
        <w:gridCol w:w="1206"/>
        <w:gridCol w:w="1206"/>
        <w:gridCol w:w="1206"/>
      </w:tblGrid>
      <w:tr>
        <w:tblPrEx>
          <w:tblW w:w="5000" w:type="pct"/>
          <w:tblInd w:w="1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Pozitívne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Žiadne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Negatívne </w:t>
            </w: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 Vplyvy na rozpočet verejnej správy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 Vplyvy na podnikateľské prostredie – dochádza k zvýšeniu regulačného zaťaženia?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 Sociálne vplyvy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– vplyvy na hospodárenie obyvateľstva,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– sociálnu exklúziu,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– rovnosť príležitostí a rodovú rovnosť a vplyvy na zamestnanosť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 Vplyvy na životné prostredie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 Vplyvy na informatizáciu spoločnosti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593F1E">
      <w:pPr>
        <w:widowControl/>
        <w:bidi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93F1E">
      <w:pPr>
        <w:bidi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93F1E">
      <w:pPr>
        <w:bidi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A.3. Poznámky</w:t>
      </w:r>
    </w:p>
    <w:p w:rsidR="00593F1E">
      <w:pPr>
        <w:widowControl/>
        <w:bidi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Rozpočet je veľmi výrazne ovplyvnený v dôsledku potreby zvýšenia počtu inšpektorov, ktoré je potrebné transpozíciou smernice 75/2010/EÚ a v dôsledku zmeny kontrolnej periodicity. Smernica ukladá povinnosť vykonať kontrolu v každej prevádzke v závislosti od rizika poškodenia životného prostredia minimálne 1 krát za 3 roky a maximálne raz za rok. Na základe vykonanej kontroly je povinný inšpektor vypracovať správu, ktorú prekonzultuje s prevádzkovateľom a v prípade porušenia akejkoľvek povinnosti prevádzkovateľa mu uloží povinnosti na nápravu. Inšpektor je povinný kontrolu zopakovať v prevádzke do 6 mesiacov a skontrolovať prijaté opatrenia na nápravu. Voči predchádzajúcim povinnostiam inšpekcie v oblasti environmentálnej kontroly ako orgánu štátneho dozoru, kde bola povinnosť vykonať kontrolu raz za 8-10 rokov dochádza k viac ako zdvojnásobeniu kontrolnej činnosti. V súčasnosti registrujeme viac ako 600 prevádzok, ktoré spadajú pod zákon o integrovanej prevencii a kontrole znečistenia, pričom jedna prevádzka môže mať vydaných niekoľko povolení. Nasledujúci prehľad uvádza počet uložených pokút vyplynutých z environmentálnych kontrol. Kontroly boli vykonávané na niektorú činnosť, resp. na kontrolu niektorej zložky životného prostredia.</w:t>
      </w:r>
    </w:p>
    <w:p w:rsidR="00593F1E">
      <w:pPr>
        <w:widowControl/>
        <w:bidi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93F1E">
      <w:pPr>
        <w:widowControl/>
        <w:bidi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93F1E">
      <w:pPr>
        <w:widowControl/>
        <w:bidi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93F1E">
      <w:pPr>
        <w:widowControl/>
        <w:bidi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Prehľad uložených pokút a výška pokút</w:t>
      </w:r>
    </w:p>
    <w:p w:rsidR="00593F1E">
      <w:pPr>
        <w:widowControl/>
        <w:bidi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</w:t>
      </w:r>
    </w:p>
    <w:tbl>
      <w:tblPr>
        <w:tblStyle w:val="TableNormal"/>
        <w:tblW w:w="8590" w:type="dxa"/>
        <w:tblCellMar>
          <w:left w:w="0" w:type="dxa"/>
          <w:right w:w="0" w:type="dxa"/>
        </w:tblCellMar>
      </w:tblPr>
      <w:tblGrid>
        <w:gridCol w:w="960"/>
        <w:gridCol w:w="2457"/>
        <w:gridCol w:w="2905"/>
        <w:gridCol w:w="2268"/>
      </w:tblGrid>
      <w:tr>
        <w:tblPrEx>
          <w:tblW w:w="8590" w:type="dxa"/>
          <w:tblCellMar>
            <w:left w:w="0" w:type="dxa"/>
            <w:right w:w="0" w:type="dxa"/>
          </w:tblCellMar>
        </w:tblPrEx>
        <w:trPr>
          <w:trHeight w:val="56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color w:val="000000"/>
                <w:sz w:val="24"/>
                <w:szCs w:val="24"/>
              </w:rPr>
              <w:t>Rok</w:t>
            </w:r>
          </w:p>
        </w:tc>
        <w:tc>
          <w:tcPr>
            <w:tcW w:w="2457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textDirection w:val="lrTb"/>
            <w:vAlign w:val="top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color w:val="000000"/>
                <w:sz w:val="24"/>
                <w:szCs w:val="24"/>
              </w:rPr>
              <w:t>Počet vykonaných kontrol</w:t>
            </w:r>
          </w:p>
        </w:tc>
        <w:tc>
          <w:tcPr>
            <w:tcW w:w="2905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color w:val="000000"/>
                <w:sz w:val="24"/>
                <w:szCs w:val="24"/>
              </w:rPr>
              <w:t>Počet rozhodnutí o uložení pokuty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color w:val="000000"/>
                <w:sz w:val="24"/>
                <w:szCs w:val="24"/>
              </w:rPr>
              <w:t>Výška pokuty (€)</w:t>
            </w:r>
          </w:p>
        </w:tc>
      </w:tr>
      <w:tr>
        <w:tblPrEx>
          <w:tblW w:w="8590" w:type="dxa"/>
          <w:tblCellMar>
            <w:left w:w="0" w:type="dxa"/>
            <w:right w:w="0" w:type="dxa"/>
          </w:tblCellMar>
        </w:tblPrEx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bottom"/>
          </w:tcPr>
          <w:p w:rsidR="00593F1E">
            <w:pPr>
              <w:widowControl/>
              <w:bidi w:val="0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color w:val="000000"/>
                <w:sz w:val="24"/>
                <w:szCs w:val="24"/>
              </w:rPr>
              <w:t>5 974,90</w:t>
            </w:r>
          </w:p>
        </w:tc>
      </w:tr>
      <w:tr>
        <w:tblPrEx>
          <w:tblW w:w="8590" w:type="dxa"/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bottom"/>
          </w:tcPr>
          <w:p w:rsidR="00593F1E">
            <w:pPr>
              <w:widowControl/>
              <w:bidi w:val="0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2006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color w:val="000000"/>
                <w:sz w:val="24"/>
                <w:szCs w:val="24"/>
              </w:rPr>
              <w:t>173 239,00</w:t>
            </w:r>
          </w:p>
        </w:tc>
      </w:tr>
      <w:tr>
        <w:tblPrEx>
          <w:tblW w:w="8590" w:type="dxa"/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bottom"/>
          </w:tcPr>
          <w:p w:rsidR="00593F1E">
            <w:pPr>
              <w:widowControl/>
              <w:bidi w:val="0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209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color w:val="000000"/>
                <w:sz w:val="24"/>
                <w:szCs w:val="24"/>
              </w:rPr>
              <w:t>47 799,20</w:t>
            </w:r>
          </w:p>
        </w:tc>
      </w:tr>
      <w:tr>
        <w:tblPrEx>
          <w:tblW w:w="8590" w:type="dxa"/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bottom"/>
          </w:tcPr>
          <w:p w:rsidR="00593F1E">
            <w:pPr>
              <w:widowControl/>
              <w:bidi w:val="0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236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color w:val="000000"/>
                <w:sz w:val="24"/>
                <w:szCs w:val="24"/>
              </w:rPr>
              <w:t>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color w:val="000000"/>
                <w:sz w:val="24"/>
                <w:szCs w:val="24"/>
              </w:rPr>
              <w:t>182 433,80</w:t>
            </w:r>
          </w:p>
        </w:tc>
      </w:tr>
      <w:tr>
        <w:tblPrEx>
          <w:tblW w:w="8590" w:type="dxa"/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bottom"/>
          </w:tcPr>
          <w:p w:rsidR="00593F1E">
            <w:pPr>
              <w:widowControl/>
              <w:bidi w:val="0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398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color w:val="000000"/>
                <w:sz w:val="24"/>
                <w:szCs w:val="24"/>
              </w:rPr>
              <w:t>116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color w:val="000000"/>
                <w:sz w:val="24"/>
                <w:szCs w:val="24"/>
              </w:rPr>
              <w:t>138 972,86</w:t>
            </w:r>
          </w:p>
        </w:tc>
      </w:tr>
      <w:tr>
        <w:tblPrEx>
          <w:tblW w:w="8590" w:type="dxa"/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bottom"/>
          </w:tcPr>
          <w:p w:rsidR="00593F1E">
            <w:pPr>
              <w:widowControl/>
              <w:bidi w:val="0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253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color w:val="000000"/>
                <w:sz w:val="24"/>
                <w:szCs w:val="24"/>
              </w:rPr>
              <w:t>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color w:val="000000"/>
                <w:sz w:val="24"/>
                <w:szCs w:val="24"/>
              </w:rPr>
              <w:t>130 260,00</w:t>
            </w:r>
          </w:p>
        </w:tc>
      </w:tr>
      <w:tr>
        <w:tblPrEx>
          <w:tblW w:w="8590" w:type="dxa"/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bottom"/>
          </w:tcPr>
          <w:p w:rsidR="00593F1E">
            <w:pPr>
              <w:widowControl/>
              <w:bidi w:val="0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color w:val="000000"/>
                <w:sz w:val="24"/>
                <w:szCs w:val="24"/>
              </w:rPr>
              <w:t>62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color w:val="000000"/>
                <w:sz w:val="24"/>
                <w:szCs w:val="24"/>
              </w:rPr>
              <w:t>118 310,00</w:t>
            </w:r>
          </w:p>
        </w:tc>
      </w:tr>
    </w:tbl>
    <w:p w:rsidR="00593F1E">
      <w:pPr>
        <w:widowControl/>
        <w:bidi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93F1E">
      <w:pPr>
        <w:widowControl/>
        <w:bidi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V prípade dostatočného počtu inšpektorov a nárastu počtu environmentálnych kontrol je predpoklad aj nárastu počtu pokút a tým aj príjmu do štátneho rozpočtu. Dôležitejší je dopad na životné prostredie, nakoľko prevádzkovatelia budú prísnejšie strážení v dodržiavaní povinností a tým bude zabezpečená vyššia ochrana životného prostredia.</w:t>
      </w:r>
    </w:p>
    <w:p w:rsidR="00593F1E">
      <w:pPr>
        <w:widowControl/>
        <w:bidi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           Výpočet nákladov na mzdy za 40 pracovníkov bol robený podľa tabuľkového ohodnotenia verejnej správy požadovaných pracovných pozícií. Materiál bol vypracovaný Slovenskou inšpekciou životného prostredia ako zamestnávateľov. Počet zamestnancov navrhnutý s ohľadom na nárast počtu kontrol a ich frekvencie, čo bude tvoriť približne 150%-ný nárast oproti súčasne platným podmienkam vykonávania kontrolnej činnosti Slovenskou inšpekciou životného prostredia.</w:t>
      </w:r>
    </w:p>
    <w:p w:rsidR="00593F1E">
      <w:pPr>
        <w:widowControl/>
        <w:bidi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93F1E">
      <w:pPr>
        <w:widowControl/>
        <w:bidi w:val="0"/>
        <w:spacing w:after="280" w:afterAutospacing="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93F1E">
      <w:pPr>
        <w:bidi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      </w:t>
      </w:r>
    </w:p>
    <w:p w:rsidR="00593F1E">
      <w:pPr>
        <w:bidi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A.4. Alternatívne riešenia</w:t>
      </w:r>
    </w:p>
    <w:p w:rsidR="00593F1E">
      <w:pPr>
        <w:widowControl/>
        <w:bidi w:val="0"/>
        <w:spacing w:after="24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Cs w:val="24"/>
        </w:rPr>
        <w:t>Alternatívne riešenia nie sú navrhnuté.</w:t>
      </w:r>
    </w:p>
    <w:p w:rsidR="00593F1E">
      <w:pPr>
        <w:widowControl/>
        <w:bidi w:val="0"/>
        <w:spacing w:after="280" w:afterAutospacing="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93F1E">
      <w:pPr>
        <w:bidi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93F1E">
      <w:pPr>
        <w:bidi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A.5. Stanovisko gestorov</w:t>
      </w:r>
    </w:p>
    <w:p w:rsidR="00593F1E">
      <w:pPr>
        <w:widowControl/>
        <w:bidi w:val="0"/>
        <w:spacing w:after="280" w:afterAutospacing="1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Nie je. Predbežné pripomienkové konanie sa neuskutočnilo z dôvodu uvedenom v čl. 12 ods. 3 Legislatívnych pravidiel vlády Slovenskej republiky, v ktorom je uvedené, že predbežné pripomienkové konanie sa nevykonáva pri návrhoch zákonov, ktorými Slovenská republika preberá alebo vykonáva právne záväzné akty Európskej únie.  Návrhom zákona o integrovanej prevencii a kontrole znečisťovania životného prostredia a o zmene a doplnení niektorých zákonov sa do slovenského právneho poriadku preberá smernica Európskeho parlamentu a Rady 2010/75/EU o priemyselných emisiách (integrovaná prevencia a kontrola znečisťovania životného prostredia).</w:t>
      </w:r>
    </w:p>
    <w:p w:rsidR="00593F1E">
      <w:pPr>
        <w:widowControl/>
        <w:bidi w:val="0"/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Vplyvy na podnikateľské prostredie</w:t>
      </w:r>
    </w:p>
    <w:p w:rsidR="00593F1E">
      <w:pPr>
        <w:widowControl/>
        <w:bidi w:val="0"/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 </w:t>
      </w:r>
    </w:p>
    <w:tbl>
      <w:tblPr>
        <w:tblStyle w:val="TableNormal"/>
        <w:tblW w:w="9195" w:type="dxa"/>
        <w:tblCellMar>
          <w:left w:w="0" w:type="dxa"/>
          <w:right w:w="0" w:type="dxa"/>
        </w:tblCellMar>
      </w:tblPr>
      <w:tblGrid>
        <w:gridCol w:w="4155"/>
        <w:gridCol w:w="5040"/>
      </w:tblGrid>
      <w:tr>
        <w:tblPrEx>
          <w:tblW w:w="9195" w:type="dxa"/>
          <w:tblCellMar>
            <w:left w:w="0" w:type="dxa"/>
            <w:right w:w="0" w:type="dxa"/>
          </w:tblCellMar>
        </w:tblPrEx>
        <w:trPr>
          <w:trHeight w:val="600"/>
        </w:trPr>
        <w:tc>
          <w:tcPr>
            <w:tcW w:w="91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Vplyvy na podnikateľské prostredie</w:t>
            </w:r>
          </w:p>
        </w:tc>
      </w:tr>
      <w:tr>
        <w:tblPrEx>
          <w:tblW w:w="9195" w:type="dxa"/>
          <w:tblCellMar>
            <w:left w:w="0" w:type="dxa"/>
            <w:right w:w="0" w:type="dxa"/>
          </w:tblCellMar>
        </w:tblPrEx>
        <w:trPr>
          <w:trHeight w:val="2948"/>
        </w:trPr>
        <w:tc>
          <w:tcPr>
            <w:tcW w:w="41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3.1. Ktoré podnikateľské subjekty budú predkladaným návrhom ovplyvnené a aký je ich počet?</w:t>
            </w:r>
          </w:p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Prevádzkovatelia, ktorý prevádzkujú prevádzku s činnosťou definovanou v Prílohe 1 zákona. Transpozíciou novej smernice už pod povoľovanie v zmysle zákona o IPKZ spadajú aj nové činnosti, ktoré majú stanovené prechodné obdobia na prispôsobenie sa novým podmienkam. Celkový počet týchto prevádzkovateľov v Slovenskej republike je cca. 400. Ovplyvnení budú všetci prevádzkovatelia v inom časovom horizonte od 1-8 rokov, kedy dôjde k prehodnoteniu BAT technológií a ich prijatiu rozhodnutím Európskou komisiou, čím sa stanú záväzné pre prevádzkovateľov. Inšpekcia aktualizuje ich povolenie a do 4 rokov od prijatého rozhodnutia by mali zosúladiť prevádzkovatelia ich technológie s prijatými rozhodnutiami o záveroch o najlepších dostupných technikách</w:t>
            </w:r>
          </w:p>
        </w:tc>
      </w:tr>
      <w:tr>
        <w:tblPrEx>
          <w:tblW w:w="9195" w:type="dxa"/>
          <w:tblCellMar>
            <w:left w:w="0" w:type="dxa"/>
            <w:right w:w="0" w:type="dxa"/>
          </w:tblCellMar>
        </w:tblPrEx>
        <w:trPr>
          <w:trHeight w:val="283"/>
        </w:trPr>
        <w:tc>
          <w:tcPr>
            <w:tcW w:w="41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3.2. Aký je predpokladaný charakter a rozsah nákladov a prínosov?</w:t>
            </w:r>
          </w:p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Náklady:</w:t>
            </w:r>
          </w:p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Náklady prevádzkovateľov budú spojené s vypracovaním východiskovej správy, ktorú môže vypracovať iba oprávnená osoba. V oveľa väčšej miere budú náklady pre prevádzkovateľov spojené so zavádzaním najlepších dostupných techník, t.j. s inštaláciou nových technológií a technických prvkov tak aby spĺňali rozhodnutie Európskej komisie pre príslučnú priemyselnú činnosť. Prevádzkovatelia budú musieť zahrnúť tieto náklady do dlhodobého finančného a obchodného plánu.</w:t>
            </w:r>
          </w:p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Prínosy:</w:t>
            </w:r>
          </w:p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Po zavedení nových BAT technológií budú spĺňať najprísnejšie environmenátlne kritériá.   </w:t>
            </w:r>
          </w:p>
        </w:tc>
      </w:tr>
      <w:tr>
        <w:tblPrEx>
          <w:tblW w:w="9195" w:type="dxa"/>
          <w:tblCellMar>
            <w:left w:w="0" w:type="dxa"/>
            <w:right w:w="0" w:type="dxa"/>
          </w:tblCellMar>
        </w:tblPrEx>
        <w:trPr>
          <w:trHeight w:val="600"/>
        </w:trPr>
        <w:tc>
          <w:tcPr>
            <w:tcW w:w="41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3.3. Aká je predpokladaná výška administratívnych nákladov, ktoré podniky vynaložia v súvislosti s implementáciou návrhu?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Výška administratívnych nákladov bude spojená s vypracovaním východiskovej správy. Mierne sa zvyšujú správne poplatky a zavádza sa nový správny poplatok za  predbežné prerokovanie žiadosti.</w:t>
            </w:r>
          </w:p>
        </w:tc>
      </w:tr>
      <w:tr>
        <w:tblPrEx>
          <w:tblW w:w="9195" w:type="dxa"/>
          <w:tblCellMar>
            <w:left w:w="0" w:type="dxa"/>
            <w:right w:w="0" w:type="dxa"/>
          </w:tblCellMar>
        </w:tblPrEx>
        <w:trPr>
          <w:trHeight w:val="680"/>
        </w:trPr>
        <w:tc>
          <w:tcPr>
            <w:tcW w:w="41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3.4. Aké sú dôsledky pripravovaného návrhu pre fungovanie podnikateľských subjektov na slovenskom trhu (ako sa zmenia operácie na trhu?)</w:t>
            </w:r>
          </w:p>
          <w:p w:rsidR="00593F1E">
            <w:pPr>
              <w:widowControl/>
              <w:bidi w:val="0"/>
              <w:spacing w:after="0"/>
              <w:ind w:left="36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Prijatie návrhu zákona bude znamenať v horizonte 4-10 rokov pre prevádzkovateľov značné investičné náklady do nových technológií v zmysle rozhodnutí Európskej komisie o záveroch o najlepších dostupných technikách. Pre niektoré subjekty môže byť zavádzanie uvedených technológií veľmi finančne zaťažujúce a ohrozujúce ich konkurencieschopnosť.</w:t>
            </w:r>
          </w:p>
        </w:tc>
      </w:tr>
      <w:tr>
        <w:tblPrEx>
          <w:tblW w:w="9195" w:type="dxa"/>
          <w:tblCellMar>
            <w:left w:w="0" w:type="dxa"/>
            <w:right w:w="0" w:type="dxa"/>
          </w:tblCellMar>
        </w:tblPrEx>
        <w:trPr>
          <w:trHeight w:val="600"/>
        </w:trPr>
        <w:tc>
          <w:tcPr>
            <w:tcW w:w="41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3.5. Aké sú predpokladané spoločensko – ekonomické dôsledky pripravovaných regulácií?</w:t>
            </w:r>
          </w:p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Dôsledky sa môžu líšiť od jednotlivých regiónov a činnosti v závislosti od náročnosti finančnej náročnosti pre prevádzkovateľov prispôsobiť sa novým podmienkam. Prístup v jednotlivých regiónoch k riešeniu možných vzniknutých problémov a dopadov v niektorých prípadoch aj na zamestnanosť by sa mala riešiť individuálne.</w:t>
            </w:r>
          </w:p>
        </w:tc>
      </w:tr>
    </w:tbl>
    <w:p w:rsidR="00593F1E">
      <w:pPr>
        <w:widowControl/>
        <w:bidi w:val="0"/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  <w:sectPr>
          <w:pgSz w:w="12240" w:h="15840"/>
          <w:pgMar w:top="1440" w:right="1440" w:bottom="1440" w:left="1440" w:header="708" w:footer="708" w:gutter="0"/>
          <w:lnNumType w:distance="0"/>
          <w:cols w:space="708"/>
          <w:bidi w:val="0"/>
        </w:sectPr>
      </w:pPr>
    </w:p>
    <w:p w:rsidR="00593F1E">
      <w:pPr>
        <w:widowControl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93F1E">
      <w:pPr>
        <w:widowControl/>
        <w:bidi w:val="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Vplyvy na rozpočet verejnej správy,</w:t>
      </w:r>
    </w:p>
    <w:p w:rsidR="00593F1E">
      <w:pPr>
        <w:widowControl/>
        <w:bidi w:val="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na zamestnanosť vo verejnej správe a financovanie návrhu</w:t>
      </w:r>
    </w:p>
    <w:p w:rsidR="00593F1E">
      <w:pPr>
        <w:widowControl/>
        <w:bidi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93F1E">
      <w:pPr>
        <w:widowControl/>
        <w:bidi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2.1. Zhrnutie vplyvov na rozpočet verejnej správy v návrhu</w:t>
      </w:r>
    </w:p>
    <w:p w:rsidR="00593F1E">
      <w:pPr>
        <w:widowControl/>
        <w:bidi w:val="0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Tabuľka č. 1 </w:t>
      </w:r>
    </w:p>
    <w:tbl>
      <w:tblPr>
        <w:tblStyle w:val="TableNormal"/>
        <w:tblW w:w="9729" w:type="dxa"/>
        <w:tblCellMar>
          <w:left w:w="0" w:type="dxa"/>
          <w:right w:w="0" w:type="dxa"/>
        </w:tblCellMar>
      </w:tblPr>
      <w:tblGrid>
        <w:gridCol w:w="4526"/>
        <w:gridCol w:w="1256"/>
        <w:gridCol w:w="1250"/>
        <w:gridCol w:w="1253"/>
        <w:gridCol w:w="1444"/>
      </w:tblGrid>
      <w:tr>
        <w:tblPrEx>
          <w:tblW w:w="9729" w:type="dxa"/>
          <w:tblCellMar>
            <w:left w:w="0" w:type="dxa"/>
            <w:right w:w="0" w:type="dxa"/>
          </w:tblCellMar>
        </w:tblPrEx>
        <w:trPr>
          <w:trHeight w:val="194"/>
        </w:trPr>
        <w:tc>
          <w:tcPr>
            <w:tcW w:w="46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00000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Vplyvy na rozpočet verejnej správy</w:t>
            </w:r>
          </w:p>
        </w:tc>
        <w:tc>
          <w:tcPr>
            <w:tcW w:w="5271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00000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 xml:space="preserve">Vplyv na rozpočet verejnej správy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(v eurách)</w:t>
            </w:r>
          </w:p>
        </w:tc>
      </w:tr>
      <w:tr>
        <w:tblPrEx>
          <w:tblW w:w="9729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00000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00000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2014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00000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2015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00000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2016</w:t>
            </w:r>
          </w:p>
        </w:tc>
      </w:tr>
      <w:tr>
        <w:tblPrEx>
          <w:tblW w:w="9729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6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C0C0C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Príjmy verejnej správy celkom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C0C0C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247 020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C0C0C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241 686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C0C0C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234 953 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C0C0C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229 620</w:t>
            </w:r>
          </w:p>
        </w:tc>
      </w:tr>
      <w:tr>
        <w:tblPrEx>
          <w:tblW w:w="9729" w:type="dxa"/>
          <w:tblCellMar>
            <w:left w:w="0" w:type="dxa"/>
            <w:right w:w="0" w:type="dxa"/>
          </w:tblCellMar>
        </w:tblPrEx>
        <w:trPr>
          <w:trHeight w:val="132"/>
        </w:trPr>
        <w:tc>
          <w:tcPr>
            <w:tcW w:w="46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 tom: za každý subjekt verejnej správy zvlášť</w:t>
            </w:r>
          </w:p>
          <w:p w:rsidR="00593F1E">
            <w:pPr>
              <w:widowControl/>
              <w:bidi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SIŽP (odvod do ŠR)</w:t>
            </w:r>
          </w:p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Environmentálny fond*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593F1E">
            <w:pPr>
              <w:widowControl/>
              <w:bidi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247 020</w:t>
            </w:r>
          </w:p>
          <w:p w:rsidR="00593F1E">
            <w:pPr>
              <w:widowControl/>
              <w:bidi w:val="0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               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593F1E">
            <w:pPr>
              <w:widowControl/>
              <w:bidi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241 686</w:t>
            </w:r>
          </w:p>
          <w:p w:rsidR="00593F1E">
            <w:pPr>
              <w:widowControl/>
              <w:bidi w:val="0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          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593F1E">
            <w:pPr>
              <w:widowControl/>
              <w:bidi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234 953</w:t>
            </w:r>
          </w:p>
          <w:p w:rsidR="00593F1E">
            <w:pPr>
              <w:widowControl/>
              <w:bidi w:val="0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593F1E">
            <w:pPr>
              <w:widowControl/>
              <w:bidi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229 620</w:t>
            </w:r>
          </w:p>
          <w:p w:rsidR="00593F1E">
            <w:pPr>
              <w:widowControl/>
              <w:bidi w:val="0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W w:w="9729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6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z toho: 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W w:w="9729" w:type="dxa"/>
          <w:tblCellMar>
            <w:left w:w="0" w:type="dxa"/>
            <w:right w:w="0" w:type="dxa"/>
          </w:tblCellMar>
        </w:tblPrEx>
        <w:trPr>
          <w:trHeight w:val="125"/>
        </w:trPr>
        <w:tc>
          <w:tcPr>
            <w:tcW w:w="46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- vplyv na ŠR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247 020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241 686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234 953 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229 620</w:t>
            </w:r>
          </w:p>
        </w:tc>
      </w:tr>
      <w:tr>
        <w:tblPrEx>
          <w:tblW w:w="9729" w:type="dxa"/>
          <w:tblCellMar>
            <w:left w:w="0" w:type="dxa"/>
            <w:right w:w="0" w:type="dxa"/>
          </w:tblCellMar>
        </w:tblPrEx>
        <w:trPr>
          <w:trHeight w:val="125"/>
        </w:trPr>
        <w:tc>
          <w:tcPr>
            <w:tcW w:w="46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- vplyv na územnú samosprávu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W w:w="9729" w:type="dxa"/>
          <w:tblCellMar>
            <w:left w:w="0" w:type="dxa"/>
            <w:right w:w="0" w:type="dxa"/>
          </w:tblCellMar>
        </w:tblPrEx>
        <w:trPr>
          <w:trHeight w:val="125"/>
        </w:trPr>
        <w:tc>
          <w:tcPr>
            <w:tcW w:w="46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C0C0C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Výdavky verejnej správy celkom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C0C0C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561 940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C0C0C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561 940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C0C0C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561 940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C0C0C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561 940</w:t>
            </w:r>
          </w:p>
        </w:tc>
      </w:tr>
      <w:tr>
        <w:tblPrEx>
          <w:tblW w:w="9729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6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SIŽP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561 940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561 940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561 940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561 940</w:t>
            </w:r>
          </w:p>
        </w:tc>
      </w:tr>
      <w:tr>
        <w:tblPrEx>
          <w:tblW w:w="9729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6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z toho: 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W w:w="9729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6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- vplyv na ŠR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561 940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561 940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561 940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561 940</w:t>
            </w:r>
          </w:p>
        </w:tc>
      </w:tr>
      <w:tr>
        <w:tblPrEx>
          <w:tblW w:w="9729" w:type="dxa"/>
          <w:tblCellMar>
            <w:left w:w="0" w:type="dxa"/>
            <w:right w:w="0" w:type="dxa"/>
          </w:tblCellMar>
        </w:tblPrEx>
        <w:trPr>
          <w:trHeight w:val="125"/>
        </w:trPr>
        <w:tc>
          <w:tcPr>
            <w:tcW w:w="46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- vplyv na územnú samosprávu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W w:w="9729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6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C0C0C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Celková zamestnanosť 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C0C0C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C0C0C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C0C0C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C0C0C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40</w:t>
            </w:r>
          </w:p>
        </w:tc>
      </w:tr>
      <w:tr>
        <w:tblPrEx>
          <w:tblW w:w="9729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6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- z toho vplyv na ŠR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561 940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561 940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561 940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561 940</w:t>
            </w:r>
          </w:p>
        </w:tc>
      </w:tr>
      <w:tr>
        <w:tblPrEx>
          <w:tblW w:w="9729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6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C0C0C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Financovanie zabezpečené v rozpočte MŽP SR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C0C0C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C0C0C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C0C0C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C0C0C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W w:w="9729" w:type="dxa"/>
          <w:tblCellMar>
            <w:left w:w="0" w:type="dxa"/>
            <w:right w:w="0" w:type="dxa"/>
          </w:tblCellMar>
        </w:tblPrEx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593F1E">
      <w:pPr>
        <w:widowControl/>
        <w:bidi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93F1E">
      <w:pPr>
        <w:widowControl/>
        <w:bidi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2.2. Financovanie návrhu</w:t>
      </w:r>
    </w:p>
    <w:p w:rsidR="00593F1E">
      <w:pPr>
        <w:widowControl/>
        <w:bidi w:val="0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Tabuľka č. 2</w:t>
      </w:r>
    </w:p>
    <w:tbl>
      <w:tblPr>
        <w:tblStyle w:val="TableNormal"/>
        <w:tblW w:w="9360" w:type="dxa"/>
        <w:tblCellMar>
          <w:left w:w="0" w:type="dxa"/>
          <w:right w:w="0" w:type="dxa"/>
        </w:tblCellMar>
      </w:tblPr>
      <w:tblGrid>
        <w:gridCol w:w="4185"/>
        <w:gridCol w:w="1249"/>
        <w:gridCol w:w="1249"/>
        <w:gridCol w:w="1249"/>
        <w:gridCol w:w="1428"/>
      </w:tblGrid>
      <w:tr>
        <w:tblPrEx>
          <w:tblW w:w="9360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3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00000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Financovanie</w:t>
            </w:r>
          </w:p>
        </w:tc>
        <w:tc>
          <w:tcPr>
            <w:tcW w:w="5256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00000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 xml:space="preserve">Vplyv na rozpočet verejnej správy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(v eurách)</w:t>
            </w:r>
          </w:p>
        </w:tc>
      </w:tr>
      <w:tr>
        <w:tblPrEx>
          <w:tblW w:w="9360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00000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00000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2014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00000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2015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00000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2016</w:t>
            </w:r>
          </w:p>
        </w:tc>
      </w:tr>
      <w:tr>
        <w:tblPrEx>
          <w:tblW w:w="9360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3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Celkový vplyv na rozpočet verejnej správy (výdavky)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593F1E">
            <w:pPr>
              <w:widowControl/>
              <w:bidi w:val="0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561 940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593F1E">
            <w:pPr>
              <w:widowControl/>
              <w:bidi w:val="0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561 940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593F1E">
            <w:pPr>
              <w:widowControl/>
              <w:bidi w:val="0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561 940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593F1E">
            <w:pPr>
              <w:widowControl/>
              <w:bidi w:val="0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561 940</w:t>
            </w:r>
          </w:p>
        </w:tc>
      </w:tr>
      <w:tr>
        <w:tblPrEx>
          <w:tblW w:w="9360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3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 z toho vplyv na ŠR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561 940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561 940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561 940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561 940</w:t>
            </w:r>
          </w:p>
        </w:tc>
      </w:tr>
      <w:tr>
        <w:tblPrEx>
          <w:tblW w:w="9360" w:type="dxa"/>
          <w:tblCellMar>
            <w:left w:w="0" w:type="dxa"/>
            <w:right w:w="0" w:type="dxa"/>
          </w:tblCellMar>
        </w:tblPrEx>
        <w:trPr>
          <w:trHeight w:val="151"/>
        </w:trPr>
        <w:tc>
          <w:tcPr>
            <w:tcW w:w="43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financovanie zabezpečené v rozpočte MŽP SR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W w:w="9360" w:type="dxa"/>
          <w:tblCellMar>
            <w:left w:w="0" w:type="dxa"/>
            <w:right w:w="0" w:type="dxa"/>
          </w:tblCellMar>
        </w:tblPrEx>
        <w:trPr>
          <w:trHeight w:val="135"/>
        </w:trPr>
        <w:tc>
          <w:tcPr>
            <w:tcW w:w="43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ostatné zdroje financovania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W w:w="9360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3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Rozpočtovo nekrytý vplyv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561 940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561 940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561 940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561 940</w:t>
            </w:r>
          </w:p>
        </w:tc>
      </w:tr>
      <w:tr>
        <w:tblPrEx>
          <w:tblW w:w="9360" w:type="dxa"/>
          <w:tblCellMar>
            <w:left w:w="0" w:type="dxa"/>
            <w:right w:w="0" w:type="dxa"/>
          </w:tblCellMar>
        </w:tblPrEx>
        <w:tc>
          <w:tcPr>
            <w:tcW w:w="430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593F1E">
      <w:pPr>
        <w:widowControl/>
        <w:bidi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93F1E">
      <w:pPr>
        <w:widowControl/>
        <w:bidi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93F1E">
      <w:pPr>
        <w:widowControl/>
        <w:bidi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Návrh na riešenie úbytku príjmov alebo zvýšených výdavkov podľa § 33 ods. 1 zákona č. 523/2004 Z. z. o rozpočtových pravidlách verejnej správy:</w:t>
      </w:r>
    </w:p>
    <w:p w:rsidR="00593F1E">
      <w:pPr>
        <w:widowControl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V súčasnosti nie je možné predpokladať výšku pokút uložených SIŽP za porušenie predpisov, ktoré budú príjmom Environmentálneho fondu. Príjmy SIŽP predstavujú príjmy za správne poplatky, ktoré budú odvedené do štátneho rozpočtu.</w:t>
      </w:r>
    </w:p>
    <w:p w:rsidR="00593F1E">
      <w:pPr>
        <w:widowControl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93F1E">
      <w:pPr>
        <w:widowControl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93F1E">
      <w:pPr>
        <w:widowControl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93F1E">
      <w:pPr>
        <w:widowControl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Zvýšené rozpočtové výdavky zabezpečí MŽP SR v rámci schválených rozpočtových limitov na príslušný rozpočtový rok.</w:t>
      </w:r>
    </w:p>
    <w:p w:rsidR="00593F1E">
      <w:pPr>
        <w:widowControl/>
        <w:bidi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93F1E">
      <w:pPr>
        <w:widowControl/>
        <w:bidi w:val="0"/>
        <w:spacing w:after="0"/>
        <w:rPr>
          <w:rFonts w:ascii="Times New Roman" w:hAnsi="Times New Roman"/>
          <w:color w:val="000000"/>
          <w:sz w:val="24"/>
          <w:szCs w:val="24"/>
        </w:rPr>
      </w:pPr>
      <w:bookmarkStart w:id="0" w:name="OLE_LINK1"/>
      <w:bookmarkEnd w:id="0"/>
      <w:r>
        <w:rPr>
          <w:rFonts w:ascii="Times New Roman" w:hAnsi="Times New Roman"/>
          <w:color w:val="000000"/>
          <w:sz w:val="24"/>
          <w:szCs w:val="24"/>
        </w:rPr>
        <w:t>  </w:t>
      </w:r>
    </w:p>
    <w:p w:rsidR="00593F1E">
      <w:pPr>
        <w:widowControl/>
        <w:bidi w:val="0"/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93F1E">
      <w:pPr>
        <w:widowControl/>
        <w:bidi w:val="0"/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93F1E">
      <w:pPr>
        <w:widowControl/>
        <w:bidi w:val="0"/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93F1E">
      <w:pPr>
        <w:widowControl/>
        <w:bidi w:val="0"/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2.3. Popis a charakteristika návrhu</w:t>
      </w:r>
    </w:p>
    <w:p w:rsidR="00593F1E">
      <w:pPr>
        <w:widowControl/>
        <w:bidi w:val="0"/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93F1E">
      <w:pPr>
        <w:widowControl/>
        <w:bidi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2.3.1. Popis návrhu:</w:t>
      </w:r>
    </w:p>
    <w:p w:rsidR="00593F1E">
      <w:pPr>
        <w:widowControl/>
        <w:bidi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93F1E">
      <w:pPr>
        <w:widowControl/>
        <w:bidi w:val="0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Akú problematiku návrhu rieši? Kto bude návrh implementovať? Kde sa budú služby poskytovať?</w:t>
      </w:r>
    </w:p>
    <w:p w:rsidR="00593F1E">
      <w:pPr>
        <w:widowControl/>
        <w:bidi w:val="0"/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.......................................................................................................................................................</w:t>
      </w:r>
    </w:p>
    <w:p w:rsidR="00593F1E">
      <w:pPr>
        <w:widowControl/>
        <w:bidi w:val="0"/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2.3.2. Charakteristika návrhu podľa bodu  2.3.2. Metodiky :</w:t>
      </w:r>
    </w:p>
    <w:p w:rsidR="00593F1E">
      <w:pPr>
        <w:widowControl/>
        <w:bidi w:val="0"/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93F1E">
      <w:pPr>
        <w:widowControl/>
        <w:bidi w:val="0"/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      zmena sadzby</w:t>
      </w:r>
    </w:p>
    <w:p w:rsidR="00593F1E">
      <w:pPr>
        <w:widowControl/>
        <w:bidi w:val="0"/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bdr w:val="single" w:sz="8" w:space="0" w:color="000000"/>
        </w:rPr>
        <w:t> X </w:t>
      </w:r>
      <w:r>
        <w:rPr>
          <w:rFonts w:ascii="Times New Roman" w:hAnsi="Times New Roman"/>
          <w:color w:val="000000"/>
          <w:sz w:val="24"/>
          <w:szCs w:val="24"/>
        </w:rPr>
        <w:t>  zmena v nároku</w:t>
      </w:r>
    </w:p>
    <w:p w:rsidR="00593F1E">
      <w:pPr>
        <w:widowControl/>
        <w:bidi w:val="0"/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bdr w:val="single" w:sz="8" w:space="0" w:color="000000"/>
        </w:rPr>
        <w:t xml:space="preserve">     </w:t>
      </w:r>
      <w:r>
        <w:rPr>
          <w:rFonts w:ascii="Times New Roman" w:hAnsi="Times New Roman"/>
          <w:color w:val="000000"/>
          <w:sz w:val="24"/>
          <w:szCs w:val="24"/>
        </w:rPr>
        <w:t>  nová služba alebo nariadenie (alebo ich zrušenie)</w:t>
      </w:r>
    </w:p>
    <w:p w:rsidR="00593F1E">
      <w:pPr>
        <w:widowControl/>
        <w:bidi w:val="0"/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bdr w:val="single" w:sz="8" w:space="0" w:color="000000"/>
        </w:rPr>
        <w:t xml:space="preserve">     </w:t>
      </w:r>
      <w:r>
        <w:rPr>
          <w:rFonts w:ascii="Times New Roman" w:hAnsi="Times New Roman"/>
          <w:color w:val="000000"/>
          <w:sz w:val="24"/>
          <w:szCs w:val="24"/>
        </w:rPr>
        <w:t>  kombinovaný návrh</w:t>
      </w:r>
    </w:p>
    <w:p w:rsidR="00593F1E">
      <w:pPr>
        <w:widowControl/>
        <w:bidi w:val="0"/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bdr w:val="single" w:sz="8" w:space="0" w:color="000000"/>
        </w:rPr>
        <w:t xml:space="preserve">     </w:t>
      </w:r>
      <w:r>
        <w:rPr>
          <w:rFonts w:ascii="Times New Roman" w:hAnsi="Times New Roman"/>
          <w:color w:val="000000"/>
          <w:sz w:val="24"/>
          <w:szCs w:val="24"/>
        </w:rPr>
        <w:t xml:space="preserve">  iné </w:t>
      </w:r>
    </w:p>
    <w:p w:rsidR="00593F1E">
      <w:pPr>
        <w:widowControl/>
        <w:bidi w:val="0"/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93F1E">
      <w:pPr>
        <w:widowControl/>
        <w:bidi w:val="0"/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93F1E">
      <w:pPr>
        <w:widowControl/>
        <w:bidi w:val="0"/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2.3.3. Predpoklady vývoja objemu aktivít:</w:t>
      </w:r>
    </w:p>
    <w:p w:rsidR="00593F1E">
      <w:pPr>
        <w:widowControl/>
        <w:bidi w:val="0"/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93F1E">
      <w:pPr>
        <w:widowControl/>
        <w:bidi w:val="0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Jasne popíšte, v prípade potreby použite nižšie uvedenú tabuľku. Uveďte aj odhady základov daní a/alebo poplatkov, ak sa ich táto zmena týka.</w:t>
      </w:r>
    </w:p>
    <w:p w:rsidR="00593F1E">
      <w:pPr>
        <w:widowControl/>
        <w:bidi w:val="0"/>
        <w:spacing w:after="0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0"/>
          <w:szCs w:val="24"/>
        </w:rPr>
        <w:t xml:space="preserve">Tabuľka č. 3 </w:t>
      </w:r>
    </w:p>
    <w:tbl>
      <w:tblPr>
        <w:tblStyle w:val="TableNormal"/>
        <w:tblW w:w="0" w:type="auto"/>
        <w:tblCellMar>
          <w:left w:w="0" w:type="dxa"/>
          <w:right w:w="0" w:type="dxa"/>
        </w:tblCellMar>
      </w:tblPr>
      <w:tblGrid>
        <w:gridCol w:w="4530"/>
        <w:gridCol w:w="1134"/>
        <w:gridCol w:w="1134"/>
        <w:gridCol w:w="1134"/>
        <w:gridCol w:w="1592"/>
      </w:tblGrid>
      <w:tr>
        <w:tblPrEx>
          <w:tblW w:w="0" w:type="auto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5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000000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Objem aktivít</w:t>
            </w:r>
          </w:p>
        </w:tc>
        <w:tc>
          <w:tcPr>
            <w:tcW w:w="499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000000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Odhadované objemy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000000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000000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r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000000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r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000000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r 3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5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Indikátor ABC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5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Indikátor KLM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5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Indikátor XYZ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593F1E">
      <w:pPr>
        <w:widowControl/>
        <w:bidi w:val="0"/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93F1E">
      <w:pPr>
        <w:widowControl/>
        <w:bidi w:val="0"/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93F1E">
      <w:pPr>
        <w:widowControl/>
        <w:bidi w:val="0"/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2.3.4. Výpočty vplyvov na verejné financie</w:t>
      </w:r>
    </w:p>
    <w:p w:rsidR="00593F1E">
      <w:pPr>
        <w:widowControl/>
        <w:bidi w:val="0"/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93F1E">
      <w:pPr>
        <w:widowControl/>
        <w:bidi w:val="0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Uveďte najdôležitejšie výpočty, ktoré boli použité na stanovenie vplyvov na príjmy a výdavky, ako aj predpoklady, z ktorých ste vychádzali. Predkladateľ by mal jasne odlíšiť podklady od kapitol a organizácií, aby bolo jasne vidieť základ použitý na výpočty.</w:t>
      </w:r>
    </w:p>
    <w:p w:rsidR="00593F1E">
      <w:pPr>
        <w:widowControl/>
        <w:bidi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93F1E">
      <w:pPr>
        <w:widowControl/>
        <w:bidi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 Tabuľka č. 4 </w:t>
      </w:r>
    </w:p>
    <w:p w:rsidR="00593F1E">
      <w:pPr>
        <w:widowControl/>
        <w:bidi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</w:t>
      </w:r>
    </w:p>
    <w:tbl>
      <w:tblPr>
        <w:tblStyle w:val="TableNormal"/>
        <w:tblW w:w="5000" w:type="pct"/>
        <w:tblCellMar>
          <w:left w:w="0" w:type="dxa"/>
          <w:right w:w="0" w:type="dxa"/>
        </w:tblCellMar>
      </w:tblPr>
      <w:tblGrid>
        <w:gridCol w:w="3369"/>
        <w:gridCol w:w="1022"/>
        <w:gridCol w:w="1022"/>
        <w:gridCol w:w="1022"/>
        <w:gridCol w:w="1022"/>
        <w:gridCol w:w="2043"/>
      </w:tblGrid>
      <w:tr>
        <w:tblPrEx>
          <w:tblW w:w="5000" w:type="pct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1773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00000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Príjmy (v eurách)</w:t>
            </w:r>
          </w:p>
        </w:tc>
        <w:tc>
          <w:tcPr>
            <w:tcW w:w="2151" w:type="pct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00000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Vplyv na rozpočet verejnej správy</w:t>
            </w:r>
          </w:p>
        </w:tc>
        <w:tc>
          <w:tcPr>
            <w:tcW w:w="107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00000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poznámka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00000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r</w:t>
            </w: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00000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r 1</w:t>
            </w: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00000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r 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00000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r 3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177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Daňové príjmy (100)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177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Nedaňové príjmy (200)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</w:rPr>
              <w:t>1</w:t>
            </w:r>
          </w:p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Administratívne poplatky (221)</w:t>
            </w:r>
          </w:p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Poplatky a platby z nepriemyselného a náhodného predaja a služieb (223)</w:t>
            </w: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247 020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241 686</w:t>
            </w: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234 953</w:t>
            </w: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229 620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177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Granty a transfery (300)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177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Príjmy z transakcií s finančnými aktívami a finančnými pasívami (400)</w:t>
            </w: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99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99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99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99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177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Prijaté úvery, pôžičky a návratné finančné výpomoci (500)</w:t>
            </w: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99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99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99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99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177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00000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Dopad na príjmy verejnej správy celkom</w:t>
            </w: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00000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247 020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00000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241 686</w:t>
            </w: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00000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234 953</w:t>
            </w: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00000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229 620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00000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177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593F1E">
      <w:pPr>
        <w:widowControl/>
        <w:bidi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0"/>
          <w:szCs w:val="24"/>
        </w:rPr>
        <w:t xml:space="preserve">1 –  príjmy rozpísať až do položiek platnej ekonomickej klasifikácie    </w:t>
      </w:r>
    </w:p>
    <w:p w:rsidR="00593F1E">
      <w:pPr>
        <w:widowControl/>
        <w:bidi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93F1E">
      <w:pPr>
        <w:widowControl/>
        <w:bidi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0"/>
          <w:szCs w:val="24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</w:t>
      </w:r>
    </w:p>
    <w:p w:rsidR="00593F1E">
      <w:pPr>
        <w:widowControl/>
        <w:bidi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0"/>
          <w:szCs w:val="24"/>
        </w:rPr>
        <w:t>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Fonts w:ascii="Times New Roman" w:hAnsi="Times New Roman"/>
          <w:color w:val="000000"/>
          <w:sz w:val="24"/>
          <w:szCs w:val="24"/>
        </w:rPr>
        <w:t xml:space="preserve">Tabuľka č. 5 </w:t>
      </w:r>
    </w:p>
    <w:p w:rsidR="00593F1E">
      <w:pPr>
        <w:widowControl/>
        <w:bidi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</w:t>
      </w:r>
    </w:p>
    <w:tbl>
      <w:tblPr>
        <w:tblStyle w:val="TableNormal"/>
        <w:tblW w:w="5000" w:type="pct"/>
        <w:tblCellMar>
          <w:left w:w="0" w:type="dxa"/>
          <w:right w:w="0" w:type="dxa"/>
        </w:tblCellMar>
      </w:tblPr>
      <w:tblGrid>
        <w:gridCol w:w="4264"/>
        <w:gridCol w:w="865"/>
        <w:gridCol w:w="865"/>
        <w:gridCol w:w="865"/>
        <w:gridCol w:w="1001"/>
        <w:gridCol w:w="1640"/>
      </w:tblGrid>
      <w:tr>
        <w:tblPrEx>
          <w:tblW w:w="5000" w:type="pct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228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00000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Výdavky (v eurách)</w:t>
            </w:r>
          </w:p>
        </w:tc>
        <w:tc>
          <w:tcPr>
            <w:tcW w:w="2059" w:type="pct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00000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/>
                <w:sz w:val="20"/>
                <w:szCs w:val="24"/>
              </w:rPr>
              <w:t>Vplyv na rozpočet verejnej správy</w:t>
            </w:r>
          </w:p>
        </w:tc>
        <w:tc>
          <w:tcPr>
            <w:tcW w:w="65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00000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poznámka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val="197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00000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00000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00000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00000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val="848"/>
        </w:trPr>
        <w:tc>
          <w:tcPr>
            <w:tcW w:w="228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Bežné výdavky (600)</w:t>
            </w:r>
          </w:p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MŽP SR (SIŽP)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561 940</w:t>
            </w:r>
          </w:p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561 940</w:t>
            </w:r>
          </w:p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561 940</w:t>
            </w:r>
          </w:p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561 940</w:t>
            </w:r>
          </w:p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561 940</w:t>
            </w:r>
          </w:p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561 940</w:t>
            </w:r>
          </w:p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561 940</w:t>
            </w:r>
          </w:p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561 940</w:t>
            </w:r>
          </w:p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val="495"/>
        </w:trPr>
        <w:tc>
          <w:tcPr>
            <w:tcW w:w="228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Mzdy, platy, služobné príjmy a ostatné osobné vyrovnania (610) spolu</w:t>
            </w:r>
          </w:p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9. platová trieda ŠS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360 000</w:t>
            </w:r>
          </w:p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360 000</w:t>
            </w:r>
          </w:p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360 000</w:t>
            </w:r>
          </w:p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360 000</w:t>
            </w:r>
          </w:p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val="501"/>
        </w:trPr>
        <w:tc>
          <w:tcPr>
            <w:tcW w:w="228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Poistné a príspevok do poisťovní (620) spolu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125 820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125 820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125 820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125 820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228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Tovary a služby (630)</w:t>
            </w:r>
            <w:r>
              <w:rPr>
                <w:rFonts w:ascii="Times New Roman" w:hAnsi="Times New Roman"/>
                <w:b/>
                <w:color w:val="000000"/>
                <w:sz w:val="20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color w:val="000000"/>
                <w:sz w:val="30"/>
                <w:szCs w:val="24"/>
                <w:vertAlign w:val="superscript"/>
              </w:rPr>
              <w:t xml:space="preserve"> s</w:t>
            </w:r>
          </w:p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76 120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76 120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76 120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76 120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Predpokladaný náklad na zamestnanca 1903 Eur/ rok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228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Bežné transfery (640)</w:t>
            </w:r>
          </w:p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228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  Splácanie úrokov a ostatné platby súvisiace s úvermi, pôžičkami a NFV (650)</w:t>
            </w:r>
            <w:r>
              <w:rPr>
                <w:rFonts w:ascii="Times New Roman" w:hAnsi="Times New Roman"/>
                <w:color w:val="000000"/>
                <w:sz w:val="20"/>
                <w:szCs w:val="24"/>
                <w:vertAlign w:val="superscript"/>
              </w:rPr>
              <w:t>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228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Kapitálové výdavky (700)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228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  Obstarávanie kapitálových aktív (710)</w:t>
            </w:r>
            <w:r>
              <w:rPr>
                <w:rFonts w:ascii="Times New Roman" w:hAnsi="Times New Roman"/>
                <w:color w:val="000000"/>
                <w:sz w:val="20"/>
                <w:szCs w:val="24"/>
                <w:vertAlign w:val="superscript"/>
              </w:rPr>
              <w:t>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228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  Kapitálové transfery (720)</w:t>
            </w:r>
            <w:r>
              <w:rPr>
                <w:rFonts w:ascii="Times New Roman" w:hAnsi="Times New Roman"/>
                <w:color w:val="000000"/>
                <w:sz w:val="20"/>
                <w:szCs w:val="24"/>
                <w:vertAlign w:val="superscript"/>
              </w:rPr>
              <w:t>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228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Výdavky z transakcií s finančnými aktívami a finančnými pasívami (800)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99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99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99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99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2286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00000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/>
                <w:sz w:val="20"/>
                <w:szCs w:val="24"/>
              </w:rPr>
              <w:t>Dopad na výdavky verejnej správy celkom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00000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561 940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00000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561 940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00000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561 940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00000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561 940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00000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228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  z toho výdavky na ŠR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561 940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561 940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561 940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561 940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228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   Bežné výdavky</w:t>
            </w:r>
            <w:r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4"/>
              </w:rPr>
              <w:t>(600)</w:t>
            </w:r>
            <w:r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 xml:space="preserve"> 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485 820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485 820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485 820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485 820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228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    </w:t>
            </w:r>
            <w:r>
              <w:rPr>
                <w:rFonts w:ascii="Times New Roman" w:hAnsi="Times New Roman"/>
                <w:color w:val="000000"/>
                <w:sz w:val="20"/>
                <w:szCs w:val="24"/>
              </w:rPr>
              <w:t>Mzdy, platy, služobné príjmy a ostatné osobné vyrovnania (610)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360 000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360 000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360 000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360 000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228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    Kapitálové výdavky (700)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228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    Výdavky z transakcií s finančnými aktívami a finančnými pasívami (800)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228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593F1E">
      <w:pPr>
        <w:widowControl/>
        <w:bidi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0"/>
          <w:szCs w:val="24"/>
        </w:rPr>
        <w:t>2 –  výdavky rozpísať až do položiek platnej ekonomickej klasifikácie</w:t>
      </w:r>
    </w:p>
    <w:p w:rsidR="00593F1E">
      <w:pPr>
        <w:widowControl/>
        <w:bidi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0"/>
          <w:szCs w:val="24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</w:t>
      </w:r>
      <w:r>
        <w:rPr>
          <w:rFonts w:ascii="Times New Roman" w:hAnsi="Times New Roman"/>
          <w:color w:val="000000"/>
          <w:sz w:val="24"/>
          <w:szCs w:val="24"/>
        </w:rPr>
        <w:t>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593F1E">
      <w:pPr>
        <w:widowControl/>
        <w:bidi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93F1E">
      <w:pPr>
        <w:widowControl/>
        <w:bidi w:val="0"/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page"/>
      </w:r>
    </w:p>
    <w:p w:rsidR="00593F1E">
      <w:pPr>
        <w:widowControl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93F1E">
      <w:pPr>
        <w:widowControl/>
        <w:bidi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Tabuľka č. 6 </w:t>
      </w:r>
    </w:p>
    <w:tbl>
      <w:tblPr>
        <w:tblStyle w:val="TableNormal"/>
        <w:tblW w:w="5000" w:type="pct"/>
        <w:tblCellMar>
          <w:left w:w="0" w:type="dxa"/>
          <w:right w:w="0" w:type="dxa"/>
        </w:tblCellMar>
      </w:tblPr>
      <w:tblGrid>
        <w:gridCol w:w="3728"/>
        <w:gridCol w:w="942"/>
        <w:gridCol w:w="1005"/>
        <w:gridCol w:w="355"/>
        <w:gridCol w:w="937"/>
        <w:gridCol w:w="975"/>
        <w:gridCol w:w="587"/>
        <w:gridCol w:w="971"/>
      </w:tblGrid>
      <w:tr>
        <w:tblPrEx>
          <w:tblW w:w="5000" w:type="pct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1962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00000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Zamestnanosť</w:t>
            </w:r>
          </w:p>
        </w:tc>
        <w:tc>
          <w:tcPr>
            <w:tcW w:w="2217" w:type="pct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00000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Vplyv na rozpočet verejnej správy</w:t>
            </w:r>
          </w:p>
        </w:tc>
        <w:tc>
          <w:tcPr>
            <w:tcW w:w="819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00000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poznámka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000000" w:fill="auto"/>
            <w:tcMar>
              <w:left w:w="7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000000" w:fill="auto"/>
            <w:tcMar>
              <w:left w:w="7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68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000000" w:fill="auto"/>
            <w:tcMar>
              <w:left w:w="7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000000" w:fill="auto"/>
            <w:tcMar>
              <w:left w:w="7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19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lrTb"/>
            <w:vAlign w:val="top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Počet zamestnancov celkom*</w:t>
            </w:r>
          </w:p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z toho: SIŽP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40</w:t>
            </w:r>
          </w:p>
        </w:tc>
        <w:tc>
          <w:tcPr>
            <w:tcW w:w="68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40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19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lrTb"/>
            <w:vAlign w:val="top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  z toho vplyv na ŠR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19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lrTb"/>
            <w:vAlign w:val="top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Priemerný mzdový výdavok (v eurách)*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750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750</w:t>
            </w:r>
          </w:p>
        </w:tc>
        <w:tc>
          <w:tcPr>
            <w:tcW w:w="68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750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750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19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lrTb"/>
            <w:vAlign w:val="top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  z toho vplyv na ŠR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750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750</w:t>
            </w:r>
          </w:p>
        </w:tc>
        <w:tc>
          <w:tcPr>
            <w:tcW w:w="68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750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750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19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000000" w:fill="auto"/>
            <w:textDirection w:val="lrTb"/>
            <w:vAlign w:val="top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Osobné výdavky celkom (v eurách)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000000" w:fill="auto"/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000000" w:fill="auto"/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000000" w:fill="auto"/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000000" w:fill="auto"/>
            <w:tcMar>
              <w:left w:w="7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000000" w:fill="auto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19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lrTb"/>
            <w:vAlign w:val="top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Mzdy, platy, služobné príjmy a ostatné osobné vyrovnania (610)* 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360 000</w:t>
            </w:r>
          </w:p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360 000</w:t>
            </w:r>
          </w:p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360 000</w:t>
            </w:r>
          </w:p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360 000</w:t>
            </w:r>
          </w:p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19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lrTb"/>
            <w:vAlign w:val="top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  z toho vplyv na ŠR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360 000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360 000</w:t>
            </w:r>
          </w:p>
        </w:tc>
        <w:tc>
          <w:tcPr>
            <w:tcW w:w="68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360 000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360 000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19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lrTb"/>
            <w:vAlign w:val="top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Poistné a príspevok do poisťovní (620)*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125 820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125 820</w:t>
            </w:r>
          </w:p>
        </w:tc>
        <w:tc>
          <w:tcPr>
            <w:tcW w:w="68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125 820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125 820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19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lrTb"/>
            <w:vAlign w:val="top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  z toho vplyv na ŠR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125 820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125 820</w:t>
            </w:r>
          </w:p>
        </w:tc>
        <w:tc>
          <w:tcPr>
            <w:tcW w:w="68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125 820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125 820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textDirection w:val="lrTb"/>
            <w:vAlign w:val="bottom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textDirection w:val="lrTb"/>
            <w:vAlign w:val="bottom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textDirection w:val="lrTb"/>
            <w:vAlign w:val="bottom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pct"/>
            <w:gridSpan w:val="2"/>
            <w:tcBorders>
              <w:top w:val="nil"/>
              <w:left w:val="nil"/>
              <w:bottom w:val="nil"/>
              <w:right w:val="nil"/>
            </w:tcBorders>
            <w:textDirection w:val="lrTb"/>
            <w:vAlign w:val="bottom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  <w:textDirection w:val="lrTb"/>
            <w:vAlign w:val="bottom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Poznámky: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textDirection w:val="lrTb"/>
            <w:vAlign w:val="bottom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textDirection w:val="lrTb"/>
            <w:vAlign w:val="bottom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pct"/>
            <w:gridSpan w:val="2"/>
            <w:tcBorders>
              <w:top w:val="nil"/>
              <w:left w:val="nil"/>
              <w:bottom w:val="nil"/>
              <w:right w:val="nil"/>
            </w:tcBorders>
            <w:textDirection w:val="lrTb"/>
            <w:vAlign w:val="bottom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  <w:textDirection w:val="lrTb"/>
            <w:vAlign w:val="bottom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180" w:type="pct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Priemerný mzdový výdavok je tvorený podielom mzdových výdavkov na jedného zamestnanca na jeden kalendárny mesiac bežného roka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Poistné tvorí podiel mzdových výdavkov, pričom za organizácie v pôsobnosti kapitol štátneho rozpočtu, s výnimkou prenesených kompetencií výkonu štátnej správy,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pre zamestnancov štátnej služby a zamestnancov pri výkone práce vo verejnom záujme predstavuje  34,95 %,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 pre policajtov, profesionálnych vojakov, colníkov, hasičov vrátane horskej záchrannej služby predstavuje 33,2 %. Pre ostatné subjekty verejnej správy vrátane prenesených kompetencií výkonu štátnej správy poistné tvorí podiel zodpovedajúci  35,2 %.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3174" w:type="pct"/>
            <w:gridSpan w:val="4"/>
            <w:tcBorders>
              <w:top w:val="nil"/>
              <w:left w:val="nil"/>
              <w:bottom w:val="nil"/>
              <w:right w:val="nil"/>
            </w:tcBorders>
            <w:textDirection w:val="lrTb"/>
            <w:vAlign w:val="bottom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Kategórie 610 a 620 sú z tejto prílohy automaticky prenášané do príslušných kategórií prílohy „výdavky“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  <w:textDirection w:val="lrTb"/>
            <w:vAlign w:val="bottom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  <w:textDirection w:val="lrTb"/>
            <w:vAlign w:val="bottom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593F1E">
      <w:pPr>
        <w:widowControl/>
        <w:bidi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93F1E">
      <w:pPr>
        <w:widowControl/>
        <w:bidi w:val="0"/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* počet zamestnancov,  mzdy a poistné rozpísať podľa spôsobu odmeňovania (napr. policajti, colníci ...)</w:t>
      </w:r>
    </w:p>
    <w:p w:rsidR="00593F1E">
      <w:pPr>
        <w:widowControl/>
        <w:bidi w:val="0"/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93F1E">
      <w:pPr>
        <w:widowControl/>
        <w:bidi w:val="0"/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page"/>
      </w:r>
    </w:p>
    <w:p w:rsidR="00593F1E">
      <w:pPr>
        <w:widowControl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93F1E">
      <w:pPr>
        <w:widowControl/>
        <w:bidi w:val="0"/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93F1E">
      <w:pPr>
        <w:widowControl/>
        <w:bidi w:val="0"/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Vplyvy na životné prostredie</w:t>
      </w:r>
    </w:p>
    <w:p w:rsidR="00593F1E">
      <w:pPr>
        <w:widowControl/>
        <w:bidi w:val="0"/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</w:t>
      </w:r>
    </w:p>
    <w:tbl>
      <w:tblPr>
        <w:tblStyle w:val="TableNormal"/>
        <w:tblW w:w="5000" w:type="pct"/>
        <w:tblCellMar>
          <w:left w:w="0" w:type="dxa"/>
          <w:right w:w="0" w:type="dxa"/>
        </w:tblCellMar>
      </w:tblPr>
      <w:tblGrid>
        <w:gridCol w:w="4680"/>
        <w:gridCol w:w="4680"/>
      </w:tblGrid>
      <w:tr>
        <w:tblPrEx>
          <w:tblW w:w="5000" w:type="pct"/>
          <w:tblCellMar>
            <w:left w:w="0" w:type="dxa"/>
            <w:right w:w="0" w:type="dxa"/>
          </w:tblCellMar>
        </w:tblPrEx>
        <w:trPr>
          <w:trHeight w:val="159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solid" w:color="000000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FFFFFF"/>
                <w:sz w:val="32"/>
                <w:szCs w:val="24"/>
              </w:rPr>
              <w:t> </w:t>
            </w:r>
            <w:r>
              <w:rPr>
                <w:rFonts w:ascii="Times New Roman" w:hAnsi="Times New Roman"/>
                <w:b/>
                <w:color w:val="FFFFFF"/>
                <w:sz w:val="32"/>
                <w:szCs w:val="24"/>
              </w:rPr>
              <w:t>Životné prostredie</w:t>
            </w:r>
          </w:p>
          <w:tbl>
            <w:tblPr>
              <w:tblStyle w:val="TableNormal"/>
              <w:tblCellMar>
                <w:left w:w="0" w:type="dxa"/>
                <w:right w:w="0" w:type="dxa"/>
              </w:tblCellMar>
            </w:tblPr>
            <w:tblGrid>
              <w:gridCol w:w="570"/>
            </w:tblGrid>
            <w:tr>
              <w:tblPrEx>
                <w:tblCellMar>
                  <w:left w:w="0" w:type="dxa"/>
                  <w:right w:w="0" w:type="dxa"/>
                </w:tblCellMar>
              </w:tblPrEx>
              <w:trPr>
                <w:trHeight w:val="159"/>
              </w:trPr>
              <w:tc>
                <w:tcPr>
                  <w:tcW w:w="3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solid" w:color="000000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textDirection w:val="lrTb"/>
                  <w:vAlign w:val="center"/>
                </w:tcPr>
                <w:p w:rsidR="00593F1E">
                  <w:pPr>
                    <w:widowControl/>
                    <w:bidi w:val="0"/>
                    <w:spacing w:after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val="711"/>
        </w:trPr>
        <w:tc>
          <w:tcPr>
            <w:tcW w:w="25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3"/>
                <w:szCs w:val="24"/>
              </w:rPr>
              <w:t xml:space="preserve">5.1. </w:t>
            </w:r>
            <w:r>
              <w:rPr>
                <w:rFonts w:ascii="Times New Roman" w:hAnsi="Times New Roman"/>
                <w:color w:val="000000"/>
                <w:sz w:val="23"/>
                <w:szCs w:val="24"/>
              </w:rPr>
              <w:t xml:space="preserve">Ktoré zložky životného prostredia (najmä ovzdušie, voda, horniny, pôda, organizmy) budú návrhom ovplyvnené a aký bude ich vplyv (pozitívny alebo negatívny)?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3"/>
                <w:szCs w:val="24"/>
              </w:rPr>
              <w:t>Ovplyvnené budú všetky zložky životného prostredia pozitívne, nakoľko prevádzkovatelia podľa zákona budú povinný zavádzať najlepšie dostupné techniky, čím sa bude chrániť životné prostredie a jeho všetky zložky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val="297"/>
        </w:trPr>
        <w:tc>
          <w:tcPr>
            <w:tcW w:w="25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3"/>
                <w:szCs w:val="24"/>
              </w:rPr>
              <w:t xml:space="preserve">5.2. </w:t>
            </w:r>
            <w:r>
              <w:rPr>
                <w:rFonts w:ascii="Times New Roman" w:hAnsi="Times New Roman"/>
                <w:color w:val="000000"/>
                <w:sz w:val="23"/>
                <w:szCs w:val="24"/>
              </w:rPr>
              <w:t xml:space="preserve">Bude mať navrhovaný materiál vplyv na chránené územia a ak áno aký?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3"/>
                <w:szCs w:val="24"/>
              </w:rPr>
              <w:t xml:space="preserve">V prípade prevádzok umiestnených v blízkosti chránených území dôjde k zlepšeniu stavu životného prostredia. 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val="297"/>
        </w:trPr>
        <w:tc>
          <w:tcPr>
            <w:tcW w:w="25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3"/>
                <w:szCs w:val="24"/>
              </w:rPr>
              <w:t xml:space="preserve">5.3. </w:t>
            </w:r>
            <w:r>
              <w:rPr>
                <w:rFonts w:ascii="Times New Roman" w:hAnsi="Times New Roman"/>
                <w:color w:val="000000"/>
                <w:sz w:val="23"/>
                <w:szCs w:val="24"/>
              </w:rPr>
              <w:t xml:space="preserve">Bude mať návrh vplyv na životné prostredie presahujúce štátne hranice?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3"/>
                <w:szCs w:val="24"/>
              </w:rPr>
              <w:t>V prípade prevádzok umiestnených v blízkosti štátnych hraníc, zavedenie nových technológií v súlade s navrhovaným zákonom bude mať pozitívny vplyv na životné prostredie presahujúce štátne hranice.</w:t>
            </w:r>
          </w:p>
        </w:tc>
      </w:tr>
    </w:tbl>
    <w:p w:rsidR="00593F1E">
      <w:pPr>
        <w:widowControl/>
        <w:bidi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93F1E">
      <w:pPr>
        <w:widowControl/>
        <w:bidi w:val="0"/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br w:type="page"/>
      </w:r>
    </w:p>
    <w:p w:rsidR="00593F1E">
      <w:pPr>
        <w:widowControl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93F1E">
      <w:pPr>
        <w:widowControl/>
        <w:bidi w:val="0"/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Vplyvy na informatizáciu spoločnosti</w:t>
      </w:r>
    </w:p>
    <w:p w:rsidR="00593F1E">
      <w:pPr>
        <w:widowControl/>
        <w:bidi w:val="0"/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</w:t>
      </w:r>
    </w:p>
    <w:tbl>
      <w:tblPr>
        <w:tblStyle w:val="TableNormal"/>
        <w:tblW w:w="5000" w:type="pct"/>
        <w:tblCellMar>
          <w:left w:w="0" w:type="dxa"/>
          <w:right w:w="0" w:type="dxa"/>
        </w:tblCellMar>
      </w:tblPr>
      <w:tblGrid>
        <w:gridCol w:w="4680"/>
        <w:gridCol w:w="4680"/>
      </w:tblGrid>
      <w:tr>
        <w:tblPrEx>
          <w:tblW w:w="5000" w:type="pct"/>
          <w:tblCellMar>
            <w:left w:w="0" w:type="dxa"/>
            <w:right w:w="0" w:type="dxa"/>
          </w:tblCellMar>
        </w:tblPrEx>
        <w:trPr>
          <w:trHeight w:val="146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000000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Budovanie základných pilierov informatizácie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val="146"/>
        </w:trPr>
        <w:tc>
          <w:tcPr>
            <w:tcW w:w="25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C0C0C0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 xml:space="preserve">Obsah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C0C0C0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val="387"/>
        </w:trPr>
        <w:tc>
          <w:tcPr>
            <w:tcW w:w="25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6.1.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Rozširujú alebo inovujú sa existujúce alebo vytvárajú sa či zavádzajú sa nové elektronické služby? </w:t>
            </w:r>
          </w:p>
          <w:p w:rsidR="00593F1E">
            <w:pPr>
              <w:widowControl/>
              <w:bidi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4"/>
              </w:rPr>
              <w:t xml:space="preserve">(Popíšte ich funkciu a úroveň poskytovania.)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Nezavádzajú sa nové ale rozširuje sa množstvo informácií prístupných verejnosti a uvedených na webovom sídle príslušnej organizácie.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val="387"/>
        </w:trPr>
        <w:tc>
          <w:tcPr>
            <w:tcW w:w="25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6.2.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Vytvárajú sa podmienky pre sémantickú interoperabilitu? </w:t>
            </w:r>
          </w:p>
          <w:p w:rsidR="00593F1E">
            <w:pPr>
              <w:widowControl/>
              <w:bidi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4"/>
              </w:rPr>
              <w:t xml:space="preserve">(Popíšte spôsob jej zabezpečenia.)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Áno, je potrebné prepojenie systémov agentúry životného prostredia (SAŽP), Slovenskej inšpekcie životného prostredia (SIŽP) ako aj Slovenského hydrometeorologického ústavu (SHMÚ). Toto sa bude diať postupne v čo najbližšej dobe.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val="146"/>
        </w:trPr>
        <w:tc>
          <w:tcPr>
            <w:tcW w:w="25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C0C0C0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Ľudia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C0C0C0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val="387"/>
        </w:trPr>
        <w:tc>
          <w:tcPr>
            <w:tcW w:w="25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6.3.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Zabezpečuje sa vzdelávanie v oblasti počítačovej gramotnosti a rozširovanie vedomostí o IKT? </w:t>
            </w:r>
          </w:p>
          <w:p w:rsidR="00593F1E">
            <w:pPr>
              <w:widowControl/>
              <w:bidi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4"/>
              </w:rPr>
              <w:t xml:space="preserve">(Uveďte spôsob, napr. projekty, školenia.)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nie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val="259"/>
        </w:trPr>
        <w:tc>
          <w:tcPr>
            <w:tcW w:w="25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6.4.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Zabezpečuje sa rozvoj elektronického vzdelávania? </w:t>
            </w:r>
          </w:p>
          <w:p w:rsidR="00593F1E">
            <w:pPr>
              <w:widowControl/>
              <w:bidi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4"/>
              </w:rPr>
              <w:t xml:space="preserve">(Uveďte typ a spôsob zabezpečenia vzdelávacích aktivít.)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nie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val="513"/>
        </w:trPr>
        <w:tc>
          <w:tcPr>
            <w:tcW w:w="25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6.5.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Zabezpečuje sa podporná a propagačná aktivita zameraná na zvyšovanie povedomia o informatizácii a IKT? </w:t>
            </w:r>
          </w:p>
          <w:p w:rsidR="00593F1E">
            <w:pPr>
              <w:widowControl/>
              <w:bidi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4"/>
              </w:rPr>
              <w:t xml:space="preserve">(Uveďte typ a spôsob zabezpečenia propagačných aktivít.)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nie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val="513"/>
        </w:trPr>
        <w:tc>
          <w:tcPr>
            <w:tcW w:w="25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6.6.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Zabezpečuje/zohľadňuje/zlepšuje sa prístup znevýhodnených osôb k službám informačnej spoločnosti? </w:t>
            </w:r>
          </w:p>
          <w:p w:rsidR="00593F1E">
            <w:pPr>
              <w:widowControl/>
              <w:bidi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4"/>
              </w:rPr>
              <w:t xml:space="preserve">(Uveďte spôsob sprístupnenia digitálneho prostredia.)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nie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val="146"/>
        </w:trPr>
        <w:tc>
          <w:tcPr>
            <w:tcW w:w="25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C0C0C0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Infraštruktúra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C0C0C0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val="387"/>
        </w:trPr>
        <w:tc>
          <w:tcPr>
            <w:tcW w:w="25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6.7.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Rozširuje, inovuje, vytvára alebo zavádza sa nový informačný systém? </w:t>
            </w:r>
          </w:p>
          <w:p w:rsidR="00593F1E">
            <w:pPr>
              <w:widowControl/>
              <w:bidi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4"/>
              </w:rPr>
              <w:t xml:space="preserve">(Uveďte jeho funkciu.)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Zavádza sa nový informačný systém SHMÚ, ktorý zlučuje starý NRZ informačný systém a dopĺňa požiadavky pre reportovanie v zmysle IPKZ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val="260"/>
        </w:trPr>
        <w:tc>
          <w:tcPr>
            <w:tcW w:w="25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6.8.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Rozširuje sa prístupnosť k internetu? </w:t>
            </w:r>
          </w:p>
          <w:p w:rsidR="00593F1E">
            <w:pPr>
              <w:widowControl/>
              <w:bidi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4"/>
              </w:rPr>
              <w:t xml:space="preserve">(Uveďte spôsob rozširovania prístupnosti.)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val="260"/>
        </w:trPr>
        <w:tc>
          <w:tcPr>
            <w:tcW w:w="25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6.9.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Rozširuje sa prístupnosť k elektronickým službám? </w:t>
            </w:r>
          </w:p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4"/>
              </w:rPr>
              <w:t xml:space="preserve">(Uveďte spôsob rozširovania prístupnosti.)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Rozširuje sa množstvo informácií v rámci informačného systému IPKZ zo žiadostí, povoľovacieho procesu, vydaných povolení, najlepších dostupných techník. 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val="260"/>
        </w:trPr>
        <w:tc>
          <w:tcPr>
            <w:tcW w:w="25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6.10.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Zabezpečuje sa technická interoperabilita? </w:t>
            </w:r>
          </w:p>
          <w:p w:rsidR="00593F1E">
            <w:pPr>
              <w:widowControl/>
              <w:bidi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4"/>
              </w:rPr>
              <w:t xml:space="preserve">(Uveďte spôsob jej zabezpečenia.)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Áno, je potrebné zabezpečiť priame prepojenie, resp. exportovanie a dennú aktualizáciu údajov zo zberného informačného systému SHMÚ do informačného systému Ministerstva životného prostredia, ktorý spravuje SAŽP. Taktiež je potrebné priame a bezchybné prepojenie systému SIŽP a SAŽP.</w:t>
            </w:r>
          </w:p>
          <w:p w:rsidR="00593F1E">
            <w:pPr>
              <w:widowControl/>
              <w:bidi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Informačný systém SAŽP, je oficiálnym informačným systémom Ministerstva životného prostredia, preto by mal obsahovať všetky potrebné aktuálne a presné údaje. Ostatné poriadené organizácie by mali prispôsobiť svoje zberné informačné systémy tak, aby priamo  poskytovali a aktualizovali denne, ideálne on-line údaje v databáze informačného systému SAŽP. SAŽP z týchto údajov vychádza v reportovacích povinnostiach MŽP SR vo vzťahu so zahraničnými medzinárodnými inštitúciami.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val="259"/>
        </w:trPr>
        <w:tc>
          <w:tcPr>
            <w:tcW w:w="25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6.11.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Zvyšuje sa bezpečnosť IT? </w:t>
            </w:r>
          </w:p>
          <w:p w:rsidR="00593F1E">
            <w:pPr>
              <w:widowControl/>
              <w:bidi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0"/>
                <w:szCs w:val="24"/>
              </w:rPr>
              <w:t xml:space="preserve">Uveďte spôsob zvýšenia bezpečnosti a ochrany IT.)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val="260"/>
        </w:trPr>
        <w:tc>
          <w:tcPr>
            <w:tcW w:w="25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6.12.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Rozširuje sa technická infraštruktúra? </w:t>
            </w:r>
          </w:p>
          <w:p w:rsidR="00593F1E">
            <w:pPr>
              <w:widowControl/>
              <w:bidi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0"/>
                <w:szCs w:val="24"/>
              </w:rPr>
              <w:t xml:space="preserve">Uveďte stručný popis zavádzanej infraštruktúry.)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val="146"/>
        </w:trPr>
        <w:tc>
          <w:tcPr>
            <w:tcW w:w="25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000000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 xml:space="preserve">Riadenie procesu informatizácie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000000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val="387"/>
        </w:trPr>
        <w:tc>
          <w:tcPr>
            <w:tcW w:w="25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6.13.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Predpokladajú sa zmeny v riadení procesu informatizácie? </w:t>
            </w:r>
          </w:p>
          <w:p w:rsidR="00593F1E">
            <w:pPr>
              <w:widowControl/>
              <w:bidi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4"/>
              </w:rPr>
              <w:t xml:space="preserve">(Uveďte popis zmien.)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val="146"/>
        </w:trPr>
        <w:tc>
          <w:tcPr>
            <w:tcW w:w="25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000000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 xml:space="preserve">Financovanie procesu informatizácie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000000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val="386"/>
        </w:trPr>
        <w:tc>
          <w:tcPr>
            <w:tcW w:w="25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6.14.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Vyžaduje si proces informatizácie finančné investície? </w:t>
            </w:r>
          </w:p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4"/>
              </w:rPr>
              <w:t xml:space="preserve">(Popíšte príslušnú úroveň financovania.)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Nie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val="146"/>
        </w:trPr>
        <w:tc>
          <w:tcPr>
            <w:tcW w:w="25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000000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 xml:space="preserve">Legislatívne prostredie procesu informatizácie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000000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val="386"/>
        </w:trPr>
        <w:tc>
          <w:tcPr>
            <w:tcW w:w="25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6.15.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Predpokladá nelegislatívny materiál potrebu úpravy legislatívneho prostredia procesu informatizácie? </w:t>
            </w:r>
          </w:p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4"/>
              </w:rPr>
              <w:t xml:space="preserve">(Stručne popíšte navrhované legislatívne zmeny.)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Áno – upravuje sa zber informácií do informačného registra, živnostenský zákon, zákon o správnych poplatkoch</w:t>
            </w:r>
          </w:p>
        </w:tc>
      </w:tr>
    </w:tbl>
    <w:p w:rsidR="00593F1E">
      <w:pPr>
        <w:widowControl/>
        <w:bidi w:val="0"/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93F1E">
      <w:pPr>
        <w:widowControl/>
        <w:bidi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93F1E">
      <w:pPr>
        <w:widowControl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93F1E">
      <w:pPr>
        <w:widowControl/>
        <w:bidi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93F1E">
      <w:pPr>
        <w:widowControl/>
        <w:bidi w:val="0"/>
        <w:spacing w:after="280" w:afterAutospacing="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</w:t>
      </w:r>
    </w:p>
    <w:sectPr>
      <w:pgSz w:w="12240" w:h="15840"/>
      <w:pgMar w:top="1440" w:right="1440" w:bottom="1440" w:left="1440" w:header="708" w:footer="708" w:gutter="0"/>
      <w:lnNumType w:distance="0"/>
      <w:cols w:space="708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libri">
    <w:altName w:val="Century Gothic"/>
    <w:panose1 w:val="00000000000000000000"/>
    <w:charset w:val="EE"/>
    <w:family w:val="swiss"/>
    <w:pitch w:val="variable"/>
    <w:sig w:usb0="00000000" w:usb1="00000000" w:usb2="00000000" w:usb3="00000000" w:csb0="0000009F" w:csb1="00000000"/>
  </w:font>
  <w:font w:name="Garamond">
    <w:panose1 w:val="00000000000000000000"/>
    <w:charset w:val="EE"/>
    <w:family w:val="roman"/>
    <w:pitch w:val="variable"/>
    <w:sig w:usb0="00000000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5317CD"/>
    <w:rsid w:val="002704AC"/>
    <w:rsid w:val="005317CD"/>
    <w:rsid w:val="00593F1E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framePr w:wrap="auto"/>
      <w:widowControl w:val="0"/>
      <w:autoSpaceDE/>
      <w:autoSpaceDN/>
      <w:adjustRightInd w:val="0"/>
      <w:spacing w:after="200" w:line="276" w:lineRule="auto"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en-US" w:eastAsia="en-US" w:bidi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10</Pages>
  <Words>3448</Words>
  <Characters>19658</Characters>
  <Application>Microsoft Office Word</Application>
  <DocSecurity>0</DocSecurity>
  <Lines>0</Lines>
  <Paragraphs>0</Paragraphs>
  <ScaleCrop>false</ScaleCrop>
  <Company/>
  <LinksUpToDate>false</LinksUpToDate>
  <CharactersWithSpaces>23060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DOLOŽKA</dc:title>
  <cp:lastModifiedBy>Katrlik</cp:lastModifiedBy>
  <cp:revision>2</cp:revision>
  <dcterms:created xsi:type="dcterms:W3CDTF">2012-11-09T11:02:00Z</dcterms:created>
  <dcterms:modified xsi:type="dcterms:W3CDTF">2012-11-09T11:02:00Z</dcterms:modified>
</cp:coreProperties>
</file>