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0FFC" w:rsidRPr="00190AC9" w:rsidP="007C0FFC">
      <w:pPr>
        <w:bidi w:val="0"/>
        <w:jc w:val="center"/>
        <w:rPr>
          <w:rFonts w:ascii="Times New Roman" w:hAnsi="Times New Roman"/>
        </w:rPr>
      </w:pPr>
      <w:r w:rsidRPr="00190AC9">
        <w:rPr>
          <w:rFonts w:ascii="Times New Roman" w:hAnsi="Times New Roman"/>
        </w:rPr>
        <w:t>Návrh</w:t>
      </w:r>
    </w:p>
    <w:p w:rsidR="00F00D86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7C0FFC" w:rsidRPr="00A4377F" w:rsidP="007C0FFC">
      <w:pPr>
        <w:bidi w:val="0"/>
        <w:jc w:val="center"/>
        <w:rPr>
          <w:rFonts w:ascii="Times New Roman" w:hAnsi="Times New Roman"/>
          <w:b/>
        </w:rPr>
      </w:pPr>
      <w:r w:rsidRPr="00A4377F">
        <w:rPr>
          <w:rFonts w:ascii="Times New Roman" w:hAnsi="Times New Roman"/>
          <w:b/>
        </w:rPr>
        <w:t>Vyhláška</w:t>
      </w:r>
    </w:p>
    <w:p w:rsidR="00F00D86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7C0FFC" w:rsidRPr="00A4377F" w:rsidP="007C0FFC">
      <w:pPr>
        <w:bidi w:val="0"/>
        <w:jc w:val="center"/>
        <w:rPr>
          <w:rFonts w:ascii="Times New Roman" w:hAnsi="Times New Roman"/>
          <w:b/>
        </w:rPr>
      </w:pPr>
      <w:r w:rsidRPr="00A4377F">
        <w:rPr>
          <w:rFonts w:ascii="Times New Roman" w:hAnsi="Times New Roman"/>
          <w:b/>
        </w:rPr>
        <w:t>Ministerstva životného prostredia Slovenskej republiky</w:t>
      </w:r>
    </w:p>
    <w:p w:rsidR="00F00D86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7C0FFC" w:rsidRPr="00A4377F" w:rsidP="007C0FFC">
      <w:pPr>
        <w:bidi w:val="0"/>
        <w:jc w:val="center"/>
        <w:rPr>
          <w:rFonts w:ascii="Times New Roman" w:hAnsi="Times New Roman"/>
        </w:rPr>
      </w:pPr>
      <w:r w:rsidRPr="00A4377F">
        <w:rPr>
          <w:rFonts w:ascii="Times New Roman" w:hAnsi="Times New Roman"/>
        </w:rPr>
        <w:t>z ................. 2012</w:t>
      </w:r>
      <w:r w:rsidR="003F6922">
        <w:rPr>
          <w:rFonts w:ascii="Times New Roman" w:hAnsi="Times New Roman"/>
        </w:rPr>
        <w:t>,</w:t>
      </w:r>
    </w:p>
    <w:p w:rsidR="00F00D86" w:rsidRPr="00A4377F" w:rsidP="007C0FFC">
      <w:pPr>
        <w:bidi w:val="0"/>
        <w:jc w:val="center"/>
        <w:rPr>
          <w:rFonts w:ascii="Times New Roman" w:hAnsi="Times New Roman"/>
        </w:rPr>
      </w:pPr>
    </w:p>
    <w:p w:rsidR="007C0FFC" w:rsidRPr="00A4377F" w:rsidP="000B6852">
      <w:pPr>
        <w:bidi w:val="0"/>
        <w:jc w:val="center"/>
        <w:rPr>
          <w:rFonts w:ascii="Times New Roman" w:hAnsi="Times New Roman"/>
        </w:rPr>
      </w:pPr>
      <w:r w:rsidRPr="000B6852" w:rsidR="000B6852">
        <w:rPr>
          <w:rFonts w:ascii="Times New Roman" w:hAnsi="Times New Roman"/>
          <w:b/>
        </w:rPr>
        <w:t>ktorou sa  ustanovuje účel využitia výnosov z predaja kvót v dražbách</w:t>
      </w:r>
    </w:p>
    <w:p w:rsidR="00835949" w:rsidRPr="00A4377F" w:rsidP="007C0FFC">
      <w:pPr>
        <w:bidi w:val="0"/>
        <w:rPr>
          <w:rFonts w:ascii="Times New Roman" w:hAnsi="Times New Roman"/>
        </w:rPr>
      </w:pPr>
    </w:p>
    <w:p w:rsidR="003F1545" w:rsidRPr="00A4377F" w:rsidP="003F1545">
      <w:pPr>
        <w:bidi w:val="0"/>
        <w:ind w:firstLine="708"/>
        <w:jc w:val="both"/>
        <w:rPr>
          <w:rFonts w:ascii="Times New Roman" w:hAnsi="Times New Roman"/>
        </w:rPr>
      </w:pPr>
      <w:r w:rsidRPr="00A4377F" w:rsidR="007C0FFC">
        <w:rPr>
          <w:rFonts w:ascii="Times New Roman" w:hAnsi="Times New Roman"/>
        </w:rPr>
        <w:t xml:space="preserve">Ministerstvo životného prostredia Slovenskej republiky </w:t>
      </w:r>
      <w:r>
        <w:rPr>
          <w:rFonts w:ascii="Times New Roman" w:hAnsi="Times New Roman"/>
        </w:rPr>
        <w:t xml:space="preserve">v spolupráci </w:t>
      </w:r>
      <w:r w:rsidRPr="00A4377F" w:rsidR="00F00D86">
        <w:rPr>
          <w:rFonts w:ascii="Times New Roman" w:hAnsi="Times New Roman"/>
        </w:rPr>
        <w:t xml:space="preserve">s Ministerstvom financií Slovenskej republiky </w:t>
      </w:r>
      <w:r w:rsidRPr="00A4377F" w:rsidR="007C0FFC">
        <w:rPr>
          <w:rFonts w:ascii="Times New Roman" w:hAnsi="Times New Roman"/>
        </w:rPr>
        <w:t>podľa §</w:t>
      </w:r>
      <w:r w:rsidR="003F6922">
        <w:rPr>
          <w:rFonts w:ascii="Times New Roman" w:hAnsi="Times New Roman"/>
        </w:rPr>
        <w:t xml:space="preserve"> </w:t>
      </w:r>
      <w:r w:rsidR="004C456D">
        <w:rPr>
          <w:rFonts w:ascii="Times New Roman" w:hAnsi="Times New Roman"/>
        </w:rPr>
        <w:t>26</w:t>
      </w:r>
      <w:r w:rsidRPr="00A4377F" w:rsidR="007C0FFC">
        <w:rPr>
          <w:rFonts w:ascii="Times New Roman" w:hAnsi="Times New Roman"/>
        </w:rPr>
        <w:t xml:space="preserve"> ods. </w:t>
      </w:r>
      <w:r w:rsidR="004C456D">
        <w:rPr>
          <w:rFonts w:ascii="Times New Roman" w:hAnsi="Times New Roman"/>
        </w:rPr>
        <w:t>3</w:t>
      </w:r>
      <w:r w:rsidRPr="00A4377F" w:rsidR="007C0FFC">
        <w:rPr>
          <w:rFonts w:ascii="Times New Roman" w:hAnsi="Times New Roman"/>
        </w:rPr>
        <w:t xml:space="preserve"> zákona č. </w:t>
      </w:r>
      <w:r w:rsidR="004C456D">
        <w:rPr>
          <w:rFonts w:ascii="Times New Roman" w:hAnsi="Times New Roman"/>
        </w:rPr>
        <w:t>............</w:t>
      </w:r>
      <w:r w:rsidRPr="00A4377F" w:rsidR="007C0FFC">
        <w:rPr>
          <w:rFonts w:ascii="Times New Roman" w:hAnsi="Times New Roman"/>
        </w:rPr>
        <w:t>/20</w:t>
      </w:r>
      <w:r w:rsidR="004C456D">
        <w:rPr>
          <w:rFonts w:ascii="Times New Roman" w:hAnsi="Times New Roman"/>
        </w:rPr>
        <w:t>12</w:t>
      </w:r>
      <w:r w:rsidRPr="00A4377F" w:rsidR="007C0FFC">
        <w:rPr>
          <w:rFonts w:ascii="Times New Roman" w:hAnsi="Times New Roman"/>
        </w:rPr>
        <w:t xml:space="preserve"> Z. z. o obchodovaní </w:t>
      </w:r>
      <w:r w:rsidR="00647CF4">
        <w:rPr>
          <w:rFonts w:ascii="Times New Roman" w:hAnsi="Times New Roman"/>
        </w:rPr>
        <w:t xml:space="preserve">                 </w:t>
      </w:r>
      <w:r w:rsidRPr="00A4377F" w:rsidR="007C0FFC">
        <w:rPr>
          <w:rFonts w:ascii="Times New Roman" w:hAnsi="Times New Roman"/>
        </w:rPr>
        <w:t>s emisnými kvótami a o zmene a doplnení niektorých zákonov ustanovuje:</w:t>
      </w:r>
    </w:p>
    <w:p w:rsidR="00835949" w:rsidRPr="00A4377F" w:rsidP="00835949">
      <w:pPr>
        <w:bidi w:val="0"/>
        <w:jc w:val="both"/>
        <w:rPr>
          <w:rFonts w:ascii="Times New Roman" w:hAnsi="Times New Roman"/>
        </w:rPr>
      </w:pPr>
    </w:p>
    <w:p w:rsidR="00F00D86" w:rsidRPr="00A4377F" w:rsidP="007C0FFC">
      <w:pPr>
        <w:bidi w:val="0"/>
        <w:jc w:val="center"/>
        <w:rPr>
          <w:rFonts w:ascii="Times New Roman" w:hAnsi="Times New Roman"/>
          <w:b/>
        </w:rPr>
      </w:pPr>
      <w:r w:rsidRPr="00A4377F" w:rsidR="007C0FFC">
        <w:rPr>
          <w:rFonts w:ascii="Times New Roman" w:hAnsi="Times New Roman"/>
          <w:b/>
        </w:rPr>
        <w:t>§</w:t>
      </w:r>
      <w:r w:rsidRPr="00A4377F">
        <w:rPr>
          <w:rFonts w:ascii="Times New Roman" w:hAnsi="Times New Roman"/>
          <w:b/>
        </w:rPr>
        <w:t xml:space="preserve"> </w:t>
      </w:r>
      <w:r w:rsidRPr="00A4377F" w:rsidR="00425945">
        <w:rPr>
          <w:rFonts w:ascii="Times New Roman" w:hAnsi="Times New Roman"/>
          <w:b/>
        </w:rPr>
        <w:t>1</w:t>
      </w:r>
      <w:r w:rsidRPr="00A4377F" w:rsidR="007C0FFC">
        <w:rPr>
          <w:rFonts w:ascii="Times New Roman" w:hAnsi="Times New Roman"/>
          <w:b/>
        </w:rPr>
        <w:t xml:space="preserve"> </w:t>
      </w:r>
    </w:p>
    <w:p w:rsidR="007C0FFC" w:rsidRPr="00A4377F" w:rsidP="007C0FFC">
      <w:pPr>
        <w:bidi w:val="0"/>
        <w:rPr>
          <w:rFonts w:ascii="Times New Roman" w:hAnsi="Times New Roman"/>
        </w:rPr>
      </w:pPr>
    </w:p>
    <w:p w:rsidR="001E745C" w:rsidRPr="00A4377F" w:rsidP="004C456D">
      <w:pPr>
        <w:numPr>
          <w:numId w:val="6"/>
        </w:numPr>
        <w:tabs>
          <w:tab w:val="left" w:pos="1080"/>
        </w:tabs>
        <w:bidi w:val="0"/>
        <w:ind w:left="426" w:firstLine="294"/>
        <w:jc w:val="both"/>
        <w:rPr>
          <w:rFonts w:ascii="Times New Roman" w:hAnsi="Times New Roman"/>
        </w:rPr>
      </w:pPr>
      <w:r w:rsidRPr="00A4377F" w:rsidR="00DC3FB6">
        <w:rPr>
          <w:rFonts w:ascii="Times New Roman" w:hAnsi="Times New Roman"/>
        </w:rPr>
        <w:t>V</w:t>
      </w:r>
      <w:r w:rsidRPr="00A4377F" w:rsidR="007C0FFC">
        <w:rPr>
          <w:rFonts w:ascii="Times New Roman" w:hAnsi="Times New Roman"/>
        </w:rPr>
        <w:t>ýnos</w:t>
      </w:r>
      <w:r w:rsidRPr="00A4377F" w:rsidR="00DC3FB6">
        <w:rPr>
          <w:rFonts w:ascii="Times New Roman" w:hAnsi="Times New Roman"/>
        </w:rPr>
        <w:t>y</w:t>
      </w:r>
      <w:r w:rsidRPr="00A4377F" w:rsidR="007C0FFC">
        <w:rPr>
          <w:rFonts w:ascii="Times New Roman" w:hAnsi="Times New Roman"/>
        </w:rPr>
        <w:t xml:space="preserve"> z predaja kvót</w:t>
      </w:r>
      <w:r w:rsidRPr="00A4377F" w:rsidR="00C8301D">
        <w:rPr>
          <w:rFonts w:ascii="Times New Roman" w:hAnsi="Times New Roman"/>
        </w:rPr>
        <w:t xml:space="preserve"> </w:t>
      </w:r>
      <w:r w:rsidRPr="00A4377F" w:rsidR="007C0FFC">
        <w:rPr>
          <w:rFonts w:ascii="Times New Roman" w:hAnsi="Times New Roman"/>
        </w:rPr>
        <w:t xml:space="preserve"> v</w:t>
      </w:r>
      <w:r w:rsidRPr="00A4377F" w:rsidR="00AF7F90">
        <w:rPr>
          <w:rFonts w:ascii="Times New Roman" w:hAnsi="Times New Roman"/>
        </w:rPr>
        <w:t> </w:t>
      </w:r>
      <w:r w:rsidRPr="00A4377F" w:rsidR="007C0FFC">
        <w:rPr>
          <w:rFonts w:ascii="Times New Roman" w:hAnsi="Times New Roman"/>
        </w:rPr>
        <w:t>dražbách</w:t>
      </w:r>
      <w:r w:rsidRPr="00A4377F" w:rsidR="00AF7F90">
        <w:rPr>
          <w:rFonts w:ascii="Times New Roman" w:hAnsi="Times New Roman"/>
        </w:rPr>
        <w:t xml:space="preserve">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4C456D" w:rsidR="00425945">
        <w:rPr>
          <w:rFonts w:ascii="Times New Roman" w:hAnsi="Times New Roman"/>
        </w:rPr>
        <w:t>)</w:t>
      </w:r>
      <w:r w:rsidRPr="003F6922" w:rsidR="00425945">
        <w:rPr>
          <w:rFonts w:ascii="Times New Roman" w:hAnsi="Times New Roman"/>
          <w:vertAlign w:val="superscript"/>
        </w:rPr>
        <w:t xml:space="preserve"> </w:t>
      </w:r>
      <w:r w:rsidRPr="00A4377F" w:rsidR="007C0FFC">
        <w:rPr>
          <w:rFonts w:ascii="Times New Roman" w:hAnsi="Times New Roman"/>
        </w:rPr>
        <w:t xml:space="preserve"> </w:t>
      </w:r>
      <w:r w:rsidRPr="00A4377F" w:rsidR="00DC3FB6">
        <w:rPr>
          <w:rFonts w:ascii="Times New Roman" w:hAnsi="Times New Roman"/>
        </w:rPr>
        <w:t xml:space="preserve">sa </w:t>
      </w:r>
      <w:r w:rsidR="00AA1803">
        <w:rPr>
          <w:rFonts w:ascii="Times New Roman" w:hAnsi="Times New Roman"/>
        </w:rPr>
        <w:t xml:space="preserve">môžu </w:t>
      </w:r>
      <w:r w:rsidRPr="00A4377F" w:rsidR="00DC3FB6">
        <w:rPr>
          <w:rFonts w:ascii="Times New Roman" w:hAnsi="Times New Roman"/>
        </w:rPr>
        <w:t>využ</w:t>
      </w:r>
      <w:r w:rsidR="00AA1803">
        <w:rPr>
          <w:rFonts w:ascii="Times New Roman" w:hAnsi="Times New Roman"/>
        </w:rPr>
        <w:t xml:space="preserve">iť </w:t>
      </w:r>
      <w:r w:rsidRPr="00A4377F" w:rsidR="00DC3FB6">
        <w:rPr>
          <w:rFonts w:ascii="Times New Roman" w:hAnsi="Times New Roman"/>
        </w:rPr>
        <w:t>na</w:t>
      </w:r>
    </w:p>
    <w:p w:rsidR="00A13F05" w:rsidP="00A13F05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>
        <w:rPr>
          <w:rFonts w:ascii="Times New Roman" w:hAnsi="Times New Roman"/>
        </w:rPr>
        <w:t>inštaláci</w:t>
      </w:r>
      <w:r w:rsidR="00E10639">
        <w:rPr>
          <w:rFonts w:ascii="Times New Roman" w:hAnsi="Times New Roman"/>
        </w:rPr>
        <w:t>u</w:t>
      </w:r>
      <w:r w:rsidRPr="00A4377F">
        <w:rPr>
          <w:rFonts w:ascii="Times New Roman" w:hAnsi="Times New Roman"/>
        </w:rPr>
        <w:t xml:space="preserve"> nových zariadení</w:t>
      </w:r>
      <w:r>
        <w:rPr>
          <w:rFonts w:ascii="Times New Roman" w:hAnsi="Times New Roman"/>
        </w:rPr>
        <w:t xml:space="preserve"> </w:t>
      </w:r>
      <w:r w:rsidRPr="00A4377F">
        <w:rPr>
          <w:rFonts w:ascii="Times New Roman" w:hAnsi="Times New Roman"/>
        </w:rPr>
        <w:t xml:space="preserve">využívajúcich ako zdroj </w:t>
      </w:r>
      <w:r w:rsidR="00A273CB">
        <w:rPr>
          <w:rFonts w:ascii="Times New Roman" w:hAnsi="Times New Roman"/>
        </w:rPr>
        <w:t xml:space="preserve">energie obnoviteľné zdroje </w:t>
      </w:r>
      <w:r w:rsidRPr="00A4377F" w:rsidR="00A273CB">
        <w:rPr>
          <w:rFonts w:ascii="Times New Roman" w:hAnsi="Times New Roman"/>
        </w:rPr>
        <w:t>energie</w:t>
      </w:r>
      <w:r>
        <w:rPr>
          <w:rFonts w:ascii="Times New Roman" w:hAnsi="Times New Roman"/>
        </w:rPr>
        <w:t>, geotermálnu energiu alebo druhotné energetické zdroje,</w:t>
      </w:r>
      <w:r w:rsidRPr="00A13F05">
        <w:rPr>
          <w:rFonts w:ascii="Times New Roman" w:hAnsi="Times New Roman"/>
        </w:rPr>
        <w:t xml:space="preserve"> </w:t>
      </w:r>
    </w:p>
    <w:p w:rsidR="00A13F05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="00A273CB">
        <w:rPr>
          <w:rFonts w:ascii="Times New Roman" w:hAnsi="Times New Roman"/>
        </w:rPr>
        <w:t xml:space="preserve">rekonštrukciu  alebo </w:t>
      </w:r>
      <w:r>
        <w:rPr>
          <w:rFonts w:ascii="Times New Roman" w:hAnsi="Times New Roman"/>
        </w:rPr>
        <w:t>modernizáci</w:t>
      </w:r>
      <w:r w:rsidR="00E10639">
        <w:rPr>
          <w:rFonts w:ascii="Times New Roman" w:hAnsi="Times New Roman"/>
        </w:rPr>
        <w:t>u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3F6922" w:rsidR="00A273CB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existujúcich zariadení </w:t>
      </w:r>
      <w:r w:rsidRPr="00A4377F">
        <w:rPr>
          <w:rFonts w:ascii="Times New Roman" w:hAnsi="Times New Roman"/>
        </w:rPr>
        <w:t>využívajúcich ako zdroj energie obnoviteľné zdroje</w:t>
      </w:r>
      <w:r w:rsidR="00A273CB">
        <w:rPr>
          <w:rFonts w:ascii="Times New Roman" w:hAnsi="Times New Roman"/>
        </w:rPr>
        <w:t xml:space="preserve"> energie</w:t>
      </w:r>
      <w:r>
        <w:rPr>
          <w:rFonts w:ascii="Times New Roman" w:hAnsi="Times New Roman"/>
        </w:rPr>
        <w:t xml:space="preserve"> a druhotné energetické zdroje,</w:t>
      </w:r>
    </w:p>
    <w:p w:rsidR="008B6AFE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7C0FFC">
        <w:rPr>
          <w:rFonts w:ascii="Times New Roman" w:hAnsi="Times New Roman"/>
        </w:rPr>
        <w:t>výmen</w:t>
      </w:r>
      <w:r w:rsidR="00E10639">
        <w:rPr>
          <w:rFonts w:ascii="Times New Roman" w:hAnsi="Times New Roman"/>
        </w:rPr>
        <w:t>u</w:t>
      </w:r>
      <w:r w:rsidRPr="00A4377F" w:rsidR="007C0FFC">
        <w:rPr>
          <w:rFonts w:ascii="Times New Roman" w:hAnsi="Times New Roman"/>
        </w:rPr>
        <w:t xml:space="preserve"> </w:t>
      </w:r>
      <w:r w:rsidR="002E225E">
        <w:rPr>
          <w:rFonts w:ascii="Times New Roman" w:hAnsi="Times New Roman"/>
        </w:rPr>
        <w:t>alebo rekonštrukci</w:t>
      </w:r>
      <w:r w:rsidR="00E10639">
        <w:rPr>
          <w:rFonts w:ascii="Times New Roman" w:hAnsi="Times New Roman"/>
        </w:rPr>
        <w:t>u</w:t>
      </w:r>
      <w:r w:rsidR="002E225E">
        <w:rPr>
          <w:rFonts w:ascii="Times New Roman" w:hAnsi="Times New Roman"/>
        </w:rPr>
        <w:t xml:space="preserve"> </w:t>
      </w:r>
      <w:r w:rsidR="004C6101">
        <w:rPr>
          <w:rFonts w:ascii="Times New Roman" w:hAnsi="Times New Roman"/>
        </w:rPr>
        <w:t xml:space="preserve">existujúcich </w:t>
      </w:r>
      <w:r w:rsidRPr="00A4377F" w:rsidR="007C0FFC">
        <w:rPr>
          <w:rFonts w:ascii="Times New Roman" w:hAnsi="Times New Roman"/>
        </w:rPr>
        <w:t xml:space="preserve">zariadení </w:t>
      </w:r>
      <w:r w:rsidRPr="00A4377F" w:rsidR="001E745C">
        <w:rPr>
          <w:rFonts w:ascii="Times New Roman" w:hAnsi="Times New Roman"/>
        </w:rPr>
        <w:t>v súvislosti s prípravou tepla,</w:t>
      </w:r>
      <w:r w:rsidR="004A221A">
        <w:rPr>
          <w:rFonts w:ascii="Times New Roman" w:hAnsi="Times New Roman"/>
        </w:rPr>
        <w:t xml:space="preserve"> </w:t>
      </w:r>
      <w:r w:rsidRPr="00A4377F" w:rsidR="001E745C">
        <w:rPr>
          <w:rFonts w:ascii="Times New Roman" w:hAnsi="Times New Roman"/>
        </w:rPr>
        <w:t xml:space="preserve"> teplej úžitkovej vody a chladením</w:t>
      </w:r>
      <w:r w:rsidRPr="00A4377F" w:rsidR="007C0FFC">
        <w:rPr>
          <w:rFonts w:ascii="Times New Roman" w:hAnsi="Times New Roman"/>
        </w:rPr>
        <w:t xml:space="preserve"> využívajúcich fosílne palivá za zariadenia využívajúce biomasu, </w:t>
      </w:r>
      <w:r w:rsidR="00621C93">
        <w:rPr>
          <w:rFonts w:ascii="Times New Roman" w:hAnsi="Times New Roman"/>
        </w:rPr>
        <w:t xml:space="preserve">alebo druhotné energetické zdroje, </w:t>
      </w:r>
      <w:r w:rsidRPr="00A4377F" w:rsidR="007C0FFC">
        <w:rPr>
          <w:rFonts w:ascii="Times New Roman" w:hAnsi="Times New Roman"/>
        </w:rPr>
        <w:t>za tepelné čerpadlá</w:t>
      </w:r>
      <w:r w:rsidR="00A13F05">
        <w:rPr>
          <w:rFonts w:ascii="Times New Roman" w:hAnsi="Times New Roman"/>
        </w:rPr>
        <w:t>, zariadenia využívajúce geotermálnu energiu</w:t>
      </w:r>
      <w:r w:rsidRPr="00A4377F" w:rsidR="007C0FFC">
        <w:rPr>
          <w:rFonts w:ascii="Times New Roman" w:hAnsi="Times New Roman"/>
        </w:rPr>
        <w:t xml:space="preserve"> alebo solárne kolekto</w:t>
      </w:r>
      <w:r w:rsidRPr="00A4377F" w:rsidR="00425945">
        <w:rPr>
          <w:rFonts w:ascii="Times New Roman" w:hAnsi="Times New Roman"/>
        </w:rPr>
        <w:t>ry vrátene výmeny celej sústavy</w:t>
      </w:r>
      <w:r w:rsidR="002E225E">
        <w:rPr>
          <w:rFonts w:ascii="Times New Roman" w:hAnsi="Times New Roman"/>
        </w:rPr>
        <w:t xml:space="preserve"> alebo jej rekonštrukcie</w:t>
      </w:r>
      <w:r w:rsidRPr="00A4377F" w:rsidR="00425945">
        <w:rPr>
          <w:rFonts w:ascii="Times New Roman" w:hAnsi="Times New Roman"/>
        </w:rPr>
        <w:t>,</w:t>
      </w:r>
    </w:p>
    <w:p w:rsidR="008B6AFE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7C0FFC">
        <w:rPr>
          <w:rFonts w:ascii="Times New Roman" w:hAnsi="Times New Roman"/>
        </w:rPr>
        <w:t>inštaláci</w:t>
      </w:r>
      <w:r w:rsidR="00E10639">
        <w:rPr>
          <w:rFonts w:ascii="Times New Roman" w:hAnsi="Times New Roman"/>
        </w:rPr>
        <w:t>u</w:t>
      </w:r>
      <w:r w:rsidRPr="00A4377F" w:rsidR="007C0FFC">
        <w:rPr>
          <w:rFonts w:ascii="Times New Roman" w:hAnsi="Times New Roman"/>
        </w:rPr>
        <w:t xml:space="preserve"> nových zariadení </w:t>
      </w:r>
      <w:r w:rsidRPr="00A4377F" w:rsidR="001E745C">
        <w:rPr>
          <w:rFonts w:ascii="Times New Roman" w:hAnsi="Times New Roman"/>
        </w:rPr>
        <w:t xml:space="preserve">v súvislosti s prípravou tepla, teplej úžitkovej vody a chladením </w:t>
      </w:r>
      <w:r w:rsidRPr="00A4377F" w:rsidR="007C0FFC">
        <w:rPr>
          <w:rFonts w:ascii="Times New Roman" w:hAnsi="Times New Roman"/>
        </w:rPr>
        <w:t>v</w:t>
      </w:r>
      <w:r w:rsidRPr="00A4377F" w:rsidR="00C5689B">
        <w:rPr>
          <w:rFonts w:ascii="Times New Roman" w:hAnsi="Times New Roman"/>
        </w:rPr>
        <w:t xml:space="preserve">yužívajúcich biomasu, </w:t>
      </w:r>
      <w:r w:rsidR="00621C93">
        <w:rPr>
          <w:rFonts w:ascii="Times New Roman" w:hAnsi="Times New Roman"/>
        </w:rPr>
        <w:t xml:space="preserve">alebo druhotné energetické zdroje, </w:t>
      </w:r>
      <w:r w:rsidRPr="00A4377F" w:rsidR="00C5689B">
        <w:rPr>
          <w:rFonts w:ascii="Times New Roman" w:hAnsi="Times New Roman"/>
        </w:rPr>
        <w:t>inštaláci</w:t>
      </w:r>
      <w:r w:rsidR="00E10639">
        <w:rPr>
          <w:rFonts w:ascii="Times New Roman" w:hAnsi="Times New Roman"/>
        </w:rPr>
        <w:t>u</w:t>
      </w:r>
      <w:r w:rsidRPr="00A4377F" w:rsidR="007C0FFC">
        <w:rPr>
          <w:rFonts w:ascii="Times New Roman" w:hAnsi="Times New Roman"/>
        </w:rPr>
        <w:t xml:space="preserve"> tepelných čerpadiel</w:t>
      </w:r>
      <w:r w:rsidR="00A13F05">
        <w:rPr>
          <w:rFonts w:ascii="Times New Roman" w:hAnsi="Times New Roman"/>
        </w:rPr>
        <w:t>, zariadení využívajúcich geotermálnu energiu</w:t>
      </w:r>
      <w:r w:rsidRPr="00A4377F" w:rsidR="007C0FFC">
        <w:rPr>
          <w:rFonts w:ascii="Times New Roman" w:hAnsi="Times New Roman"/>
        </w:rPr>
        <w:t xml:space="preserve"> alebo solárnych kolektorov vrátane inštalácie celej sústavy</w:t>
      </w:r>
      <w:r w:rsidRPr="00A4377F" w:rsidR="00425945">
        <w:rPr>
          <w:rFonts w:ascii="Times New Roman" w:hAnsi="Times New Roman"/>
        </w:rPr>
        <w:t>,</w:t>
      </w:r>
    </w:p>
    <w:p w:rsidR="008B6AFE" w:rsidRPr="00A4377F" w:rsidP="00332A34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4C6101">
        <w:rPr>
          <w:rFonts w:ascii="Times New Roman" w:hAnsi="Times New Roman"/>
        </w:rPr>
        <w:t>zníženie tepelných strát v rozvodoch tepelných médií v centrálnych rozvodoch tepla</w:t>
      </w:r>
      <w:r w:rsidR="004C6101">
        <w:rPr>
          <w:rFonts w:ascii="Times New Roman" w:hAnsi="Times New Roman"/>
        </w:rPr>
        <w:t>,</w:t>
      </w:r>
    </w:p>
    <w:p w:rsidR="00332A34" w:rsidP="00332A34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7C0FFC">
        <w:rPr>
          <w:rFonts w:ascii="Times New Roman" w:hAnsi="Times New Roman"/>
        </w:rPr>
        <w:t>modernizáci</w:t>
      </w:r>
      <w:r w:rsidR="00E10639">
        <w:rPr>
          <w:rFonts w:ascii="Times New Roman" w:hAnsi="Times New Roman"/>
        </w:rPr>
        <w:t>u</w:t>
      </w:r>
      <w:r w:rsidRPr="00A4377F" w:rsidR="007C0FFC">
        <w:rPr>
          <w:rFonts w:ascii="Times New Roman" w:hAnsi="Times New Roman"/>
        </w:rPr>
        <w:t xml:space="preserve"> zariadení s ci</w:t>
      </w:r>
      <w:r w:rsidRPr="00A4377F" w:rsidR="00425945">
        <w:rPr>
          <w:rFonts w:ascii="Times New Roman" w:hAnsi="Times New Roman"/>
        </w:rPr>
        <w:t>eľom úspory energie,</w:t>
      </w:r>
    </w:p>
    <w:p w:rsidR="00116C52" w:rsidRPr="00A4377F" w:rsidP="00332A34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modernizáci</w:t>
      </w:r>
      <w:r w:rsidR="00E1063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existujúcich alebo inštaláci</w:t>
      </w:r>
      <w:r w:rsidR="00E1063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nových zariadení na zachytávanie metánu,</w:t>
      </w:r>
    </w:p>
    <w:p w:rsidR="008B6AFE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7C0FFC">
        <w:rPr>
          <w:rFonts w:ascii="Times New Roman" w:hAnsi="Times New Roman"/>
        </w:rPr>
        <w:t>podpor</w:t>
      </w:r>
      <w:r w:rsidR="00E10639">
        <w:rPr>
          <w:rFonts w:ascii="Times New Roman" w:hAnsi="Times New Roman"/>
        </w:rPr>
        <w:t>u</w:t>
      </w:r>
      <w:r w:rsidRPr="00A4377F" w:rsidR="007C0FFC">
        <w:rPr>
          <w:rFonts w:ascii="Times New Roman" w:hAnsi="Times New Roman"/>
        </w:rPr>
        <w:t xml:space="preserve"> prechodu k formám dopravy s nízkymi emisiami a</w:t>
      </w:r>
      <w:r w:rsidRPr="00A4377F" w:rsidR="001E745C">
        <w:rPr>
          <w:rFonts w:ascii="Times New Roman" w:hAnsi="Times New Roman"/>
        </w:rPr>
        <w:t xml:space="preserve"> prechodu z individuálnej </w:t>
      </w:r>
      <w:r w:rsidR="00271F61">
        <w:rPr>
          <w:rFonts w:ascii="Times New Roman" w:hAnsi="Times New Roman"/>
        </w:rPr>
        <w:t xml:space="preserve">dopravy </w:t>
      </w:r>
      <w:r w:rsidRPr="00A4377F" w:rsidR="001E745C">
        <w:rPr>
          <w:rFonts w:ascii="Times New Roman" w:hAnsi="Times New Roman"/>
        </w:rPr>
        <w:t xml:space="preserve">k </w:t>
      </w:r>
      <w:r w:rsidRPr="00A4377F" w:rsidR="007C0FFC">
        <w:rPr>
          <w:rFonts w:ascii="Times New Roman" w:hAnsi="Times New Roman"/>
        </w:rPr>
        <w:t>verejnej doprave</w:t>
      </w:r>
      <w:r w:rsidRPr="00A4377F" w:rsidR="00425945">
        <w:rPr>
          <w:rFonts w:ascii="Times New Roman" w:hAnsi="Times New Roman"/>
        </w:rPr>
        <w:t>,</w:t>
      </w:r>
    </w:p>
    <w:p w:rsidR="008B6AFE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7C0FFC">
        <w:rPr>
          <w:rFonts w:ascii="Times New Roman" w:hAnsi="Times New Roman"/>
        </w:rPr>
        <w:t xml:space="preserve">financovanie výskumu a vývoja v </w:t>
      </w:r>
      <w:r w:rsidRPr="00A4377F" w:rsidR="00DC3FB6">
        <w:rPr>
          <w:rFonts w:ascii="Times New Roman" w:hAnsi="Times New Roman"/>
        </w:rPr>
        <w:t>oblasti energetickej účinnosti,</w:t>
      </w:r>
      <w:r w:rsidRPr="00A4377F" w:rsidR="007C0FFC">
        <w:rPr>
          <w:rFonts w:ascii="Times New Roman" w:hAnsi="Times New Roman"/>
        </w:rPr>
        <w:t xml:space="preserve"> čistých technológií</w:t>
      </w:r>
      <w:r w:rsidRPr="00A4377F" w:rsidR="00DC3FB6">
        <w:rPr>
          <w:rFonts w:ascii="Times New Roman" w:hAnsi="Times New Roman"/>
        </w:rPr>
        <w:t xml:space="preserve"> a vývoja </w:t>
      </w:r>
      <w:r w:rsidRPr="00A4377F" w:rsidR="00302B9B">
        <w:rPr>
          <w:rFonts w:ascii="Times New Roman" w:hAnsi="Times New Roman"/>
        </w:rPr>
        <w:t>nízkouhlíkových technológií</w:t>
      </w:r>
      <w:r w:rsidR="00621C93">
        <w:rPr>
          <w:rFonts w:ascii="Times New Roman" w:hAnsi="Times New Roman"/>
        </w:rPr>
        <w:t xml:space="preserve"> vrátane druhotných energetických zdrojov</w:t>
      </w:r>
      <w:r w:rsidRPr="00A4377F" w:rsidR="00425945">
        <w:rPr>
          <w:rFonts w:ascii="Times New Roman" w:hAnsi="Times New Roman"/>
        </w:rPr>
        <w:t>,</w:t>
      </w:r>
    </w:p>
    <w:p w:rsidR="001E745C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>
        <w:rPr>
          <w:rFonts w:ascii="Times New Roman" w:hAnsi="Times New Roman"/>
        </w:rPr>
        <w:t xml:space="preserve">zvyšovanie </w:t>
      </w:r>
      <w:r w:rsidRPr="00A4377F" w:rsidR="007C0FFC">
        <w:rPr>
          <w:rFonts w:ascii="Times New Roman" w:hAnsi="Times New Roman"/>
        </w:rPr>
        <w:t xml:space="preserve">energetickej účinnosti </w:t>
      </w:r>
      <w:r w:rsidRPr="00A4377F">
        <w:rPr>
          <w:rFonts w:ascii="Times New Roman" w:hAnsi="Times New Roman"/>
        </w:rPr>
        <w:t>technologických celkov a jednotlivých zariadení,</w:t>
      </w:r>
    </w:p>
    <w:p w:rsidR="00DC3FB6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1E745C">
        <w:rPr>
          <w:rFonts w:ascii="Times New Roman" w:hAnsi="Times New Roman"/>
        </w:rPr>
        <w:t xml:space="preserve">zvyšovanie energetickej účinnosti existujúcich budov vrátane </w:t>
      </w:r>
      <w:r w:rsidR="003F6922">
        <w:rPr>
          <w:rFonts w:ascii="Times New Roman" w:hAnsi="Times New Roman"/>
        </w:rPr>
        <w:t xml:space="preserve">ich </w:t>
      </w:r>
      <w:r w:rsidRPr="00A4377F" w:rsidR="001E745C">
        <w:rPr>
          <w:rFonts w:ascii="Times New Roman" w:hAnsi="Times New Roman"/>
        </w:rPr>
        <w:t>zatepľovania</w:t>
      </w:r>
      <w:r w:rsidRPr="00A4377F" w:rsidR="00425945">
        <w:rPr>
          <w:rFonts w:ascii="Times New Roman" w:hAnsi="Times New Roman"/>
        </w:rPr>
        <w:t>,</w:t>
      </w:r>
    </w:p>
    <w:p w:rsidR="00DC3FB6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107E56">
        <w:rPr>
          <w:rFonts w:ascii="Times New Roman" w:hAnsi="Times New Roman"/>
        </w:rPr>
        <w:t>kompenzáci</w:t>
      </w:r>
      <w:r w:rsidR="00E10639">
        <w:rPr>
          <w:rFonts w:ascii="Times New Roman" w:hAnsi="Times New Roman"/>
        </w:rPr>
        <w:t>u</w:t>
      </w:r>
      <w:r w:rsidRPr="00A4377F" w:rsidR="00107E56">
        <w:rPr>
          <w:rFonts w:ascii="Times New Roman" w:hAnsi="Times New Roman"/>
        </w:rPr>
        <w:t xml:space="preserve"> </w:t>
      </w:r>
      <w:r w:rsidRPr="00A4377F" w:rsidR="007C0FFC">
        <w:rPr>
          <w:rFonts w:ascii="Times New Roman" w:hAnsi="Times New Roman"/>
        </w:rPr>
        <w:t>podnik</w:t>
      </w:r>
      <w:r w:rsidRPr="00A4377F" w:rsidR="0078084C">
        <w:rPr>
          <w:rFonts w:ascii="Times New Roman" w:hAnsi="Times New Roman"/>
        </w:rPr>
        <w:t>om</w:t>
      </w:r>
      <w:r w:rsidRPr="00A4377F" w:rsidR="007C0FFC">
        <w:rPr>
          <w:rFonts w:ascii="Times New Roman" w:hAnsi="Times New Roman"/>
        </w:rPr>
        <w:t xml:space="preserve"> v odvetviach, v ktorých sa predpokladá značné riziko úniku uhlíka v súvislosti s premietnutím nákladov emisných kvót do cien elektrick</w:t>
      </w:r>
      <w:r w:rsidRPr="00A4377F" w:rsidR="00425945">
        <w:rPr>
          <w:rFonts w:ascii="Times New Roman" w:hAnsi="Times New Roman"/>
        </w:rPr>
        <w:t>ej energie,</w:t>
      </w:r>
      <w:r w:rsidRPr="00A4377F" w:rsidR="007C0FFC">
        <w:rPr>
          <w:rFonts w:ascii="Times New Roman" w:hAnsi="Times New Roman"/>
        </w:rPr>
        <w:t xml:space="preserve"> </w:t>
      </w:r>
    </w:p>
    <w:p w:rsidR="00DC3FB6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="007B5A33">
        <w:rPr>
          <w:rFonts w:ascii="Times New Roman" w:hAnsi="Times New Roman"/>
        </w:rPr>
        <w:t>investičn</w:t>
      </w:r>
      <w:r w:rsidR="00E10639">
        <w:rPr>
          <w:rFonts w:ascii="Times New Roman" w:hAnsi="Times New Roman"/>
        </w:rPr>
        <w:t>ú</w:t>
      </w:r>
      <w:r w:rsidR="007B5A33">
        <w:rPr>
          <w:rFonts w:ascii="Times New Roman" w:hAnsi="Times New Roman"/>
        </w:rPr>
        <w:t xml:space="preserve"> pomoc</w:t>
      </w:r>
      <w:r w:rsidRPr="00A4377F" w:rsidR="007B5A33">
        <w:rPr>
          <w:rFonts w:ascii="Times New Roman" w:hAnsi="Times New Roman"/>
        </w:rPr>
        <w:t xml:space="preserve"> </w:t>
      </w:r>
      <w:r w:rsidR="007B5A33">
        <w:rPr>
          <w:rFonts w:ascii="Times New Roman" w:hAnsi="Times New Roman"/>
        </w:rPr>
        <w:t>pre</w:t>
      </w:r>
      <w:r w:rsidRPr="00A4377F" w:rsidR="007B5A33">
        <w:rPr>
          <w:rFonts w:ascii="Times New Roman" w:hAnsi="Times New Roman"/>
        </w:rPr>
        <w:t xml:space="preserve"> </w:t>
      </w:r>
      <w:r w:rsidRPr="00A4377F" w:rsidR="007C0FFC">
        <w:rPr>
          <w:rFonts w:ascii="Times New Roman" w:hAnsi="Times New Roman"/>
        </w:rPr>
        <w:t xml:space="preserve">vysoko </w:t>
      </w:r>
      <w:r w:rsidRPr="00A4377F" w:rsidR="007B5A33">
        <w:rPr>
          <w:rFonts w:ascii="Times New Roman" w:hAnsi="Times New Roman"/>
        </w:rPr>
        <w:t>účinn</w:t>
      </w:r>
      <w:r w:rsidR="007B5A33">
        <w:rPr>
          <w:rFonts w:ascii="Times New Roman" w:hAnsi="Times New Roman"/>
        </w:rPr>
        <w:t>é</w:t>
      </w:r>
      <w:r w:rsidRPr="00A4377F" w:rsidR="007B5A33">
        <w:rPr>
          <w:rFonts w:ascii="Times New Roman" w:hAnsi="Times New Roman"/>
        </w:rPr>
        <w:t xml:space="preserve"> elektrárn</w:t>
      </w:r>
      <w:r w:rsidR="007B5A33">
        <w:rPr>
          <w:rFonts w:ascii="Times New Roman" w:hAnsi="Times New Roman"/>
        </w:rPr>
        <w:t>e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3F6922" w:rsidR="00E10639">
        <w:rPr>
          <w:rFonts w:ascii="Times New Roman" w:hAnsi="Times New Roman"/>
          <w:vertAlign w:val="superscript"/>
        </w:rPr>
        <w:t>)</w:t>
      </w:r>
      <w:r w:rsidRPr="00A4377F" w:rsidR="00A4377F">
        <w:rPr>
          <w:rFonts w:ascii="Times New Roman" w:hAnsi="Times New Roman"/>
        </w:rPr>
        <w:t>,</w:t>
      </w:r>
      <w:r w:rsidRPr="00A4377F" w:rsidR="007C0FFC">
        <w:rPr>
          <w:rFonts w:ascii="Times New Roman" w:hAnsi="Times New Roman"/>
        </w:rPr>
        <w:t xml:space="preserve"> vrátane nových ele</w:t>
      </w:r>
      <w:r w:rsidRPr="00A4377F">
        <w:rPr>
          <w:rFonts w:ascii="Times New Roman" w:hAnsi="Times New Roman"/>
        </w:rPr>
        <w:t>ktrárni</w:t>
      </w:r>
      <w:r w:rsidRPr="00A4377F" w:rsidR="0078084C">
        <w:rPr>
          <w:rFonts w:ascii="Times New Roman" w:hAnsi="Times New Roman"/>
        </w:rPr>
        <w:t xml:space="preserve">, </w:t>
      </w:r>
      <w:r w:rsidRPr="00A4377F" w:rsidR="0078084C">
        <w:rPr>
          <w:rFonts w:ascii="Times New Roman" w:hAnsi="Times New Roman"/>
          <w:bCs/>
          <w:iCs/>
        </w:rPr>
        <w:t>ktoré sú pripravené na zachytávanie a ukladanie oxidu uhličitého</w:t>
      </w:r>
      <w:r w:rsidR="007B5A33">
        <w:rPr>
          <w:rFonts w:ascii="Times New Roman" w:hAnsi="Times New Roman"/>
          <w:bCs/>
          <w:iCs/>
        </w:rPr>
        <w:t xml:space="preserve"> </w:t>
      </w:r>
      <w:r w:rsidR="003F6922">
        <w:rPr>
          <w:rFonts w:ascii="Times New Roman" w:hAnsi="Times New Roman"/>
          <w:bCs/>
          <w:iCs/>
        </w:rPr>
        <w:t xml:space="preserve">maximálne do </w:t>
      </w:r>
      <w:r w:rsidR="007B5A33">
        <w:rPr>
          <w:rFonts w:ascii="Times New Roman" w:hAnsi="Times New Roman"/>
          <w:bCs/>
          <w:iCs/>
        </w:rPr>
        <w:t>výšky 15% oprávnených nákladov v prípade nových vysoko účinných elektrární, ktoré sú pripravené na zachytávanie a ukladanie oxidu uhličitého a v ktorých sa komplexný reťazec začne realizovať pred rokom 2020</w:t>
      </w:r>
      <w:r w:rsidRPr="00A4377F" w:rsidR="00425945">
        <w:rPr>
          <w:rFonts w:ascii="Times New Roman" w:hAnsi="Times New Roman"/>
        </w:rPr>
        <w:t>,</w:t>
      </w:r>
    </w:p>
    <w:p w:rsidR="00DC3FB6" w:rsidRPr="00A4377F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 w:rsidR="00107E56">
        <w:rPr>
          <w:rFonts w:ascii="Times New Roman" w:hAnsi="Times New Roman"/>
        </w:rPr>
        <w:t>podpor</w:t>
      </w:r>
      <w:r w:rsidR="00E10639">
        <w:rPr>
          <w:rFonts w:ascii="Times New Roman" w:hAnsi="Times New Roman"/>
        </w:rPr>
        <w:t>u</w:t>
      </w:r>
      <w:r w:rsidRPr="00A4377F" w:rsidR="00107E56">
        <w:rPr>
          <w:rFonts w:ascii="Times New Roman" w:hAnsi="Times New Roman"/>
        </w:rPr>
        <w:t xml:space="preserve"> </w:t>
      </w:r>
      <w:r w:rsidRPr="00A4377F" w:rsidR="007C0FFC">
        <w:rPr>
          <w:rFonts w:ascii="Times New Roman" w:hAnsi="Times New Roman"/>
        </w:rPr>
        <w:t>investíci</w:t>
      </w:r>
      <w:r w:rsidRPr="00A4377F" w:rsidR="00107E56">
        <w:rPr>
          <w:rFonts w:ascii="Times New Roman" w:hAnsi="Times New Roman"/>
        </w:rPr>
        <w:t>í</w:t>
      </w:r>
      <w:r w:rsidRPr="00A4377F" w:rsidR="007C0FFC">
        <w:rPr>
          <w:rFonts w:ascii="Times New Roman" w:hAnsi="Times New Roman"/>
        </w:rPr>
        <w:t xml:space="preserve"> do nízkouhlíkových technológií</w:t>
      </w:r>
      <w:r w:rsidRPr="00A4377F" w:rsidR="00425945">
        <w:rPr>
          <w:rFonts w:ascii="Times New Roman" w:hAnsi="Times New Roman"/>
        </w:rPr>
        <w:t>,</w:t>
      </w:r>
    </w:p>
    <w:p w:rsidR="00302B9B" w:rsidP="00DC3FB6">
      <w:pPr>
        <w:numPr>
          <w:ilvl w:val="1"/>
          <w:numId w:val="4"/>
        </w:numPr>
        <w:tabs>
          <w:tab w:val="num" w:pos="720"/>
        </w:tabs>
        <w:bidi w:val="0"/>
        <w:ind w:left="720"/>
        <w:jc w:val="both"/>
        <w:rPr>
          <w:rFonts w:ascii="Times New Roman" w:hAnsi="Times New Roman"/>
        </w:rPr>
      </w:pPr>
      <w:r w:rsidRPr="00A4377F">
        <w:rPr>
          <w:rFonts w:ascii="Times New Roman" w:hAnsi="Times New Roman"/>
        </w:rPr>
        <w:t>pokrytie nákladov spojených s</w:t>
      </w:r>
      <w:r w:rsidRPr="00A4377F" w:rsidR="00A4377F">
        <w:rPr>
          <w:rFonts w:ascii="Times New Roman" w:hAnsi="Times New Roman"/>
        </w:rPr>
        <w:t xml:space="preserve"> odborným a </w:t>
      </w:r>
      <w:r w:rsidRPr="00A4377F">
        <w:rPr>
          <w:rFonts w:ascii="Times New Roman" w:hAnsi="Times New Roman"/>
        </w:rPr>
        <w:t xml:space="preserve">administratívnym zabezpečením </w:t>
      </w:r>
      <w:r w:rsidRPr="00A4377F" w:rsidR="00A4377F">
        <w:rPr>
          <w:rFonts w:ascii="Times New Roman" w:hAnsi="Times New Roman"/>
        </w:rPr>
        <w:t>plnenia záväzkov Slovenskej republiky v oblasti znižovania emisií skleníkových plynov</w:t>
      </w:r>
      <w:r w:rsidRPr="00A4377F">
        <w:rPr>
          <w:rFonts w:ascii="Times New Roman" w:hAnsi="Times New Roman"/>
        </w:rPr>
        <w:t>.</w:t>
      </w:r>
    </w:p>
    <w:p w:rsidR="00260672" w:rsidP="00EF35ED">
      <w:pPr>
        <w:tabs>
          <w:tab w:val="num" w:pos="1211"/>
        </w:tabs>
        <w:bidi w:val="0"/>
        <w:ind w:left="720"/>
        <w:jc w:val="both"/>
        <w:rPr>
          <w:rFonts w:ascii="Times New Roman" w:hAnsi="Times New Roman"/>
        </w:rPr>
      </w:pPr>
    </w:p>
    <w:p w:rsidR="007C0FFC" w:rsidP="004C456D">
      <w:pPr>
        <w:numPr>
          <w:numId w:val="6"/>
        </w:numPr>
        <w:bidi w:val="0"/>
        <w:ind w:left="0" w:firstLine="360"/>
        <w:jc w:val="both"/>
        <w:rPr>
          <w:rFonts w:ascii="Times New Roman" w:hAnsi="Times New Roman"/>
        </w:rPr>
      </w:pPr>
      <w:r w:rsidR="00260672">
        <w:rPr>
          <w:rFonts w:ascii="Times New Roman" w:hAnsi="Times New Roman"/>
        </w:rPr>
        <w:t xml:space="preserve">Druhotným energetickým zdrojom sa </w:t>
      </w:r>
      <w:r w:rsidR="001F2C89">
        <w:rPr>
          <w:rFonts w:ascii="Times New Roman" w:hAnsi="Times New Roman"/>
        </w:rPr>
        <w:t xml:space="preserve">na účely tejto vyhlášky </w:t>
      </w:r>
      <w:r w:rsidR="00260672">
        <w:rPr>
          <w:rFonts w:ascii="Times New Roman" w:hAnsi="Times New Roman"/>
        </w:rPr>
        <w:t xml:space="preserve">rozumie </w:t>
      </w:r>
      <w:r w:rsidR="00976927">
        <w:rPr>
          <w:rFonts w:ascii="Times New Roman" w:hAnsi="Times New Roman"/>
        </w:rPr>
        <w:t>zdroj energie</w:t>
      </w:r>
      <w:r w:rsidR="00260672">
        <w:rPr>
          <w:rFonts w:ascii="Times New Roman" w:hAnsi="Times New Roman"/>
        </w:rPr>
        <w:t xml:space="preserve">, ktorého energetický potenciál </w:t>
      </w:r>
      <w:r w:rsidR="00580735">
        <w:rPr>
          <w:rFonts w:ascii="Times New Roman" w:hAnsi="Times New Roman"/>
          <w:color w:val="000000"/>
        </w:rPr>
        <w:t xml:space="preserve">pochádza z </w:t>
      </w:r>
      <w:r w:rsidRPr="00A7414A" w:rsidR="00580735">
        <w:rPr>
          <w:rFonts w:ascii="Times New Roman" w:hAnsi="Times New Roman"/>
          <w:color w:val="000000"/>
        </w:rPr>
        <w:t>vedľajš</w:t>
      </w:r>
      <w:r w:rsidR="00580735">
        <w:rPr>
          <w:rFonts w:ascii="Times New Roman" w:hAnsi="Times New Roman"/>
          <w:color w:val="000000"/>
        </w:rPr>
        <w:t>ieho plynného</w:t>
      </w:r>
      <w:r w:rsidRPr="00A7414A" w:rsidR="00580735">
        <w:rPr>
          <w:rFonts w:ascii="Times New Roman" w:hAnsi="Times New Roman"/>
          <w:color w:val="000000"/>
        </w:rPr>
        <w:t xml:space="preserve"> produkt</w:t>
      </w:r>
      <w:r w:rsidR="00580735">
        <w:rPr>
          <w:rFonts w:ascii="Times New Roman" w:hAnsi="Times New Roman"/>
          <w:color w:val="000000"/>
        </w:rPr>
        <w:t xml:space="preserve">u vznikajúceho </w:t>
      </w:r>
      <w:r w:rsidR="00976927">
        <w:rPr>
          <w:rFonts w:ascii="Times New Roman" w:hAnsi="Times New Roman"/>
        </w:rPr>
        <w:t>pri výrobných a technologických procesoch.</w:t>
      </w:r>
    </w:p>
    <w:p w:rsidR="00B51465" w:rsidRPr="00EF35ED" w:rsidP="00B51465">
      <w:pPr>
        <w:bidi w:val="0"/>
        <w:jc w:val="both"/>
        <w:rPr>
          <w:rFonts w:ascii="Times New Roman" w:hAnsi="Times New Roman"/>
        </w:rPr>
      </w:pPr>
    </w:p>
    <w:p w:rsidR="00425945" w:rsidRPr="00A4377F" w:rsidP="00425945">
      <w:pPr>
        <w:bidi w:val="0"/>
        <w:jc w:val="center"/>
        <w:rPr>
          <w:rFonts w:ascii="Times New Roman" w:hAnsi="Times New Roman"/>
          <w:b/>
        </w:rPr>
      </w:pPr>
      <w:r w:rsidRPr="00A4377F">
        <w:rPr>
          <w:rFonts w:ascii="Times New Roman" w:hAnsi="Times New Roman"/>
          <w:b/>
        </w:rPr>
        <w:t xml:space="preserve">§ 2 </w:t>
      </w:r>
    </w:p>
    <w:p w:rsidR="007C0FFC" w:rsidRPr="00A4377F" w:rsidP="007C0FFC">
      <w:pPr>
        <w:bidi w:val="0"/>
        <w:rPr>
          <w:rFonts w:ascii="Times New Roman" w:hAnsi="Times New Roman"/>
        </w:rPr>
      </w:pPr>
    </w:p>
    <w:p w:rsidR="007C0FFC" w:rsidRPr="00A4377F" w:rsidP="00425945">
      <w:pPr>
        <w:bidi w:val="0"/>
        <w:ind w:firstLine="708"/>
        <w:rPr>
          <w:rFonts w:ascii="Times New Roman" w:hAnsi="Times New Roman"/>
        </w:rPr>
      </w:pPr>
      <w:r w:rsidRPr="00A4377F">
        <w:rPr>
          <w:rFonts w:ascii="Times New Roman" w:hAnsi="Times New Roman"/>
        </w:rPr>
        <w:t xml:space="preserve">Táto vyhláška nadobúda účinnosť </w:t>
      </w:r>
      <w:r w:rsidR="00B51465">
        <w:rPr>
          <w:rFonts w:ascii="Times New Roman" w:hAnsi="Times New Roman"/>
        </w:rPr>
        <w:t>1</w:t>
      </w:r>
      <w:r w:rsidRPr="00A4377F">
        <w:rPr>
          <w:rFonts w:ascii="Times New Roman" w:hAnsi="Times New Roman"/>
        </w:rPr>
        <w:t>.</w:t>
      </w:r>
      <w:r w:rsidR="00590BB8">
        <w:rPr>
          <w:rFonts w:ascii="Times New Roman" w:hAnsi="Times New Roman"/>
        </w:rPr>
        <w:t xml:space="preserve"> </w:t>
      </w:r>
      <w:r w:rsidR="004C456D">
        <w:rPr>
          <w:rFonts w:ascii="Times New Roman" w:hAnsi="Times New Roman"/>
        </w:rPr>
        <w:t>januára 2013</w:t>
      </w:r>
      <w:r w:rsidRPr="00A4377F">
        <w:rPr>
          <w:rFonts w:ascii="Times New Roman" w:hAnsi="Times New Roman"/>
        </w:rPr>
        <w:t>.</w:t>
      </w:r>
    </w:p>
    <w:p w:rsidR="007C0FFC" w:rsidRPr="00A4377F" w:rsidP="007C0FFC">
      <w:pPr>
        <w:bidi w:val="0"/>
        <w:rPr>
          <w:rFonts w:ascii="Times New Roman" w:hAnsi="Times New Roman"/>
        </w:rPr>
      </w:pPr>
    </w:p>
    <w:p w:rsidR="00425945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425945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425945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425945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425945" w:rsidRPr="00A4377F" w:rsidP="007C0FFC">
      <w:pPr>
        <w:bidi w:val="0"/>
        <w:jc w:val="center"/>
        <w:rPr>
          <w:rFonts w:ascii="Times New Roman" w:hAnsi="Times New Roman"/>
          <w:b/>
        </w:rPr>
      </w:pPr>
    </w:p>
    <w:p w:rsidR="00E370B4" w:rsidRPr="00A4377F" w:rsidP="007C0FFC">
      <w:pPr>
        <w:bidi w:val="0"/>
        <w:jc w:val="center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7B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F47B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3C0FAB">
      <w:pPr>
        <w:pStyle w:val="FootnoteText"/>
        <w:bidi w:val="0"/>
        <w:jc w:val="both"/>
        <w:rPr>
          <w:rFonts w:ascii="Times New Roman" w:hAnsi="Times New Roman"/>
        </w:rPr>
      </w:pPr>
      <w:r w:rsidRPr="00A273CB" w:rsidR="00B51465">
        <w:rPr>
          <w:rStyle w:val="FootnoteReference"/>
          <w:rFonts w:ascii="Times New Roman" w:hAnsi="Times New Roman"/>
          <w:sz w:val="18"/>
          <w:szCs w:val="18"/>
        </w:rPr>
        <w:footnoteRef/>
      </w:r>
      <w:r w:rsidR="00B51465">
        <w:rPr>
          <w:rFonts w:ascii="Times New Roman" w:hAnsi="Times New Roman"/>
          <w:sz w:val="18"/>
          <w:szCs w:val="18"/>
        </w:rPr>
        <w:t>)</w:t>
      </w:r>
      <w:r w:rsidR="00A91F86">
        <w:rPr>
          <w:rFonts w:ascii="Times New Roman" w:hAnsi="Times New Roman"/>
          <w:sz w:val="18"/>
          <w:szCs w:val="18"/>
        </w:rPr>
        <w:t xml:space="preserve"> N</w:t>
      </w:r>
      <w:r w:rsidRPr="00A91F86" w:rsidR="00A91F86">
        <w:rPr>
          <w:rFonts w:ascii="Times New Roman" w:hAnsi="Times New Roman"/>
          <w:sz w:val="18"/>
          <w:szCs w:val="18"/>
        </w:rPr>
        <w:t>ariadenie Komisie (EÚ) č. 1031/2010 z 12. novembra 2010 o harmonograme, správe a iných aspektoch obchodovania s emisnými kvótami skleníkových plynov formou aukcie podľa smernice Európskeho parlamentu a Rady 2003/87/ES o vytvorení systému obchodovania s emisnými kvótami skleníkových plynov v Spoločenstve (Ú.v. EÚ L 302, 18.11.2010).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Pr="00A273CB" w:rsidR="00B5146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273CB" w:rsidR="00B51465">
        <w:rPr>
          <w:rFonts w:ascii="Times New Roman" w:hAnsi="Times New Roman"/>
          <w:sz w:val="18"/>
          <w:szCs w:val="18"/>
        </w:rPr>
        <w:t xml:space="preserve">)   </w:t>
      </w:r>
      <w:r w:rsidR="00271F61">
        <w:rPr>
          <w:rFonts w:ascii="Times New Roman" w:hAnsi="Times New Roman"/>
          <w:sz w:val="18"/>
          <w:szCs w:val="18"/>
        </w:rPr>
        <w:t>§ 29 ods. 4 a 5 z</w:t>
      </w:r>
      <w:r w:rsidRPr="00A273CB" w:rsidR="00B51465">
        <w:rPr>
          <w:rFonts w:ascii="Times New Roman" w:hAnsi="Times New Roman"/>
          <w:sz w:val="18"/>
          <w:szCs w:val="18"/>
        </w:rPr>
        <w:t>ákon</w:t>
      </w:r>
      <w:r w:rsidR="00271F61">
        <w:rPr>
          <w:rFonts w:ascii="Times New Roman" w:hAnsi="Times New Roman"/>
          <w:sz w:val="18"/>
          <w:szCs w:val="18"/>
        </w:rPr>
        <w:t>a</w:t>
      </w:r>
      <w:r w:rsidRPr="00A273CB" w:rsidR="00B51465">
        <w:rPr>
          <w:rFonts w:ascii="Times New Roman" w:hAnsi="Times New Roman"/>
          <w:sz w:val="18"/>
          <w:szCs w:val="18"/>
        </w:rPr>
        <w:t xml:space="preserve"> č. 595/2003 Z. z. o dani z</w:t>
      </w:r>
      <w:r w:rsidR="00B51465">
        <w:rPr>
          <w:rFonts w:ascii="Times New Roman" w:hAnsi="Times New Roman"/>
          <w:sz w:val="18"/>
          <w:szCs w:val="18"/>
        </w:rPr>
        <w:t> </w:t>
      </w:r>
      <w:r w:rsidRPr="00A273CB" w:rsidR="00B51465">
        <w:rPr>
          <w:rFonts w:ascii="Times New Roman" w:hAnsi="Times New Roman"/>
          <w:sz w:val="18"/>
          <w:szCs w:val="18"/>
        </w:rPr>
        <w:t>príjmov</w:t>
      </w:r>
      <w:r w:rsidR="00B51465">
        <w:rPr>
          <w:rFonts w:ascii="Times New Roman" w:hAnsi="Times New Roman"/>
          <w:sz w:val="18"/>
          <w:szCs w:val="18"/>
        </w:rPr>
        <w:t xml:space="preserve"> v znení neskorších predpisov.</w:t>
      </w:r>
    </w:p>
  </w:footnote>
  <w:footnote w:id="4">
    <w:p w:rsidP="00B34D64">
      <w:pPr>
        <w:pStyle w:val="FootnoteText"/>
        <w:bidi w:val="0"/>
        <w:jc w:val="both"/>
        <w:rPr>
          <w:rFonts w:ascii="Times New Roman" w:hAnsi="Times New Roman"/>
        </w:rPr>
      </w:pPr>
      <w:r w:rsidR="00B51465">
        <w:rPr>
          <w:rStyle w:val="FootnoteReference"/>
          <w:rFonts w:ascii="Times New Roman" w:hAnsi="Times New Roman"/>
        </w:rPr>
        <w:footnoteRef/>
      </w:r>
      <w:r w:rsidR="00B51465">
        <w:rPr>
          <w:rFonts w:ascii="Times New Roman" w:hAnsi="Times New Roman"/>
        </w:rPr>
        <w:t xml:space="preserve">) </w:t>
      </w:r>
      <w:r w:rsidRPr="00B34D64" w:rsidR="00B51465">
        <w:rPr>
          <w:rFonts w:ascii="Times New Roman" w:hAnsi="Times New Roman"/>
          <w:sz w:val="18"/>
          <w:szCs w:val="18"/>
        </w:rPr>
        <w:t xml:space="preserve">Rozhodnutie Komisie 2007/74/ES z 21. decembra 2006, ktorým sa ustanovujú harmonizované referenčné hodnoty účinnosti samostatnej výroby elektriny a tepla pri uplatňovaní smernice Európskeho parlamentu a Rady 2004/8/ES </w:t>
      </w:r>
      <w:r w:rsidR="00B51465">
        <w:rPr>
          <w:rFonts w:ascii="Times New Roman" w:hAnsi="Times New Roman"/>
          <w:sz w:val="18"/>
          <w:szCs w:val="18"/>
        </w:rPr>
        <w:t>(</w:t>
      </w:r>
      <w:r w:rsidRPr="00B34D64" w:rsidR="00B51465">
        <w:rPr>
          <w:rFonts w:ascii="Times New Roman" w:hAnsi="Times New Roman"/>
          <w:sz w:val="18"/>
          <w:szCs w:val="18"/>
        </w:rPr>
        <w:t xml:space="preserve">Ú. v. </w:t>
      </w:r>
      <w:r w:rsidR="00B51465">
        <w:rPr>
          <w:rFonts w:ascii="Times New Roman" w:hAnsi="Times New Roman"/>
          <w:sz w:val="18"/>
          <w:szCs w:val="18"/>
        </w:rPr>
        <w:t xml:space="preserve"> </w:t>
      </w:r>
      <w:r w:rsidRPr="00B34D64" w:rsidR="00B51465">
        <w:rPr>
          <w:rFonts w:ascii="Times New Roman" w:hAnsi="Times New Roman"/>
          <w:sz w:val="18"/>
          <w:szCs w:val="18"/>
        </w:rPr>
        <w:t>EÚ L 32, 6.2.2007</w:t>
      </w:r>
      <w:r w:rsidR="00B51465">
        <w:rPr>
          <w:rFonts w:ascii="Times New Roman" w:hAnsi="Times New Roman"/>
          <w:sz w:val="18"/>
          <w:szCs w:val="18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052"/>
    <w:multiLevelType w:val="hybridMultilevel"/>
    <w:tmpl w:val="E8A4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A62AC1"/>
    <w:multiLevelType w:val="hybridMultilevel"/>
    <w:tmpl w:val="BD084D28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446084"/>
    <w:multiLevelType w:val="hybridMultilevel"/>
    <w:tmpl w:val="F9B42C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3CC4734"/>
    <w:multiLevelType w:val="hybridMultilevel"/>
    <w:tmpl w:val="A82AD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307369C"/>
    <w:multiLevelType w:val="hybridMultilevel"/>
    <w:tmpl w:val="0F3847E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7AF61456"/>
    <w:multiLevelType w:val="hybridMultilevel"/>
    <w:tmpl w:val="9094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  <w:rtl w:val="0"/>
        <w:cs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7C0FFC"/>
    <w:rsid w:val="000B6852"/>
    <w:rsid w:val="000C372C"/>
    <w:rsid w:val="00107E56"/>
    <w:rsid w:val="0011167C"/>
    <w:rsid w:val="00116C52"/>
    <w:rsid w:val="00136176"/>
    <w:rsid w:val="0014715F"/>
    <w:rsid w:val="00156AC9"/>
    <w:rsid w:val="0016330B"/>
    <w:rsid w:val="00163505"/>
    <w:rsid w:val="00180710"/>
    <w:rsid w:val="00190AC9"/>
    <w:rsid w:val="001937EB"/>
    <w:rsid w:val="001A3481"/>
    <w:rsid w:val="001E745C"/>
    <w:rsid w:val="001F2C89"/>
    <w:rsid w:val="00230D4B"/>
    <w:rsid w:val="00260672"/>
    <w:rsid w:val="00271F61"/>
    <w:rsid w:val="002A4A3E"/>
    <w:rsid w:val="002A5DE9"/>
    <w:rsid w:val="002B6C8A"/>
    <w:rsid w:val="002E225E"/>
    <w:rsid w:val="002F0A31"/>
    <w:rsid w:val="002F2708"/>
    <w:rsid w:val="00302B9B"/>
    <w:rsid w:val="00332A34"/>
    <w:rsid w:val="003B5C23"/>
    <w:rsid w:val="003C0FAB"/>
    <w:rsid w:val="003F1545"/>
    <w:rsid w:val="003F6922"/>
    <w:rsid w:val="00410E0A"/>
    <w:rsid w:val="00425945"/>
    <w:rsid w:val="004A221A"/>
    <w:rsid w:val="004B3C1B"/>
    <w:rsid w:val="004C456D"/>
    <w:rsid w:val="004C6101"/>
    <w:rsid w:val="005774C0"/>
    <w:rsid w:val="00580735"/>
    <w:rsid w:val="00590BB8"/>
    <w:rsid w:val="005B2DAE"/>
    <w:rsid w:val="005D3D07"/>
    <w:rsid w:val="005F30EF"/>
    <w:rsid w:val="00621C93"/>
    <w:rsid w:val="006253E3"/>
    <w:rsid w:val="0063059A"/>
    <w:rsid w:val="00647CF4"/>
    <w:rsid w:val="006E1BB3"/>
    <w:rsid w:val="00764B36"/>
    <w:rsid w:val="00775697"/>
    <w:rsid w:val="0078084C"/>
    <w:rsid w:val="007912B4"/>
    <w:rsid w:val="007B5A33"/>
    <w:rsid w:val="007C0FFC"/>
    <w:rsid w:val="007D59FA"/>
    <w:rsid w:val="007E023B"/>
    <w:rsid w:val="00805932"/>
    <w:rsid w:val="00817DAB"/>
    <w:rsid w:val="00833342"/>
    <w:rsid w:val="00835949"/>
    <w:rsid w:val="00866D0F"/>
    <w:rsid w:val="00887F12"/>
    <w:rsid w:val="008B6AFE"/>
    <w:rsid w:val="008D57DF"/>
    <w:rsid w:val="00927B15"/>
    <w:rsid w:val="00962E09"/>
    <w:rsid w:val="00970A31"/>
    <w:rsid w:val="00973DDF"/>
    <w:rsid w:val="00976927"/>
    <w:rsid w:val="00980787"/>
    <w:rsid w:val="009D42F0"/>
    <w:rsid w:val="009D5148"/>
    <w:rsid w:val="009E06E0"/>
    <w:rsid w:val="00A00804"/>
    <w:rsid w:val="00A126EB"/>
    <w:rsid w:val="00A13F05"/>
    <w:rsid w:val="00A241BB"/>
    <w:rsid w:val="00A273CB"/>
    <w:rsid w:val="00A4377F"/>
    <w:rsid w:val="00A4681C"/>
    <w:rsid w:val="00A5628C"/>
    <w:rsid w:val="00A7414A"/>
    <w:rsid w:val="00A91F86"/>
    <w:rsid w:val="00AA1803"/>
    <w:rsid w:val="00AF303B"/>
    <w:rsid w:val="00AF7F90"/>
    <w:rsid w:val="00B15663"/>
    <w:rsid w:val="00B31059"/>
    <w:rsid w:val="00B34D64"/>
    <w:rsid w:val="00B423A1"/>
    <w:rsid w:val="00B51465"/>
    <w:rsid w:val="00B83C31"/>
    <w:rsid w:val="00B87967"/>
    <w:rsid w:val="00BC20B0"/>
    <w:rsid w:val="00BD2E2B"/>
    <w:rsid w:val="00BD7A0C"/>
    <w:rsid w:val="00C02E3D"/>
    <w:rsid w:val="00C35BE6"/>
    <w:rsid w:val="00C36396"/>
    <w:rsid w:val="00C376A7"/>
    <w:rsid w:val="00C44043"/>
    <w:rsid w:val="00C476B3"/>
    <w:rsid w:val="00C5245B"/>
    <w:rsid w:val="00C5689B"/>
    <w:rsid w:val="00C8301D"/>
    <w:rsid w:val="00C94C4D"/>
    <w:rsid w:val="00C95252"/>
    <w:rsid w:val="00CB21A8"/>
    <w:rsid w:val="00CB4248"/>
    <w:rsid w:val="00CD435A"/>
    <w:rsid w:val="00CE4433"/>
    <w:rsid w:val="00CF42E0"/>
    <w:rsid w:val="00D07222"/>
    <w:rsid w:val="00D308CC"/>
    <w:rsid w:val="00D31549"/>
    <w:rsid w:val="00D36B03"/>
    <w:rsid w:val="00D6100C"/>
    <w:rsid w:val="00DB2316"/>
    <w:rsid w:val="00DC3FB6"/>
    <w:rsid w:val="00DF43B9"/>
    <w:rsid w:val="00DF47BE"/>
    <w:rsid w:val="00E005BF"/>
    <w:rsid w:val="00E10639"/>
    <w:rsid w:val="00E2101B"/>
    <w:rsid w:val="00E370B4"/>
    <w:rsid w:val="00EA1140"/>
    <w:rsid w:val="00EB0A38"/>
    <w:rsid w:val="00EE34F2"/>
    <w:rsid w:val="00EF35ED"/>
    <w:rsid w:val="00F00D86"/>
    <w:rsid w:val="00FA5FF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7C0FFC"/>
    <w:pPr>
      <w:jc w:val="left"/>
    </w:pPr>
    <w:rPr>
      <w:sz w:val="20"/>
      <w:szCs w:val="20"/>
    </w:rPr>
  </w:style>
  <w:style w:type="character" w:styleId="FootnoteReference">
    <w:name w:val="footnote reference"/>
    <w:semiHidden/>
    <w:rsid w:val="007C0FFC"/>
    <w:rPr>
      <w:vertAlign w:val="superscript"/>
    </w:rPr>
  </w:style>
  <w:style w:type="paragraph" w:styleId="BalloonText">
    <w:name w:val="Balloon Text"/>
    <w:basedOn w:val="Normal"/>
    <w:link w:val="BalloonTextChar"/>
    <w:rsid w:val="001E745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1E745C"/>
    <w:rPr>
      <w:rFonts w:ascii="Tahoma" w:hAnsi="Tahoma" w:cs="Tahoma"/>
      <w:sz w:val="16"/>
    </w:rPr>
  </w:style>
  <w:style w:type="character" w:styleId="CommentReference">
    <w:name w:val="annotation reference"/>
    <w:rsid w:val="001E745C"/>
    <w:rPr>
      <w:sz w:val="16"/>
    </w:rPr>
  </w:style>
  <w:style w:type="paragraph" w:styleId="CommentText">
    <w:name w:val="annotation text"/>
    <w:basedOn w:val="Normal"/>
    <w:link w:val="CommentTextChar"/>
    <w:rsid w:val="001E745C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1E745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1E745C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1E745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466</Words>
  <Characters>2661</Characters>
  <Application>Microsoft Office Word</Application>
  <DocSecurity>0</DocSecurity>
  <Lines>0</Lines>
  <Paragraphs>0</Paragraphs>
  <ScaleCrop>false</ScaleCrop>
  <Company>MZP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Ing. Miloš Grajcar</dc:creator>
  <cp:lastModifiedBy>Gašparíková, Jarmila</cp:lastModifiedBy>
  <cp:revision>2</cp:revision>
  <cp:lastPrinted>2012-09-12T17:00:00Z</cp:lastPrinted>
  <dcterms:created xsi:type="dcterms:W3CDTF">2012-11-09T13:49:00Z</dcterms:created>
  <dcterms:modified xsi:type="dcterms:W3CDTF">2012-11-09T13:49:00Z</dcterms:modified>
</cp:coreProperties>
</file>