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4521DE" w:rsidP="008B25A6">
      <w:pPr>
        <w:widowControl/>
        <w:bidi w:val="0"/>
        <w:jc w:val="center"/>
        <w:rPr>
          <w:rFonts w:ascii="Times New Roman" w:hAnsi="Times New Roman"/>
          <w:b/>
          <w:caps/>
          <w:color w:val="000000"/>
          <w:spacing w:val="30"/>
        </w:rPr>
      </w:pPr>
      <w:r w:rsidR="003F6A90">
        <w:rPr>
          <w:rFonts w:ascii="Times New Roman" w:hAnsi="Times New Roman"/>
          <w:b/>
          <w:caps/>
          <w:color w:val="000000"/>
          <w:spacing w:val="30"/>
        </w:rPr>
        <w:t>dôvodová správa</w:t>
      </w:r>
    </w:p>
    <w:p w:rsidR="008B25A6" w:rsidRPr="004521DE" w:rsidP="008B25A6">
      <w:pPr>
        <w:widowControl/>
        <w:bidi w:val="0"/>
        <w:jc w:val="both"/>
        <w:rPr>
          <w:rFonts w:ascii="Times New Roman" w:hAnsi="Times New Roman"/>
          <w:color w:val="000000"/>
        </w:rPr>
      </w:pPr>
    </w:p>
    <w:p w:rsidR="008B25A6" w:rsidRPr="004521DE" w:rsidP="008B25A6">
      <w:pPr>
        <w:widowControl/>
        <w:bidi w:val="0"/>
        <w:jc w:val="both"/>
        <w:rPr>
          <w:rFonts w:ascii="Times New Roman" w:hAnsi="Times New Roman"/>
          <w:b/>
          <w:color w:val="000000"/>
        </w:rPr>
      </w:pPr>
      <w:r w:rsidRPr="004521DE">
        <w:rPr>
          <w:rFonts w:ascii="Times New Roman" w:hAnsi="Times New Roman"/>
          <w:b/>
          <w:color w:val="000000"/>
        </w:rPr>
        <w:t>A. Všeobecná časť</w:t>
      </w:r>
    </w:p>
    <w:p w:rsidR="008B25A6" w:rsidP="008B25A6">
      <w:pPr>
        <w:widowControl/>
        <w:bidi w:val="0"/>
        <w:jc w:val="both"/>
        <w:rPr>
          <w:rFonts w:ascii="Times New Roman" w:hAnsi="Times New Roman"/>
          <w:color w:val="000000"/>
        </w:rPr>
      </w:pPr>
    </w:p>
    <w:p w:rsidR="00FE0BBF" w:rsidP="00FE0BBF">
      <w:pPr>
        <w:autoSpaceDE w:val="0"/>
        <w:autoSpaceDN w:val="0"/>
        <w:bidi w:val="0"/>
        <w:ind w:firstLine="708"/>
        <w:jc w:val="both"/>
        <w:rPr>
          <w:rFonts w:ascii="Times New Roman" w:hAnsi="Times New Roman"/>
        </w:rPr>
      </w:pPr>
      <w:r w:rsidR="00F43FB7">
        <w:rPr>
          <w:rFonts w:ascii="Times New Roman" w:hAnsi="Times New Roman"/>
        </w:rPr>
        <w:t>Návrh zákona</w:t>
      </w:r>
      <w:r w:rsidR="00245ECF">
        <w:rPr>
          <w:rFonts w:ascii="Times New Roman" w:hAnsi="Times New Roman"/>
        </w:rPr>
        <w:t xml:space="preserve"> </w:t>
      </w:r>
      <w:r w:rsidR="00F43FB7">
        <w:rPr>
          <w:rFonts w:ascii="Times New Roman" w:hAnsi="Times New Roman"/>
        </w:rPr>
        <w:t xml:space="preserve">o obchodovaní s emisnými kvótami a o zmene a doplnení niektorých zákonov (ďalej len „návrh zákona“) </w:t>
      </w:r>
      <w:r w:rsidR="00294557">
        <w:rPr>
          <w:rFonts w:ascii="Times New Roman" w:hAnsi="Times New Roman"/>
        </w:rPr>
        <w:t>upravuje obchodovanie s emisnými kvótami skleníkových plynov s Slovenskej republike, v Európskej únii a medzi osobami registrovanými v Slovenskej republike a osobami registrovanými v krajinách uvedených v prílohe B Kjótskeho protokolu, ktoré podporuje znižovanie emisií skleníkových plynov ekonomicky výhodným spôsobom, obchodovanie s emisnými kvótami znečisťujúcich látok, práva a povinnosti toho, kto prevádzkuje alebo riadi stacionárnu prevádzku a prevádzkovateľov lietadiel, ostatných účastníkov schémy obchodovania a účastníkov systému obchodovania, pôsobnosť orgánov štátnej správy</w:t>
      </w:r>
      <w:r>
        <w:rPr>
          <w:rFonts w:ascii="Times New Roman" w:hAnsi="Times New Roman"/>
        </w:rPr>
        <w:t>.</w:t>
      </w:r>
    </w:p>
    <w:p w:rsidR="00FE0BBF" w:rsidP="00FE0BBF">
      <w:pPr>
        <w:autoSpaceDE w:val="0"/>
        <w:autoSpaceDN w:val="0"/>
        <w:bidi w:val="0"/>
        <w:ind w:firstLine="708"/>
        <w:jc w:val="both"/>
        <w:rPr>
          <w:rFonts w:ascii="Times New Roman" w:hAnsi="Times New Roman"/>
        </w:rPr>
      </w:pPr>
    </w:p>
    <w:p w:rsidR="00FE0BBF" w:rsidP="00FE0BBF">
      <w:pPr>
        <w:autoSpaceDE w:val="0"/>
        <w:autoSpaceDN w:val="0"/>
        <w:bidi w:val="0"/>
        <w:ind w:firstLine="708"/>
        <w:jc w:val="both"/>
        <w:rPr>
          <w:rFonts w:ascii="Times New Roman" w:hAnsi="Times New Roman"/>
        </w:rPr>
      </w:pPr>
      <w:r>
        <w:rPr>
          <w:rFonts w:ascii="Times New Roman" w:hAnsi="Times New Roman"/>
        </w:rPr>
        <w:t xml:space="preserve">Návrh zákona  sa predkladá z dôvodu transpozičnej povinnosti </w:t>
      </w:r>
      <w:r w:rsidRPr="00A10B51">
        <w:rPr>
          <w:rFonts w:ascii="Times New Roman" w:hAnsi="Times New Roman"/>
        </w:rPr>
        <w:t>Smernic</w:t>
      </w:r>
      <w:r>
        <w:rPr>
          <w:rFonts w:ascii="Times New Roman" w:hAnsi="Times New Roman"/>
        </w:rPr>
        <w:t>e</w:t>
      </w:r>
      <w:r w:rsidRPr="00A10B51">
        <w:rPr>
          <w:rFonts w:ascii="Times New Roman" w:hAnsi="Times New Roman"/>
        </w:rPr>
        <w:t xml:space="preserve"> Európskeho parlamentu a Rady 2003/87/ES z 13. októbra 2003 o vytvorení systému obchodovania </w:t>
      </w:r>
      <w:r>
        <w:rPr>
          <w:rFonts w:ascii="Times New Roman" w:hAnsi="Times New Roman"/>
        </w:rPr>
        <w:t xml:space="preserve">                                  </w:t>
      </w:r>
      <w:r w:rsidRPr="00A10B51">
        <w:rPr>
          <w:rFonts w:ascii="Times New Roman" w:hAnsi="Times New Roman"/>
        </w:rPr>
        <w:t>s emisnými kvótami skleníkových plynov v spoločenstve</w:t>
      </w:r>
      <w:r>
        <w:rPr>
          <w:rFonts w:ascii="Times New Roman" w:hAnsi="Times New Roman"/>
        </w:rPr>
        <w:t xml:space="preserve"> v platnom znení.</w:t>
      </w:r>
    </w:p>
    <w:p w:rsidR="00DC33C0" w:rsidP="00F43FB7">
      <w:pPr>
        <w:pStyle w:val="BodyText"/>
        <w:bidi w:val="0"/>
        <w:ind w:firstLine="708"/>
        <w:rPr>
          <w:rFonts w:ascii="Times New Roman" w:hAnsi="Times New Roman"/>
        </w:rPr>
      </w:pPr>
    </w:p>
    <w:p w:rsidR="003F6A90" w:rsidP="003F6A90">
      <w:pPr>
        <w:pStyle w:val="BodyText"/>
        <w:bidi w:val="0"/>
        <w:ind w:firstLine="708"/>
        <w:rPr>
          <w:rFonts w:ascii="Times New Roman" w:hAnsi="Times New Roman"/>
        </w:rPr>
      </w:pPr>
      <w:r>
        <w:rPr>
          <w:rFonts w:ascii="Times New Roman" w:hAnsi="Times New Roman"/>
        </w:rPr>
        <w:t xml:space="preserve">Návrh zákona  bol pripravovaný, tak aby reflektoval na vykonávacie právne akty Európskej Komisie, ktoré nadobúdali účinnosť postupne v priebehu rokov 2010 až do júla 2012. </w:t>
      </w:r>
    </w:p>
    <w:p w:rsidR="003F6A90" w:rsidP="003F6A90">
      <w:pPr>
        <w:pStyle w:val="BodyText"/>
        <w:bidi w:val="0"/>
        <w:ind w:firstLine="708"/>
        <w:rPr>
          <w:rFonts w:ascii="Times New Roman" w:hAnsi="Times New Roman"/>
        </w:rPr>
      </w:pPr>
    </w:p>
    <w:p w:rsidR="003F6A90" w:rsidP="003F6A90">
      <w:pPr>
        <w:pStyle w:val="BodyText"/>
        <w:bidi w:val="0"/>
        <w:ind w:firstLine="708"/>
        <w:rPr>
          <w:rFonts w:ascii="Times New Roman" w:hAnsi="Times New Roman"/>
        </w:rPr>
      </w:pPr>
      <w:r>
        <w:rPr>
          <w:rFonts w:ascii="Times New Roman" w:hAnsi="Times New Roman"/>
        </w:rPr>
        <w:t xml:space="preserve">Návrh zákona  tak okrem </w:t>
      </w:r>
      <w:r w:rsidRPr="00A10B51">
        <w:rPr>
          <w:rFonts w:ascii="Times New Roman" w:hAnsi="Times New Roman"/>
        </w:rPr>
        <w:t>Smernic</w:t>
      </w:r>
      <w:r>
        <w:rPr>
          <w:rFonts w:ascii="Times New Roman" w:hAnsi="Times New Roman"/>
        </w:rPr>
        <w:t>e</w:t>
      </w:r>
      <w:r w:rsidRPr="00A10B51">
        <w:rPr>
          <w:rFonts w:ascii="Times New Roman" w:hAnsi="Times New Roman"/>
        </w:rPr>
        <w:t xml:space="preserve"> Európskeho parlamentu a Rady 2003/87/ES z 13. októbra 2003 o vytvorení systému obchodovania s emisnými kvótami skleníkových plynov </w:t>
      </w:r>
      <w:r w:rsidR="001A6D05">
        <w:rPr>
          <w:rFonts w:ascii="Times New Roman" w:hAnsi="Times New Roman"/>
        </w:rPr>
        <w:t xml:space="preserve">                  </w:t>
      </w:r>
      <w:r w:rsidRPr="00A10B51">
        <w:rPr>
          <w:rFonts w:ascii="Times New Roman" w:hAnsi="Times New Roman"/>
        </w:rPr>
        <w:t>v spoločenstve</w:t>
      </w:r>
      <w:r>
        <w:rPr>
          <w:rFonts w:ascii="Times New Roman" w:hAnsi="Times New Roman"/>
        </w:rPr>
        <w:t xml:space="preserve"> v platnom znení implementuje niektoré opatrenia súvisiace s:</w:t>
      </w:r>
    </w:p>
    <w:p w:rsidR="003F6A90" w:rsidP="003F6A90">
      <w:pPr>
        <w:pStyle w:val="BodyText"/>
        <w:numPr>
          <w:numId w:val="2"/>
        </w:numPr>
        <w:bidi w:val="0"/>
        <w:rPr>
          <w:rFonts w:ascii="Times New Roman" w:hAnsi="Times New Roman"/>
        </w:rPr>
      </w:pPr>
      <w:r>
        <w:rPr>
          <w:rFonts w:ascii="Times New Roman" w:hAnsi="Times New Roman"/>
        </w:rPr>
        <w:t>monitorovaním a nahlasovaním emisií skleníkových plynov (</w:t>
      </w:r>
      <w:r w:rsidRPr="00576888">
        <w:rPr>
          <w:rFonts w:ascii="Times New Roman" w:hAnsi="Times New Roman"/>
          <w:i/>
        </w:rPr>
        <w:t>Nariadenie Komisie (EÚ) 2012/601</w:t>
      </w:r>
      <w:r>
        <w:rPr>
          <w:rFonts w:ascii="Times New Roman" w:hAnsi="Times New Roman"/>
        </w:rPr>
        <w:t xml:space="preserve">); </w:t>
      </w:r>
    </w:p>
    <w:p w:rsidR="003F6A90" w:rsidP="003F6A90">
      <w:pPr>
        <w:pStyle w:val="BodyText"/>
        <w:numPr>
          <w:numId w:val="2"/>
        </w:numPr>
        <w:bidi w:val="0"/>
        <w:rPr>
          <w:rFonts w:ascii="Times New Roman" w:hAnsi="Times New Roman"/>
        </w:rPr>
      </w:pPr>
      <w:r>
        <w:rPr>
          <w:rFonts w:ascii="Times New Roman" w:hAnsi="Times New Roman"/>
        </w:rPr>
        <w:t>overovaním správ o emisiách, správ o tonokilometroch a akreditácií overovateľov (</w:t>
      </w:r>
      <w:r w:rsidRPr="00576888">
        <w:rPr>
          <w:rFonts w:ascii="Times New Roman" w:hAnsi="Times New Roman"/>
          <w:i/>
        </w:rPr>
        <w:t>Nariadenie (EÚ) 2012/600</w:t>
      </w:r>
      <w:r>
        <w:rPr>
          <w:rFonts w:ascii="Times New Roman" w:hAnsi="Times New Roman"/>
        </w:rPr>
        <w:t xml:space="preserve">); </w:t>
      </w:r>
    </w:p>
    <w:p w:rsidR="003F6A90" w:rsidP="003F6A90">
      <w:pPr>
        <w:pStyle w:val="BodyText"/>
        <w:numPr>
          <w:numId w:val="2"/>
        </w:numPr>
        <w:bidi w:val="0"/>
        <w:rPr>
          <w:rFonts w:ascii="Times New Roman" w:hAnsi="Times New Roman"/>
        </w:rPr>
      </w:pPr>
      <w:r>
        <w:rPr>
          <w:rFonts w:ascii="Times New Roman" w:hAnsi="Times New Roman"/>
        </w:rPr>
        <w:t>zriadením registra Únie na obdobie obchodovania začínajúce 1. januára 2013 a na nasledujúce obdobia obchodovania v rámci systému Únie na obchodovanie s emisnými kvótami (</w:t>
      </w:r>
      <w:r w:rsidRPr="00576888">
        <w:rPr>
          <w:rFonts w:ascii="Times New Roman" w:hAnsi="Times New Roman"/>
          <w:i/>
        </w:rPr>
        <w:t>Nariadenie Komisie (EÚ) 1193/2011</w:t>
      </w:r>
      <w:r>
        <w:rPr>
          <w:rFonts w:ascii="Times New Roman" w:hAnsi="Times New Roman"/>
        </w:rPr>
        <w:t xml:space="preserve">); </w:t>
      </w:r>
    </w:p>
    <w:p w:rsidR="003F6A90" w:rsidP="003F6A90">
      <w:pPr>
        <w:pStyle w:val="BodyText"/>
        <w:numPr>
          <w:numId w:val="2"/>
        </w:numPr>
        <w:bidi w:val="0"/>
        <w:rPr>
          <w:rFonts w:ascii="Times New Roman" w:hAnsi="Times New Roman"/>
        </w:rPr>
      </w:pPr>
      <w:r>
        <w:rPr>
          <w:rFonts w:ascii="Times New Roman" w:hAnsi="Times New Roman"/>
        </w:rPr>
        <w:t>ustanovením prechodných pravidiel harmonizácie bezodplatného prideľovania emisných kvót podľa článku 10a smernice Európskeho parlamentu a Rady 2003/87/ES (</w:t>
      </w:r>
      <w:r w:rsidRPr="00576888">
        <w:rPr>
          <w:rFonts w:ascii="Times New Roman" w:hAnsi="Times New Roman"/>
          <w:i/>
        </w:rPr>
        <w:t>Rozhodnutie Komisie 2011/278/EÚ</w:t>
      </w:r>
      <w:r>
        <w:rPr>
          <w:rFonts w:ascii="Times New Roman" w:hAnsi="Times New Roman"/>
        </w:rPr>
        <w:t xml:space="preserve">); </w:t>
      </w:r>
    </w:p>
    <w:p w:rsidR="003F6A90" w:rsidP="003F6A90">
      <w:pPr>
        <w:pStyle w:val="BodyText"/>
        <w:numPr>
          <w:numId w:val="2"/>
        </w:numPr>
        <w:bidi w:val="0"/>
        <w:rPr>
          <w:rFonts w:ascii="Times New Roman" w:hAnsi="Times New Roman"/>
        </w:rPr>
      </w:pPr>
      <w:r>
        <w:rPr>
          <w:rFonts w:ascii="Times New Roman" w:hAnsi="Times New Roman"/>
        </w:rPr>
        <w:t>ustanovením určitých obmedzení vzťahujúcich sa na využívanie medzinárodných kreditov z projektov priemyselných plynov (</w:t>
      </w:r>
      <w:r w:rsidRPr="00576888">
        <w:rPr>
          <w:rFonts w:ascii="Times New Roman" w:hAnsi="Times New Roman"/>
          <w:i/>
        </w:rPr>
        <w:t>Nariadenie Komisie (EÚ) 550/2011</w:t>
      </w:r>
      <w:r>
        <w:rPr>
          <w:rFonts w:ascii="Times New Roman" w:hAnsi="Times New Roman"/>
        </w:rPr>
        <w:t>); o referenčných hodnotách na bezplatné pridelenie emisných kvót skleníkových plynov prevádzkovateľom lietadiel podľa článku 3e smernice Európskeho parlamentu a Rady 2003/87/ES (</w:t>
      </w:r>
      <w:r w:rsidRPr="00576888">
        <w:rPr>
          <w:rFonts w:ascii="Times New Roman" w:hAnsi="Times New Roman"/>
          <w:i/>
        </w:rPr>
        <w:t>Rozhodnutie Komisie 2011/638/EÚ</w:t>
      </w:r>
      <w:r>
        <w:rPr>
          <w:rFonts w:ascii="Times New Roman" w:hAnsi="Times New Roman"/>
        </w:rPr>
        <w:t xml:space="preserve">); </w:t>
      </w:r>
    </w:p>
    <w:p w:rsidR="003F6A90" w:rsidP="003F6A90">
      <w:pPr>
        <w:pStyle w:val="BodyText"/>
        <w:numPr>
          <w:numId w:val="2"/>
        </w:numPr>
        <w:bidi w:val="0"/>
        <w:rPr>
          <w:rFonts w:ascii="Times New Roman" w:hAnsi="Times New Roman"/>
        </w:rPr>
      </w:pPr>
      <w:r>
        <w:rPr>
          <w:rFonts w:ascii="Times New Roman" w:hAnsi="Times New Roman"/>
        </w:rPr>
        <w:t>ustanovením harmonogramu, správy a iných aspektov obchodovania s emisnými kvótami skleníkových plynov formou aukcie podľa smernice Európskeho parlamentu a Rady 2003/87/ES (</w:t>
      </w:r>
      <w:r w:rsidRPr="00BB29E3">
        <w:rPr>
          <w:rFonts w:ascii="Times New Roman" w:hAnsi="Times New Roman"/>
          <w:i/>
        </w:rPr>
        <w:t>Nariadenie Komisie (EÚ) 1031/2010</w:t>
      </w:r>
      <w:r>
        <w:rPr>
          <w:rFonts w:ascii="Times New Roman" w:hAnsi="Times New Roman"/>
        </w:rPr>
        <w:t xml:space="preserve">). </w:t>
      </w:r>
    </w:p>
    <w:p w:rsidR="003C5431" w:rsidP="00576888">
      <w:pPr>
        <w:pStyle w:val="BodyText"/>
        <w:bidi w:val="0"/>
        <w:rPr>
          <w:rFonts w:ascii="Times New Roman" w:hAnsi="Times New Roman"/>
        </w:rPr>
      </w:pPr>
    </w:p>
    <w:p w:rsidR="001A6D05" w:rsidP="00576888">
      <w:pPr>
        <w:pStyle w:val="BodyText"/>
        <w:bidi w:val="0"/>
        <w:rPr>
          <w:rFonts w:ascii="Times New Roman" w:hAnsi="Times New Roman"/>
        </w:rPr>
      </w:pPr>
    </w:p>
    <w:p w:rsidR="001A6D05" w:rsidP="00576888">
      <w:pPr>
        <w:pStyle w:val="BodyText"/>
        <w:bidi w:val="0"/>
        <w:rPr>
          <w:rFonts w:ascii="Times New Roman" w:hAnsi="Times New Roman"/>
        </w:rPr>
      </w:pPr>
    </w:p>
    <w:p w:rsidR="00342DE8" w:rsidP="00A744C0">
      <w:pPr>
        <w:pStyle w:val="BodyText"/>
        <w:bidi w:val="0"/>
        <w:ind w:firstLine="708"/>
        <w:rPr>
          <w:rFonts w:ascii="Times New Roman" w:hAnsi="Times New Roman"/>
        </w:rPr>
      </w:pPr>
      <w:r w:rsidRPr="00E833B8" w:rsidR="00E833B8">
        <w:rPr>
          <w:rFonts w:ascii="Times New Roman" w:hAnsi="Times New Roman"/>
        </w:rPr>
        <w:t xml:space="preserve">Medzi hlavné zmeny, ktorými </w:t>
      </w:r>
      <w:r w:rsidR="003C5431">
        <w:rPr>
          <w:rFonts w:ascii="Times New Roman" w:hAnsi="Times New Roman"/>
        </w:rPr>
        <w:t xml:space="preserve">sa </w:t>
      </w:r>
      <w:r w:rsidRPr="00E833B8" w:rsidR="00E833B8">
        <w:rPr>
          <w:rFonts w:ascii="Times New Roman" w:hAnsi="Times New Roman"/>
        </w:rPr>
        <w:t>návrh zákona</w:t>
      </w:r>
      <w:r w:rsidR="003C5431">
        <w:rPr>
          <w:rFonts w:ascii="Times New Roman" w:hAnsi="Times New Roman"/>
        </w:rPr>
        <w:t xml:space="preserve"> odlišuje od existujúcej právnej úpravy patrí</w:t>
      </w:r>
    </w:p>
    <w:p w:rsidR="00342DE8" w:rsidP="00342DE8">
      <w:pPr>
        <w:pStyle w:val="BodyText"/>
        <w:numPr>
          <w:numId w:val="1"/>
        </w:numPr>
        <w:bidi w:val="0"/>
        <w:rPr>
          <w:rFonts w:ascii="Times New Roman" w:hAnsi="Times New Roman"/>
        </w:rPr>
      </w:pPr>
      <w:r>
        <w:rPr>
          <w:rFonts w:ascii="Times New Roman" w:hAnsi="Times New Roman"/>
        </w:rPr>
        <w:t>formálne oddelenie schémy obchodovania (skleníkové plyny) od systému obchodovania (znečisťujúce látky);</w:t>
      </w:r>
    </w:p>
    <w:p w:rsidR="00342DE8" w:rsidP="00342DE8">
      <w:pPr>
        <w:pStyle w:val="BodyText"/>
        <w:numPr>
          <w:numId w:val="1"/>
        </w:numPr>
        <w:bidi w:val="0"/>
        <w:rPr>
          <w:rFonts w:ascii="Times New Roman" w:hAnsi="Times New Roman"/>
        </w:rPr>
      </w:pPr>
      <w:r>
        <w:rPr>
          <w:rFonts w:ascii="Times New Roman" w:hAnsi="Times New Roman"/>
        </w:rPr>
        <w:t>spôsob, akým sa stanovia celkové konečné ročné množstvá bezodplatne pridelených kvót na každý rok počas obchodovateľného obdobia;</w:t>
      </w:r>
    </w:p>
    <w:p w:rsidR="00342DE8" w:rsidP="00342DE8">
      <w:pPr>
        <w:pStyle w:val="BodyText"/>
        <w:numPr>
          <w:numId w:val="1"/>
        </w:numPr>
        <w:bidi w:val="0"/>
        <w:rPr>
          <w:rFonts w:ascii="Times New Roman" w:hAnsi="Times New Roman"/>
        </w:rPr>
      </w:pPr>
      <w:r>
        <w:rPr>
          <w:rFonts w:ascii="Times New Roman" w:hAnsi="Times New Roman"/>
        </w:rPr>
        <w:t>zohľadnenie zmien charakteru, činnosti a každej významnej zmeny kapacity prevádzky, ktorá môže byť dôvodom na zmenu povolenia alebo na vyradenie zo schémy obchodovania alebo zo systému obchodovania</w:t>
      </w:r>
      <w:r w:rsidR="00A744C0">
        <w:rPr>
          <w:rFonts w:ascii="Times New Roman" w:hAnsi="Times New Roman"/>
        </w:rPr>
        <w:t>;</w:t>
      </w:r>
    </w:p>
    <w:p w:rsidR="00A744C0" w:rsidP="00342DE8">
      <w:pPr>
        <w:pStyle w:val="BodyText"/>
        <w:numPr>
          <w:numId w:val="1"/>
        </w:numPr>
        <w:bidi w:val="0"/>
        <w:rPr>
          <w:rFonts w:ascii="Times New Roman" w:hAnsi="Times New Roman"/>
        </w:rPr>
      </w:pPr>
      <w:r>
        <w:rPr>
          <w:rFonts w:ascii="Times New Roman" w:hAnsi="Times New Roman"/>
        </w:rPr>
        <w:t>úprava množstva bezodplatne pridelených kvót v prípade významnej zmeny kapacity prevádzky, zníženia úrovne činnosti prevádzky, zníženia a nasledujúceho zvýšenia úrovne činnosti prevádzky a ukončenia činnosti prevádzky;</w:t>
      </w:r>
    </w:p>
    <w:p w:rsidR="00A744C0" w:rsidP="00342DE8">
      <w:pPr>
        <w:pStyle w:val="BodyText"/>
        <w:numPr>
          <w:numId w:val="1"/>
        </w:numPr>
        <w:bidi w:val="0"/>
        <w:rPr>
          <w:rFonts w:ascii="Times New Roman" w:hAnsi="Times New Roman"/>
        </w:rPr>
      </w:pPr>
      <w:r>
        <w:rPr>
          <w:rFonts w:ascii="Times New Roman" w:hAnsi="Times New Roman"/>
        </w:rPr>
        <w:t>pravidlá pre pridelenie bezodplatných kvót novým účastníkom schémy obchodovania;</w:t>
      </w:r>
    </w:p>
    <w:p w:rsidR="00A744C0" w:rsidP="00342DE8">
      <w:pPr>
        <w:pStyle w:val="BodyText"/>
        <w:numPr>
          <w:numId w:val="1"/>
        </w:numPr>
        <w:bidi w:val="0"/>
        <w:rPr>
          <w:rFonts w:ascii="Times New Roman" w:hAnsi="Times New Roman"/>
        </w:rPr>
      </w:pPr>
      <w:r>
        <w:rPr>
          <w:rFonts w:ascii="Times New Roman" w:hAnsi="Times New Roman"/>
        </w:rPr>
        <w:t>použitie jednotiek certifikovaného zníženia emisií (CER) a jednotiek zníženia emisií (ERU) z projektových aktivít v schéme obchodovania;</w:t>
      </w:r>
    </w:p>
    <w:p w:rsidR="00A744C0" w:rsidP="00342DE8">
      <w:pPr>
        <w:pStyle w:val="BodyText"/>
        <w:numPr>
          <w:numId w:val="1"/>
        </w:numPr>
        <w:bidi w:val="0"/>
        <w:rPr>
          <w:rFonts w:ascii="Times New Roman" w:hAnsi="Times New Roman"/>
        </w:rPr>
      </w:pPr>
      <w:r>
        <w:rPr>
          <w:rFonts w:ascii="Times New Roman" w:hAnsi="Times New Roman"/>
        </w:rPr>
        <w:t xml:space="preserve">spôsob zisťovania a vykazovania údajov o tonokilometroch a zisťovania a vykazovania údajov e emisiách skleníkových plynov v súlade s monitorovacími plánmi prevádzkovateľa lietadla; </w:t>
      </w:r>
      <w:r w:rsidR="001B1FE6">
        <w:rPr>
          <w:rFonts w:ascii="Times New Roman" w:hAnsi="Times New Roman"/>
        </w:rPr>
        <w:t xml:space="preserve">  </w:t>
      </w:r>
    </w:p>
    <w:p w:rsidR="001B1FE6" w:rsidP="00342DE8">
      <w:pPr>
        <w:pStyle w:val="BodyText"/>
        <w:numPr>
          <w:numId w:val="1"/>
        </w:numPr>
        <w:bidi w:val="0"/>
        <w:rPr>
          <w:rFonts w:ascii="Times New Roman" w:hAnsi="Times New Roman"/>
        </w:rPr>
      </w:pPr>
      <w:r>
        <w:rPr>
          <w:rFonts w:ascii="Times New Roman" w:hAnsi="Times New Roman"/>
        </w:rPr>
        <w:t>právna úprava pre vnútr</w:t>
      </w:r>
      <w:r w:rsidR="009E4378">
        <w:rPr>
          <w:rFonts w:ascii="Times New Roman" w:hAnsi="Times New Roman"/>
        </w:rPr>
        <w:t>oštátneho správcu emisných kvót;</w:t>
      </w:r>
      <w:r>
        <w:rPr>
          <w:rFonts w:ascii="Times New Roman" w:hAnsi="Times New Roman"/>
        </w:rPr>
        <w:t xml:space="preserve"> </w:t>
      </w:r>
    </w:p>
    <w:p w:rsidR="001B1FE6" w:rsidP="00342DE8">
      <w:pPr>
        <w:pStyle w:val="BodyText"/>
        <w:numPr>
          <w:numId w:val="1"/>
        </w:numPr>
        <w:bidi w:val="0"/>
        <w:rPr>
          <w:rFonts w:ascii="Times New Roman" w:hAnsi="Times New Roman"/>
        </w:rPr>
      </w:pPr>
      <w:r w:rsidR="00DE0EEA">
        <w:rPr>
          <w:rFonts w:ascii="Times New Roman" w:hAnsi="Times New Roman"/>
        </w:rPr>
        <w:t>dražba emisných kvót a použitie</w:t>
      </w:r>
      <w:r w:rsidR="009E4378">
        <w:rPr>
          <w:rFonts w:ascii="Times New Roman" w:hAnsi="Times New Roman"/>
        </w:rPr>
        <w:t xml:space="preserve"> príjmov z dražby emisných kvót;</w:t>
      </w:r>
    </w:p>
    <w:p w:rsidR="00DE0EEA" w:rsidP="00342DE8">
      <w:pPr>
        <w:pStyle w:val="BodyText"/>
        <w:numPr>
          <w:numId w:val="1"/>
        </w:numPr>
        <w:bidi w:val="0"/>
        <w:rPr>
          <w:rFonts w:ascii="Times New Roman" w:hAnsi="Times New Roman"/>
        </w:rPr>
      </w:pPr>
      <w:r>
        <w:rPr>
          <w:rFonts w:ascii="Times New Roman" w:hAnsi="Times New Roman"/>
        </w:rPr>
        <w:t>akred</w:t>
      </w:r>
      <w:r w:rsidR="009E4378">
        <w:rPr>
          <w:rFonts w:ascii="Times New Roman" w:hAnsi="Times New Roman"/>
        </w:rPr>
        <w:t>itácia oprávnených overovateľov;</w:t>
      </w:r>
    </w:p>
    <w:p w:rsidR="00DE0EEA" w:rsidP="00342DE8">
      <w:pPr>
        <w:pStyle w:val="BodyText"/>
        <w:numPr>
          <w:numId w:val="1"/>
        </w:numPr>
        <w:bidi w:val="0"/>
        <w:rPr>
          <w:rFonts w:ascii="Times New Roman" w:hAnsi="Times New Roman"/>
        </w:rPr>
      </w:pPr>
      <w:r>
        <w:rPr>
          <w:rFonts w:ascii="Times New Roman" w:hAnsi="Times New Roman"/>
        </w:rPr>
        <w:t>právna úprava pre prípad porušenia na trhu dražených produktov;</w:t>
      </w:r>
    </w:p>
    <w:p w:rsidR="00DE0EEA" w:rsidP="00342DE8">
      <w:pPr>
        <w:pStyle w:val="BodyText"/>
        <w:numPr>
          <w:numId w:val="1"/>
        </w:numPr>
        <w:bidi w:val="0"/>
        <w:rPr>
          <w:rFonts w:ascii="Times New Roman" w:hAnsi="Times New Roman"/>
        </w:rPr>
      </w:pPr>
      <w:r>
        <w:rPr>
          <w:rFonts w:ascii="Times New Roman" w:hAnsi="Times New Roman"/>
        </w:rPr>
        <w:t>dohľad Národnej banky Slovenka;</w:t>
      </w:r>
    </w:p>
    <w:p w:rsidR="00DE0EEA" w:rsidP="00342DE8">
      <w:pPr>
        <w:pStyle w:val="BodyText"/>
        <w:numPr>
          <w:numId w:val="1"/>
        </w:numPr>
        <w:bidi w:val="0"/>
        <w:rPr>
          <w:rFonts w:ascii="Times New Roman" w:hAnsi="Times New Roman"/>
        </w:rPr>
      </w:pPr>
      <w:r>
        <w:rPr>
          <w:rFonts w:ascii="Times New Roman" w:hAnsi="Times New Roman"/>
        </w:rPr>
        <w:t xml:space="preserve">úprava kategórií činností uvedených v prílohách zákona. </w:t>
      </w:r>
    </w:p>
    <w:p w:rsidR="009969AB" w:rsidP="00F43FB7">
      <w:pPr>
        <w:pStyle w:val="BodyText"/>
        <w:bidi w:val="0"/>
        <w:ind w:firstLine="708"/>
        <w:rPr>
          <w:rFonts w:ascii="Times New Roman" w:hAnsi="Times New Roman"/>
        </w:rPr>
      </w:pPr>
    </w:p>
    <w:p w:rsidR="009969AB" w:rsidP="00F43FB7">
      <w:pPr>
        <w:pStyle w:val="BodyText"/>
        <w:bidi w:val="0"/>
        <w:ind w:firstLine="708"/>
        <w:rPr>
          <w:rFonts w:ascii="Times New Roman" w:hAnsi="Times New Roman"/>
        </w:rPr>
      </w:pPr>
      <w:r>
        <w:rPr>
          <w:rFonts w:ascii="Times New Roman" w:hAnsi="Times New Roman"/>
        </w:rPr>
        <w:t xml:space="preserve">Ďalším z hlavných dôvodov návrhu zákona je zosúladenie právneho stavu </w:t>
      </w:r>
      <w:r w:rsidR="00DC33C0">
        <w:rPr>
          <w:rFonts w:ascii="Times New Roman" w:hAnsi="Times New Roman"/>
        </w:rPr>
        <w:t xml:space="preserve">s potrebami praxe. </w:t>
      </w:r>
    </w:p>
    <w:p w:rsidR="00AF0330" w:rsidP="00F43FB7">
      <w:pPr>
        <w:pStyle w:val="BodyText"/>
        <w:bidi w:val="0"/>
        <w:ind w:firstLine="708"/>
        <w:rPr>
          <w:rFonts w:ascii="Times New Roman" w:hAnsi="Times New Roman"/>
        </w:rPr>
      </w:pPr>
    </w:p>
    <w:p w:rsidR="00AF0330" w:rsidP="00F43FB7">
      <w:pPr>
        <w:pStyle w:val="BodyText"/>
        <w:bidi w:val="0"/>
        <w:ind w:firstLine="708"/>
        <w:rPr>
          <w:rFonts w:ascii="Times New Roman" w:hAnsi="Times New Roman"/>
        </w:rPr>
      </w:pPr>
      <w:r>
        <w:rPr>
          <w:rFonts w:ascii="Times New Roman" w:hAnsi="Times New Roman"/>
        </w:rPr>
        <w:t xml:space="preserve">Účelom návrhu zákona je zabezpečiť efektívne fungovanie schémy obchodovania v podmienkach </w:t>
      </w:r>
      <w:r w:rsidR="009969AB">
        <w:rPr>
          <w:rFonts w:ascii="Times New Roman" w:hAnsi="Times New Roman"/>
        </w:rPr>
        <w:t xml:space="preserve">Slovenskej republiky tak, aby z pohľadu životného prostredia boli v schéme obchodovania začlenení prevádzkovatelia, ktorí majú </w:t>
      </w:r>
      <w:r w:rsidR="00030EBA">
        <w:rPr>
          <w:rFonts w:ascii="Times New Roman" w:hAnsi="Times New Roman"/>
        </w:rPr>
        <w:t>významný</w:t>
      </w:r>
      <w:r w:rsidR="009969AB">
        <w:rPr>
          <w:rFonts w:ascii="Times New Roman" w:hAnsi="Times New Roman"/>
        </w:rPr>
        <w:t xml:space="preserve"> vplyv na celkové emisie skleníkových plynov v Slovenskej republike. </w:t>
      </w:r>
    </w:p>
    <w:p w:rsidR="00F43FB7" w:rsidP="00F43FB7">
      <w:pPr>
        <w:pStyle w:val="BodyText"/>
        <w:bidi w:val="0"/>
        <w:rPr>
          <w:rFonts w:ascii="Times New Roman" w:hAnsi="Times New Roman"/>
        </w:rPr>
      </w:pPr>
      <w:r>
        <w:rPr>
          <w:rFonts w:ascii="Times New Roman" w:hAnsi="Times New Roman"/>
        </w:rPr>
        <w:t xml:space="preserve">           </w:t>
      </w:r>
    </w:p>
    <w:p w:rsidR="00F43FB7" w:rsidP="00F43FB7">
      <w:pPr>
        <w:pStyle w:val="BodyText"/>
        <w:bidi w:val="0"/>
        <w:ind w:firstLine="708"/>
        <w:rPr>
          <w:rFonts w:ascii="Times New Roman" w:hAnsi="Times New Roman"/>
        </w:rPr>
      </w:pPr>
      <w:r>
        <w:rPr>
          <w:rFonts w:ascii="Times New Roman" w:hAnsi="Times New Roman"/>
        </w:rPr>
        <w:t xml:space="preserve">Návrh predkladaného zákona je v súlade s Dohovorom Európskej hospodárskej komisie Organizácie Spojených národov z 25. júna 1998 o prístupe k informáciám, účasti verejnosti na rozhodovacom procese a prístupe k spravodlivosti v záležitostiach životného prostredia (tzv. Aarhuský dohovor).   </w:t>
      </w: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P="00F9065E">
      <w:pPr>
        <w:bidi w:val="0"/>
        <w:jc w:val="center"/>
        <w:rPr>
          <w:rFonts w:ascii="Times New Roman" w:hAnsi="Times New Roman"/>
          <w:b/>
          <w:bCs/>
          <w:caps/>
          <w:color w:val="000000"/>
          <w:spacing w:val="30"/>
        </w:rPr>
      </w:pPr>
    </w:p>
    <w:p w:rsidR="00F9065E" w:rsidRPr="00DC04BD" w:rsidP="00F9065E">
      <w:pPr>
        <w:bidi w:val="0"/>
        <w:jc w:val="center"/>
        <w:rPr>
          <w:rFonts w:ascii="Times New Roman" w:hAnsi="Times New Roman"/>
          <w:b/>
          <w:bCs/>
          <w:caps/>
          <w:color w:val="000000"/>
          <w:spacing w:val="30"/>
        </w:rPr>
      </w:pPr>
      <w:r w:rsidRPr="00DC04BD">
        <w:rPr>
          <w:rFonts w:ascii="Times New Roman" w:hAnsi="Times New Roman"/>
          <w:b/>
          <w:bCs/>
          <w:caps/>
          <w:color w:val="000000"/>
          <w:spacing w:val="30"/>
        </w:rPr>
        <w:t>Doložka</w:t>
      </w:r>
    </w:p>
    <w:p w:rsidR="00F9065E" w:rsidRPr="00DC04BD" w:rsidP="00F9065E">
      <w:pPr>
        <w:bidi w:val="0"/>
        <w:jc w:val="center"/>
        <w:rPr>
          <w:rFonts w:ascii="Times New Roman" w:hAnsi="Times New Roman"/>
          <w:b/>
          <w:bCs/>
          <w:color w:val="000000"/>
        </w:rPr>
      </w:pPr>
      <w:r w:rsidRPr="00DC04BD">
        <w:rPr>
          <w:rFonts w:ascii="Times New Roman" w:hAnsi="Times New Roman"/>
          <w:b/>
          <w:bCs/>
          <w:color w:val="000000"/>
        </w:rPr>
        <w:t>vybraných vplyvov</w:t>
      </w:r>
    </w:p>
    <w:p w:rsidR="00F9065E" w:rsidRPr="00DC04BD" w:rsidP="00F9065E">
      <w:pPr>
        <w:bidi w:val="0"/>
        <w:rPr>
          <w:rFonts w:ascii="Times New Roman" w:hAnsi="Times New Roman"/>
          <w:color w:val="000000"/>
        </w:rPr>
      </w:pPr>
    </w:p>
    <w:p w:rsidR="00F9065E" w:rsidRPr="00DC04BD" w:rsidP="00F9065E">
      <w:pPr>
        <w:bidi w:val="0"/>
        <w:rPr>
          <w:rFonts w:ascii="Times New Roman" w:hAnsi="Times New Roman"/>
          <w:color w:val="000000"/>
        </w:rPr>
      </w:pP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 xml:space="preserve">A.1. Názov materiálu: </w:t>
      </w:r>
      <w:r w:rsidRPr="00DC04BD">
        <w:rPr>
          <w:rFonts w:ascii="Times New Roman" w:hAnsi="Times New Roman"/>
          <w:bCs/>
          <w:color w:val="000000"/>
        </w:rPr>
        <w:t xml:space="preserve">Návrh zákona, ktorým sa mení a dopĺňa zákon č. 572/2004 Z. z. </w:t>
      </w:r>
      <w:r>
        <w:rPr>
          <w:rFonts w:ascii="Times New Roman" w:hAnsi="Times New Roman"/>
          <w:bCs/>
          <w:color w:val="000000"/>
        </w:rPr>
        <w:t xml:space="preserve">                        </w:t>
      </w:r>
      <w:r w:rsidRPr="00DC04BD">
        <w:rPr>
          <w:rFonts w:ascii="Times New Roman" w:hAnsi="Times New Roman"/>
          <w:bCs/>
          <w:color w:val="000000"/>
        </w:rPr>
        <w:t>o obchodovaní s emisnými kvótami a o zmene a doplnení niektorých zákonov v znení neskorších predpisov a ktorým sa menia a dopĺňajú niektoré zákony</w:t>
      </w: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 xml:space="preserve">        </w:t>
      </w: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Termín začatia a ukončenia PPK: skrátené pripomienkové konanie</w:t>
      </w:r>
      <w:r w:rsidRPr="00DC04BD">
        <w:rPr>
          <w:rFonts w:ascii="Times New Roman" w:hAnsi="Times New Roman"/>
          <w:color w:val="000000"/>
        </w:rPr>
        <w:t xml:space="preserve"> </w:t>
      </w:r>
      <w:r w:rsidRPr="00DC04BD">
        <w:rPr>
          <w:rFonts w:ascii="Times New Roman" w:hAnsi="Times New Roman"/>
          <w:b/>
          <w:color w:val="000000"/>
        </w:rPr>
        <w:t>4/6/2012 – 8/6/2012</w:t>
      </w:r>
    </w:p>
    <w:p w:rsidR="00F9065E" w:rsidRPr="00DC04BD" w:rsidP="00F9065E">
      <w:pPr>
        <w:bidi w:val="0"/>
        <w:jc w:val="both"/>
        <w:rPr>
          <w:rFonts w:ascii="Times New Roman" w:hAnsi="Times New Roman"/>
          <w:b/>
          <w:bCs/>
          <w:color w:val="000000"/>
        </w:rPr>
      </w:pP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9065E" w:rsidRPr="00DC04BD" w:rsidP="00DA0D89">
            <w:pPr>
              <w:widowControl/>
              <w:bidi w:val="0"/>
              <w:jc w:val="center"/>
              <w:rPr>
                <w:rFonts w:ascii="Times New Roman" w:hAnsi="Times New Roman"/>
                <w:color w:val="000000"/>
              </w:rPr>
            </w:pPr>
          </w:p>
        </w:tc>
      </w:tr>
    </w:tbl>
    <w:p w:rsidR="00F9065E" w:rsidRPr="00DC04BD" w:rsidP="00F9065E">
      <w:pPr>
        <w:pStyle w:val="NormalWeb"/>
        <w:bidi w:val="0"/>
        <w:spacing w:before="0" w:beforeAutospacing="0" w:after="0" w:afterAutospacing="0"/>
        <w:jc w:val="both"/>
        <w:rPr>
          <w:rFonts w:ascii="Times New Roman" w:hAnsi="Times New Roman"/>
        </w:rPr>
      </w:pPr>
    </w:p>
    <w:p w:rsidR="00F9065E" w:rsidRPr="00DC04BD" w:rsidP="00F9065E">
      <w:pPr>
        <w:bidi w:val="0"/>
        <w:jc w:val="both"/>
        <w:rPr>
          <w:rFonts w:ascii="Times New Roman" w:hAnsi="Times New Roman"/>
          <w:b/>
          <w:bCs/>
          <w:color w:val="000000"/>
        </w:rPr>
      </w:pP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A.3. Poznámky</w:t>
      </w:r>
    </w:p>
    <w:p w:rsidR="00F9065E" w:rsidRPr="00DC04BD" w:rsidP="00F9065E">
      <w:pPr>
        <w:bidi w:val="0"/>
        <w:jc w:val="both"/>
        <w:rPr>
          <w:rFonts w:ascii="Times New Roman" w:hAnsi="Times New Roman"/>
          <w:b/>
          <w:bCs/>
          <w:color w:val="000000"/>
        </w:rPr>
      </w:pPr>
    </w:p>
    <w:p w:rsidR="00F9065E" w:rsidRPr="00DC04BD" w:rsidP="00F9065E">
      <w:pPr>
        <w:widowControl/>
        <w:bidi w:val="0"/>
        <w:jc w:val="both"/>
        <w:rPr>
          <w:rFonts w:ascii="Times New Roman" w:hAnsi="Times New Roman"/>
          <w:color w:val="000000"/>
        </w:rPr>
      </w:pPr>
      <w:r w:rsidRPr="00DC04BD">
        <w:rPr>
          <w:rFonts w:ascii="Times New Roman" w:hAnsi="Times New Roman"/>
          <w:b/>
          <w:color w:val="000000"/>
        </w:rPr>
        <w:t>Vplyvy na rozpočet verejnej správy</w:t>
      </w:r>
    </w:p>
    <w:p w:rsidR="00F9065E" w:rsidRPr="00DC04BD" w:rsidP="00F9065E">
      <w:pPr>
        <w:widowControl/>
        <w:bidi w:val="0"/>
        <w:rPr>
          <w:rFonts w:ascii="Times New Roman" w:hAnsi="Times New Roman"/>
          <w:color w:val="000000"/>
        </w:rPr>
      </w:pPr>
    </w:p>
    <w:p w:rsidR="00F9065E" w:rsidRPr="00DC04BD" w:rsidP="00F9065E">
      <w:pPr>
        <w:widowControl/>
        <w:bidi w:val="0"/>
        <w:rPr>
          <w:rFonts w:ascii="Times New Roman" w:hAnsi="Times New Roman"/>
          <w:color w:val="000000"/>
        </w:rPr>
      </w:pPr>
      <w:r w:rsidRPr="00DC04BD">
        <w:rPr>
          <w:rFonts w:ascii="Times New Roman" w:hAnsi="Times New Roman"/>
          <w:color w:val="000000"/>
        </w:rPr>
        <w:t xml:space="preserve">Návrh zákona </w:t>
      </w:r>
      <w:r>
        <w:rPr>
          <w:rFonts w:ascii="Times New Roman" w:hAnsi="Times New Roman"/>
          <w:color w:val="000000"/>
        </w:rPr>
        <w:t>nezakladá nároky</w:t>
      </w:r>
      <w:r w:rsidRPr="00DC04BD">
        <w:rPr>
          <w:rFonts w:ascii="Times New Roman" w:hAnsi="Times New Roman"/>
          <w:color w:val="000000"/>
        </w:rPr>
        <w:t xml:space="preserve"> na verejné financie. </w:t>
      </w:r>
    </w:p>
    <w:p w:rsidR="00F9065E" w:rsidRPr="00DC04BD" w:rsidP="00F9065E">
      <w:pPr>
        <w:widowControl/>
        <w:bidi w:val="0"/>
        <w:rPr>
          <w:rFonts w:ascii="Times New Roman" w:hAnsi="Times New Roman"/>
          <w:color w:val="000000"/>
        </w:rPr>
      </w:pPr>
    </w:p>
    <w:p w:rsidR="00F9065E" w:rsidRPr="00DC04BD" w:rsidP="00F9065E">
      <w:pPr>
        <w:widowControl/>
        <w:bidi w:val="0"/>
        <w:rPr>
          <w:rFonts w:ascii="Times New Roman" w:hAnsi="Times New Roman"/>
          <w:color w:val="000000"/>
        </w:rPr>
      </w:pPr>
      <w:r w:rsidRPr="00DC04BD">
        <w:rPr>
          <w:rFonts w:ascii="Times New Roman" w:hAnsi="Times New Roman"/>
          <w:b/>
          <w:color w:val="000000"/>
        </w:rPr>
        <w:t xml:space="preserve">Vplyvy na obyvateľov, hospodárenie podnikateľskej sféry a iných právnických osôb </w:t>
      </w:r>
    </w:p>
    <w:p w:rsidR="00F9065E" w:rsidRPr="00DC04BD" w:rsidP="00F9065E">
      <w:pPr>
        <w:widowControl/>
        <w:bidi w:val="0"/>
        <w:rPr>
          <w:rFonts w:ascii="Times New Roman" w:hAnsi="Times New Roman"/>
          <w:color w:val="000000"/>
        </w:rPr>
      </w:pPr>
    </w:p>
    <w:p w:rsidR="00F9065E" w:rsidRPr="00DC04BD" w:rsidP="00F9065E">
      <w:pPr>
        <w:widowControl/>
        <w:bidi w:val="0"/>
        <w:jc w:val="both"/>
        <w:rPr>
          <w:rFonts w:ascii="Times New Roman" w:hAnsi="Times New Roman"/>
          <w:color w:val="000000"/>
        </w:rPr>
      </w:pPr>
      <w:r w:rsidRPr="00DC04BD">
        <w:rPr>
          <w:rFonts w:ascii="Times New Roman" w:hAnsi="Times New Roman"/>
          <w:color w:val="000000"/>
        </w:rPr>
        <w:t xml:space="preserve">Je možné predpokladať, že navrhované zmeny predkladaného zákona ovplyvnia prevádzkovateľov v schéme obchodovania, ktorí majú významný vplyv na celkové emisie skleníkových plynov v Slovenskej republike: </w:t>
      </w:r>
    </w:p>
    <w:p w:rsidR="00F9065E" w:rsidRPr="00DC04BD" w:rsidP="00F9065E">
      <w:pPr>
        <w:widowControl/>
        <w:numPr>
          <w:numId w:val="3"/>
        </w:numPr>
        <w:bidi w:val="0"/>
        <w:spacing w:line="276" w:lineRule="auto"/>
        <w:jc w:val="both"/>
        <w:rPr>
          <w:rFonts w:ascii="Times New Roman" w:hAnsi="Times New Roman"/>
          <w:color w:val="000000"/>
        </w:rPr>
      </w:pPr>
      <w:r w:rsidRPr="00DC04BD">
        <w:rPr>
          <w:rFonts w:ascii="Times New Roman" w:hAnsi="Times New Roman"/>
          <w:color w:val="000000"/>
        </w:rPr>
        <w:t xml:space="preserve">zohľadnenie zmien charakteru, fungovania a každej významnej zmeny kapacity prevádzky v povolení na vypúšťanie skleníkových plynov do ovzdušia; </w:t>
      </w:r>
    </w:p>
    <w:p w:rsidR="00F9065E" w:rsidRPr="00DC04BD" w:rsidP="00F9065E">
      <w:pPr>
        <w:widowControl/>
        <w:numPr>
          <w:numId w:val="3"/>
        </w:numPr>
        <w:bidi w:val="0"/>
        <w:spacing w:line="276" w:lineRule="auto"/>
        <w:jc w:val="both"/>
        <w:rPr>
          <w:rFonts w:ascii="Times New Roman" w:hAnsi="Times New Roman"/>
          <w:color w:val="000000"/>
        </w:rPr>
      </w:pPr>
      <w:r w:rsidRPr="00DC04BD">
        <w:rPr>
          <w:rFonts w:ascii="Times New Roman" w:hAnsi="Times New Roman"/>
          <w:color w:val="000000"/>
        </w:rPr>
        <w:t>úprava množstva bezodplatne pridelených kvót v  prípade významnej zmeny kapacity prevádzky, zníženia úrovne činnosti prevádzky;</w:t>
      </w:r>
    </w:p>
    <w:p w:rsidR="00F9065E" w:rsidRPr="00DC04BD" w:rsidP="00F9065E">
      <w:pPr>
        <w:widowControl/>
        <w:bidi w:val="0"/>
        <w:jc w:val="both"/>
        <w:rPr>
          <w:rFonts w:ascii="Times New Roman" w:hAnsi="Times New Roman"/>
          <w:color w:val="000000"/>
        </w:rPr>
      </w:pPr>
    </w:p>
    <w:p w:rsidR="00F9065E" w:rsidRPr="00DC04BD" w:rsidP="00F9065E">
      <w:pPr>
        <w:widowControl/>
        <w:numPr>
          <w:numId w:val="3"/>
        </w:numPr>
        <w:bidi w:val="0"/>
        <w:spacing w:line="276" w:lineRule="auto"/>
        <w:jc w:val="both"/>
        <w:rPr>
          <w:rFonts w:ascii="Times New Roman" w:hAnsi="Times New Roman"/>
          <w:color w:val="000000"/>
        </w:rPr>
      </w:pPr>
      <w:r w:rsidRPr="00DC04BD">
        <w:rPr>
          <w:rFonts w:ascii="Times New Roman" w:hAnsi="Times New Roman"/>
          <w:color w:val="000000"/>
        </w:rPr>
        <w:t>nové informačné povi</w:t>
      </w:r>
      <w:r>
        <w:rPr>
          <w:rFonts w:ascii="Times New Roman" w:hAnsi="Times New Roman"/>
          <w:color w:val="000000"/>
        </w:rPr>
        <w:t>nnosti, ktoré vyplývajú z novelizačného</w:t>
      </w:r>
      <w:r w:rsidRPr="00DC04BD">
        <w:rPr>
          <w:rFonts w:ascii="Times New Roman" w:hAnsi="Times New Roman"/>
          <w:color w:val="000000"/>
        </w:rPr>
        <w:t xml:space="preserve"> bodu č. 52 (navrhované znenie § 13 ods. 5) pre prevádzkovateľov prevádzok, v ktorej sa vykonáva jedna činnosť alebo viac činností uvedených v prílohe č. 1 tabuľkách A a B. </w:t>
      </w:r>
    </w:p>
    <w:p w:rsidR="00F9065E" w:rsidRPr="00DC04BD" w:rsidP="00F9065E">
      <w:pPr>
        <w:widowControl/>
        <w:bidi w:val="0"/>
        <w:jc w:val="both"/>
        <w:rPr>
          <w:rFonts w:ascii="Times New Roman" w:hAnsi="Times New Roman"/>
          <w:color w:val="000000"/>
        </w:rPr>
      </w:pPr>
    </w:p>
    <w:p w:rsidR="00F9065E" w:rsidRPr="00DC04BD" w:rsidP="00F9065E">
      <w:pPr>
        <w:widowControl/>
        <w:bidi w:val="0"/>
        <w:jc w:val="both"/>
        <w:rPr>
          <w:rFonts w:ascii="Times New Roman" w:hAnsi="Times New Roman"/>
          <w:color w:val="000000"/>
        </w:rPr>
      </w:pPr>
      <w:r w:rsidRPr="00DC04BD">
        <w:rPr>
          <w:rFonts w:ascii="Times New Roman" w:hAnsi="Times New Roman"/>
          <w:color w:val="000000"/>
        </w:rPr>
        <w:t>Pozitívny vplyv je možné vidieť v skutočnosti, že prostriedky Environmentálneho fondu budú môcť byť použité i na podporu projektov zameraných na účely reálne dosiahnuteľných                          a merateľných úspor emisií skleníkových plynov a kompenzácie cien elektrickej energie pre ohrozené sektory (čl. II k novele zákona č. 587/2004 o Environmentálnom fonde).</w:t>
      </w:r>
    </w:p>
    <w:p w:rsidR="00F9065E" w:rsidRPr="00DC04BD" w:rsidP="00F9065E">
      <w:pPr>
        <w:keepNext/>
        <w:widowControl/>
        <w:bidi w:val="0"/>
        <w:outlineLvl w:val="1"/>
        <w:rPr>
          <w:rFonts w:ascii="Times New Roman" w:hAnsi="Times New Roman"/>
          <w:b/>
          <w:bCs/>
          <w:iCs/>
          <w:color w:val="000000"/>
        </w:rPr>
      </w:pPr>
    </w:p>
    <w:p w:rsidR="00F9065E" w:rsidRPr="00DC04BD" w:rsidP="00F9065E">
      <w:pPr>
        <w:keepNext/>
        <w:widowControl/>
        <w:bidi w:val="0"/>
        <w:outlineLvl w:val="1"/>
        <w:rPr>
          <w:rFonts w:ascii="Times New Roman" w:hAnsi="Times New Roman"/>
          <w:b/>
          <w:bCs/>
          <w:iCs/>
          <w:color w:val="000000"/>
        </w:rPr>
      </w:pPr>
      <w:r w:rsidRPr="00DC04BD">
        <w:rPr>
          <w:rFonts w:ascii="Times New Roman" w:hAnsi="Times New Roman"/>
          <w:b/>
          <w:bCs/>
          <w:iCs/>
          <w:color w:val="000000"/>
        </w:rPr>
        <w:t>Vplyvy na životné prostredie</w:t>
      </w:r>
    </w:p>
    <w:p w:rsidR="00F9065E" w:rsidRPr="00DC04BD" w:rsidP="00F9065E">
      <w:pPr>
        <w:keepNext/>
        <w:widowControl/>
        <w:bidi w:val="0"/>
        <w:outlineLvl w:val="1"/>
        <w:rPr>
          <w:rFonts w:ascii="Times New Roman" w:hAnsi="Times New Roman"/>
          <w:b/>
          <w:bCs/>
          <w:iCs/>
          <w:color w:val="000000"/>
        </w:rPr>
      </w:pPr>
    </w:p>
    <w:p w:rsidR="00F9065E" w:rsidRPr="00DC04BD" w:rsidP="00F9065E">
      <w:pPr>
        <w:keepNext/>
        <w:widowControl/>
        <w:bidi w:val="0"/>
        <w:jc w:val="both"/>
        <w:outlineLvl w:val="0"/>
        <w:rPr>
          <w:rFonts w:ascii="Times New Roman" w:hAnsi="Times New Roman"/>
          <w:bCs/>
          <w:color w:val="000000"/>
          <w:kern w:val="32"/>
        </w:rPr>
      </w:pPr>
      <w:r w:rsidRPr="00DC04BD">
        <w:rPr>
          <w:rFonts w:ascii="Times New Roman" w:hAnsi="Times New Roman"/>
          <w:bCs/>
          <w:color w:val="000000"/>
          <w:kern w:val="32"/>
        </w:rPr>
        <w:t>Návrh zákona dopĺňa a konkretizuje zákon o obchodovaní s emisnými kvótami, môže napomôcť spresnenými pravidlami k znižovaniu emisií skleníkových plynov a v dôsledku toho môže mať kladný vplyv na životné prostredie. Nákladovo efektívne znižovanie emisií skleníkových plynov môže vytvoriť priestor pre ekonomicky a environmentálne náročnejšie investície do oblasti životného prostredia.</w:t>
      </w:r>
    </w:p>
    <w:p w:rsidR="00F9065E" w:rsidRPr="00DC04BD" w:rsidP="00F9065E">
      <w:pPr>
        <w:keepNext/>
        <w:widowControl/>
        <w:bidi w:val="0"/>
        <w:jc w:val="both"/>
        <w:outlineLvl w:val="0"/>
        <w:rPr>
          <w:rFonts w:ascii="Times New Roman" w:hAnsi="Times New Roman"/>
          <w:b/>
          <w:bCs/>
          <w:color w:val="000000"/>
          <w:kern w:val="32"/>
        </w:rPr>
      </w:pPr>
    </w:p>
    <w:p w:rsidR="00F9065E" w:rsidRPr="00DC04BD" w:rsidP="00F9065E">
      <w:pPr>
        <w:keepNext/>
        <w:widowControl/>
        <w:bidi w:val="0"/>
        <w:jc w:val="both"/>
        <w:outlineLvl w:val="0"/>
        <w:rPr>
          <w:rFonts w:ascii="Times New Roman" w:hAnsi="Times New Roman"/>
          <w:b/>
          <w:bCs/>
          <w:color w:val="000000"/>
          <w:kern w:val="32"/>
        </w:rPr>
      </w:pPr>
      <w:r w:rsidRPr="00DC04BD">
        <w:rPr>
          <w:rFonts w:ascii="Times New Roman" w:hAnsi="Times New Roman"/>
          <w:b/>
          <w:bCs/>
          <w:color w:val="000000"/>
          <w:kern w:val="32"/>
        </w:rPr>
        <w:t>Vplyvy na informatizáciu spoločnosti</w:t>
      </w:r>
    </w:p>
    <w:p w:rsidR="00F9065E" w:rsidRPr="00DC04BD" w:rsidP="00F9065E">
      <w:pPr>
        <w:keepNext/>
        <w:widowControl/>
        <w:bidi w:val="0"/>
        <w:jc w:val="both"/>
        <w:outlineLvl w:val="0"/>
        <w:rPr>
          <w:rFonts w:ascii="Times New Roman" w:hAnsi="Times New Roman"/>
          <w:bCs/>
          <w:color w:val="000000"/>
          <w:kern w:val="32"/>
        </w:rPr>
      </w:pPr>
    </w:p>
    <w:p w:rsidR="00F9065E" w:rsidRPr="00DC04BD" w:rsidP="00F9065E">
      <w:pPr>
        <w:keepNext/>
        <w:widowControl/>
        <w:bidi w:val="0"/>
        <w:jc w:val="both"/>
        <w:outlineLvl w:val="0"/>
        <w:rPr>
          <w:rFonts w:ascii="Times New Roman" w:hAnsi="Times New Roman"/>
          <w:bCs/>
          <w:color w:val="000000"/>
          <w:kern w:val="32"/>
        </w:rPr>
      </w:pPr>
      <w:r w:rsidRPr="00DC04BD">
        <w:rPr>
          <w:rFonts w:ascii="Times New Roman" w:hAnsi="Times New Roman"/>
          <w:bCs/>
          <w:color w:val="000000"/>
          <w:kern w:val="32"/>
        </w:rPr>
        <w:t>Návrh zákona bude mať pozitívny vplyv na informatizáciu spoločnosti v dôsledku rozšírenia doterajších elektronických služieb s informatívnou úrovňou.  </w:t>
      </w:r>
    </w:p>
    <w:p w:rsidR="00F9065E" w:rsidRPr="00DC04BD" w:rsidP="00F9065E">
      <w:pPr>
        <w:widowControl/>
        <w:bidi w:val="0"/>
        <w:adjustRightInd/>
        <w:jc w:val="both"/>
        <w:rPr>
          <w:rFonts w:ascii="Times New Roman" w:hAnsi="Times New Roman"/>
          <w:b/>
        </w:rPr>
      </w:pPr>
    </w:p>
    <w:p w:rsidR="00F9065E" w:rsidRPr="00DC04BD" w:rsidP="00F9065E">
      <w:pPr>
        <w:widowControl/>
        <w:bidi w:val="0"/>
        <w:adjustRightInd/>
        <w:jc w:val="both"/>
        <w:rPr>
          <w:rFonts w:ascii="Times New Roman" w:hAnsi="Times New Roman"/>
          <w:b/>
        </w:rPr>
      </w:pPr>
      <w:r w:rsidRPr="00DC04BD">
        <w:rPr>
          <w:rFonts w:ascii="Times New Roman" w:hAnsi="Times New Roman"/>
          <w:b/>
        </w:rPr>
        <w:t>Stanovisko predkladateľa</w:t>
      </w:r>
    </w:p>
    <w:p w:rsidR="00F9065E" w:rsidRPr="00DC04BD" w:rsidP="00F9065E">
      <w:pPr>
        <w:widowControl/>
        <w:bidi w:val="0"/>
        <w:adjustRightInd/>
        <w:jc w:val="both"/>
        <w:rPr>
          <w:rFonts w:ascii="Times New Roman" w:hAnsi="Times New Roman"/>
        </w:rPr>
      </w:pPr>
      <w:r w:rsidRPr="00DC04BD">
        <w:rPr>
          <w:rFonts w:ascii="Times New Roman" w:hAnsi="Times New Roman"/>
        </w:rPr>
        <w:t>Doložka vybraných vplyvov bola doplnená v zmysle pripomienok.</w:t>
      </w:r>
    </w:p>
    <w:p w:rsidR="00F9065E" w:rsidRPr="00DC04BD" w:rsidP="00F9065E">
      <w:pPr>
        <w:keepNext/>
        <w:widowControl/>
        <w:bidi w:val="0"/>
        <w:jc w:val="both"/>
        <w:outlineLvl w:val="0"/>
        <w:rPr>
          <w:rFonts w:ascii="Times New Roman" w:hAnsi="Times New Roman"/>
          <w:bCs/>
          <w:color w:val="000000"/>
          <w:kern w:val="32"/>
        </w:rPr>
      </w:pPr>
    </w:p>
    <w:p w:rsidR="00F9065E" w:rsidRPr="00DC04BD" w:rsidP="00F9065E">
      <w:pPr>
        <w:keepNext/>
        <w:widowControl/>
        <w:bidi w:val="0"/>
        <w:jc w:val="both"/>
        <w:outlineLvl w:val="0"/>
        <w:rPr>
          <w:rFonts w:ascii="Times New Roman" w:hAnsi="Times New Roman"/>
          <w:b/>
          <w:bCs/>
          <w:color w:val="000000"/>
        </w:rPr>
      </w:pPr>
      <w:r w:rsidRPr="00DC04BD">
        <w:rPr>
          <w:rFonts w:ascii="Times New Roman" w:hAnsi="Times New Roman"/>
          <w:b/>
          <w:bCs/>
          <w:color w:val="000000"/>
        </w:rPr>
        <w:t>A.4. Alternatívne riešenia</w:t>
      </w:r>
    </w:p>
    <w:p w:rsidR="00F9065E" w:rsidRPr="00DC04BD" w:rsidP="00F9065E">
      <w:pPr>
        <w:bidi w:val="0"/>
        <w:jc w:val="both"/>
        <w:rPr>
          <w:rFonts w:ascii="Times New Roman" w:hAnsi="Times New Roman"/>
          <w:b/>
          <w:bCs/>
          <w:color w:val="000000"/>
        </w:rPr>
      </w:pPr>
      <w:r w:rsidRPr="00DC04BD">
        <w:rPr>
          <w:rFonts w:ascii="Times New Roman" w:hAnsi="Times New Roman"/>
          <w:color w:val="000000"/>
        </w:rPr>
        <w:t>Alternatívne riešenia sa nenavrhujú.</w:t>
      </w:r>
    </w:p>
    <w:p w:rsidR="00F9065E" w:rsidRPr="00DC04BD" w:rsidP="00F9065E">
      <w:pPr>
        <w:bidi w:val="0"/>
        <w:jc w:val="both"/>
        <w:rPr>
          <w:rFonts w:ascii="Times New Roman" w:hAnsi="Times New Roman"/>
          <w:b/>
          <w:bCs/>
          <w:color w:val="000000"/>
        </w:rPr>
      </w:pPr>
    </w:p>
    <w:p w:rsidR="00F9065E" w:rsidRPr="00DC04BD" w:rsidP="00F9065E">
      <w:pPr>
        <w:bidi w:val="0"/>
        <w:jc w:val="both"/>
        <w:rPr>
          <w:rFonts w:ascii="Times New Roman" w:hAnsi="Times New Roman"/>
          <w:b/>
          <w:bCs/>
          <w:color w:val="000000"/>
        </w:rPr>
      </w:pPr>
      <w:r w:rsidRPr="00DC04BD">
        <w:rPr>
          <w:rFonts w:ascii="Times New Roman" w:hAnsi="Times New Roman"/>
          <w:b/>
          <w:bCs/>
          <w:color w:val="000000"/>
        </w:rPr>
        <w:t>A.5. Stanovisko gestorov</w:t>
      </w:r>
    </w:p>
    <w:p w:rsidR="00F9065E" w:rsidRPr="00DC04BD" w:rsidP="00F9065E">
      <w:pPr>
        <w:bidi w:val="0"/>
        <w:jc w:val="both"/>
        <w:rPr>
          <w:rFonts w:ascii="Times New Roman" w:hAnsi="Times New Roman"/>
          <w:color w:val="000000"/>
        </w:rPr>
      </w:pPr>
      <w:r w:rsidRPr="00DC04BD">
        <w:rPr>
          <w:rFonts w:ascii="Times New Roman" w:hAnsi="Times New Roman"/>
          <w:color w:val="000000"/>
        </w:rPr>
        <w:t>Nerelevantné</w:t>
      </w:r>
    </w:p>
    <w:p w:rsidR="00F9065E" w:rsidRPr="00DC04BD" w:rsidP="00F9065E">
      <w:pPr>
        <w:bidi w:val="0"/>
        <w:jc w:val="both"/>
        <w:rPr>
          <w:rFonts w:ascii="Times New Roman" w:hAnsi="Times New Roman"/>
          <w:color w:val="000000"/>
        </w:rPr>
      </w:pPr>
      <w:r w:rsidRPr="00DC04BD">
        <w:rPr>
          <w:rFonts w:ascii="Times New Roman" w:hAnsi="Times New Roman"/>
          <w:color w:val="000000"/>
        </w:rPr>
        <w:t> </w:t>
      </w: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55349F" w:rsidP="00F9065E">
      <w:pPr>
        <w:autoSpaceDE w:val="0"/>
        <w:autoSpaceDN w:val="0"/>
        <w:bidi w:val="0"/>
        <w:rPr>
          <w:rFonts w:ascii="Times New Roman" w:hAnsi="Times New Roman"/>
        </w:rPr>
      </w:pPr>
    </w:p>
    <w:p w:rsidR="00F9065E" w:rsidRPr="00DC04BD" w:rsidP="00F9065E">
      <w:pPr>
        <w:autoSpaceDE w:val="0"/>
        <w:autoSpaceDN w:val="0"/>
        <w:bidi w:val="0"/>
        <w:rPr>
          <w:rFonts w:ascii="Times New Roman" w:hAnsi="Times New Roman"/>
        </w:rPr>
      </w:pPr>
    </w:p>
    <w:p w:rsidR="00F9065E" w:rsidRPr="0051019D" w:rsidP="00F9065E">
      <w:pPr>
        <w:bidi w:val="0"/>
        <w:jc w:val="center"/>
        <w:rPr>
          <w:rFonts w:ascii="Times New Roman" w:hAnsi="Times New Roman"/>
        </w:rPr>
      </w:pPr>
      <w:r w:rsidRPr="0051019D">
        <w:rPr>
          <w:rFonts w:ascii="Times New Roman" w:hAnsi="Times New Roman"/>
          <w:b/>
          <w:bCs/>
          <w:sz w:val="28"/>
          <w:szCs w:val="28"/>
        </w:rPr>
        <w:t>Vplyvy na rozpočet verejnej správy,</w:t>
      </w:r>
    </w:p>
    <w:p w:rsidR="00F9065E" w:rsidRPr="0051019D" w:rsidP="00F9065E">
      <w:pPr>
        <w:bidi w:val="0"/>
        <w:jc w:val="center"/>
        <w:rPr>
          <w:rFonts w:ascii="Times New Roman" w:hAnsi="Times New Roman"/>
        </w:rPr>
      </w:pPr>
      <w:r w:rsidRPr="0051019D">
        <w:rPr>
          <w:rFonts w:ascii="Times New Roman" w:hAnsi="Times New Roman"/>
          <w:b/>
          <w:bCs/>
          <w:sz w:val="28"/>
          <w:szCs w:val="28"/>
        </w:rPr>
        <w:t>na zamestnanosť vo verejnej správe a financovanie návrhu</w:t>
      </w:r>
    </w:p>
    <w:p w:rsidR="00F9065E" w:rsidRPr="0051019D" w:rsidP="00F9065E">
      <w:pPr>
        <w:bidi w:val="0"/>
        <w:rPr>
          <w:rFonts w:ascii="Times New Roman" w:hAnsi="Times New Roman"/>
        </w:rPr>
      </w:pPr>
      <w:r w:rsidRPr="0051019D">
        <w:rPr>
          <w:rFonts w:ascii="Times New Roman" w:hAnsi="Times New Roman"/>
        </w:rPr>
        <w:t> </w:t>
      </w:r>
    </w:p>
    <w:p w:rsidR="00F9065E" w:rsidRPr="0051019D" w:rsidP="00F9065E">
      <w:pPr>
        <w:bidi w:val="0"/>
        <w:rPr>
          <w:rFonts w:ascii="Times New Roman" w:hAnsi="Times New Roman"/>
        </w:rPr>
      </w:pPr>
      <w:r w:rsidRPr="0051019D">
        <w:rPr>
          <w:rFonts w:ascii="Times New Roman" w:hAnsi="Times New Roman"/>
          <w:b/>
          <w:bCs/>
        </w:rPr>
        <w:t>2.1. Zhrnutie vplyvov na rozpočet verejnej správy v návrhu</w:t>
      </w:r>
    </w:p>
    <w:p w:rsidR="00F9065E" w:rsidRPr="0051019D" w:rsidP="00F9065E">
      <w:pPr>
        <w:bidi w:val="0"/>
        <w:jc w:val="right"/>
        <w:rPr>
          <w:rFonts w:ascii="Times New Roman" w:hAnsi="Times New Roman"/>
        </w:rPr>
      </w:pPr>
      <w:r w:rsidRPr="0051019D">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03"/>
        <w:gridCol w:w="1256"/>
        <w:gridCol w:w="1290"/>
        <w:gridCol w:w="1290"/>
        <w:gridCol w:w="1290"/>
      </w:tblGrid>
      <w:tr>
        <w:tblPrEx>
          <w:tblW w:w="9729" w:type="dxa"/>
          <w:tblCellMar>
            <w:left w:w="0" w:type="dxa"/>
            <w:right w:w="0" w:type="dxa"/>
          </w:tblCellMar>
        </w:tblPrEx>
        <w:trPr>
          <w:trHeight w:val="194"/>
        </w:trPr>
        <w:tc>
          <w:tcPr>
            <w:tcW w:w="460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194" w:lineRule="atLeast"/>
              <w:jc w:val="center"/>
              <w:rPr>
                <w:rFonts w:ascii="Times New Roman" w:hAnsi="Times New Roman"/>
              </w:rPr>
            </w:pPr>
            <w:bookmarkStart w:id="0" w:name="OLE_LINK1"/>
            <w:bookmarkEnd w:id="0"/>
            <w:r w:rsidRPr="0051019D">
              <w:rPr>
                <w:rFonts w:ascii="Times New Roman" w:hAnsi="Times New Roman"/>
                <w:b/>
                <w:bCs/>
                <w:color w:val="FFFFFF"/>
              </w:rPr>
              <w:t xml:space="preserve">Vplyvy na </w:t>
            </w:r>
            <w:r w:rsidRPr="0051019D">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194" w:lineRule="atLeast"/>
              <w:jc w:val="center"/>
              <w:rPr>
                <w:rFonts w:ascii="Times New Roman" w:hAnsi="Times New Roman"/>
              </w:rPr>
            </w:pPr>
            <w:r w:rsidRPr="0051019D">
              <w:rPr>
                <w:rFonts w:ascii="Times New Roman" w:hAnsi="Times New Roman"/>
                <w:b/>
                <w:bCs/>
                <w:color w:val="FFFFFF"/>
              </w:rPr>
              <w:t xml:space="preserve">Vplyv na rozpočet verejnej správy </w:t>
            </w:r>
            <w:r w:rsidRPr="0051019D">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9065E" w:rsidRPr="0051019D" w:rsidP="00DA0D89">
            <w:pPr>
              <w:bidi w:val="0"/>
              <w:rPr>
                <w:rFonts w:ascii="Times New Roman" w:hAnsi="Times New Roman"/>
              </w:rPr>
            </w:pPr>
          </w:p>
        </w:tc>
        <w:tc>
          <w:tcPr>
            <w:tcW w:w="125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2012</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2013</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2014</w:t>
            </w:r>
          </w:p>
        </w:tc>
        <w:tc>
          <w:tcPr>
            <w:tcW w:w="129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2015</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rPr>
              <w:t>Príjmy verejnej správy celkom</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105 000 000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105 000 000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105 000 000</w:t>
            </w:r>
          </w:p>
        </w:tc>
      </w:tr>
      <w:tr>
        <w:tblPrEx>
          <w:tblW w:w="9729" w:type="dxa"/>
          <w:tblCellMar>
            <w:left w:w="0" w:type="dxa"/>
            <w:right w:w="0" w:type="dxa"/>
          </w:tblCellMar>
        </w:tblPrEx>
        <w:trPr>
          <w:trHeight w:val="132"/>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2" w:lineRule="atLeast"/>
              <w:rPr>
                <w:rFonts w:ascii="Times New Roman" w:hAnsi="Times New Roman"/>
              </w:rPr>
            </w:pPr>
            <w:r w:rsidRPr="0051019D">
              <w:rPr>
                <w:rFonts w:ascii="Times New Roman" w:hAnsi="Times New Roman"/>
              </w:rPr>
              <w:t>v tom: za každý subjekt verejnej správy zvlášť</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2"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2"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2"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2" w:lineRule="atLeast"/>
              <w:jc w:val="right"/>
              <w:rPr>
                <w:rFonts w:ascii="Times New Roman" w:hAnsi="Times New Roman"/>
                <w:sz w:val="20"/>
                <w:szCs w:val="20"/>
              </w:rPr>
            </w:pPr>
            <w:r w:rsidRPr="0051019D">
              <w:rPr>
                <w:rFonts w:ascii="Times New Roman" w:hAnsi="Times New Roman"/>
                <w:sz w:val="20"/>
                <w:szCs w:val="20"/>
              </w:rPr>
              <w:t>-</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i/>
                <w:iCs/>
              </w:rPr>
              <w:t xml:space="preserve">z toho: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r>
      <w:tr>
        <w:tblPrEx>
          <w:tblW w:w="9729" w:type="dxa"/>
          <w:tblCellMar>
            <w:left w:w="0" w:type="dxa"/>
            <w:right w:w="0" w:type="dxa"/>
          </w:tblCellMar>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rPr>
                <w:rFonts w:ascii="Times New Roman" w:hAnsi="Times New Roman"/>
              </w:rPr>
            </w:pPr>
            <w:r w:rsidRPr="0051019D">
              <w:rPr>
                <w:rFonts w:ascii="Times New Roman" w:hAnsi="Times New Roman"/>
                <w:b/>
                <w:bCs/>
                <w:i/>
                <w:iCs/>
              </w:rPr>
              <w:t>- vplyv na ŠR</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105 000 000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105 000 000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105 000 000</w:t>
            </w:r>
          </w:p>
        </w:tc>
      </w:tr>
      <w:tr>
        <w:tblPrEx>
          <w:tblW w:w="9729" w:type="dxa"/>
          <w:tblCellMar>
            <w:left w:w="0" w:type="dxa"/>
            <w:right w:w="0" w:type="dxa"/>
          </w:tblCellMar>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rPr>
                <w:rFonts w:ascii="Times New Roman" w:hAnsi="Times New Roman"/>
              </w:rPr>
            </w:pPr>
            <w:r w:rsidRPr="0051019D">
              <w:rPr>
                <w:rFonts w:ascii="Times New Roman" w:hAnsi="Times New Roman"/>
                <w:b/>
                <w:bCs/>
                <w:i/>
                <w:iCs/>
              </w:rPr>
              <w:t>- vplyv na územnú samosprávu</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 xml:space="preserve">0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r>
      <w:tr>
        <w:tblPrEx>
          <w:tblW w:w="9729" w:type="dxa"/>
          <w:tblCellMar>
            <w:left w:w="0" w:type="dxa"/>
            <w:right w:w="0" w:type="dxa"/>
          </w:tblCellMar>
        </w:tblPrEx>
        <w:trPr>
          <w:trHeight w:val="125"/>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125" w:lineRule="atLeast"/>
              <w:rPr>
                <w:rFonts w:ascii="Times New Roman" w:hAnsi="Times New Roman"/>
              </w:rPr>
            </w:pPr>
            <w:r w:rsidRPr="0051019D">
              <w:rPr>
                <w:rFonts w:ascii="Times New Roman" w:hAnsi="Times New Roman"/>
                <w:b/>
                <w:bCs/>
              </w:rPr>
              <w:t>Výdavky verejnej správy celkom</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b/>
                <w:sz w:val="20"/>
                <w:szCs w:val="20"/>
              </w:rPr>
            </w:pPr>
            <w:r w:rsidRPr="0051019D">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
                <w:sz w:val="20"/>
                <w:szCs w:val="20"/>
              </w:rPr>
              <w:t>0</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rPr>
              <w:t>v tom: za každý subjekt verejnej správy / program zvlášť</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sz w:val="20"/>
                <w:szCs w:val="20"/>
              </w:rPr>
              <w:t>-</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i/>
                <w:iCs/>
              </w:rPr>
              <w:t xml:space="preserve">z toho: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color w:val="FF0000"/>
                <w:sz w:val="20"/>
                <w:szCs w:val="20"/>
              </w:rPr>
            </w:pPr>
            <w:r w:rsidRPr="0051019D">
              <w:rPr>
                <w:rFonts w:ascii="Times New Roman" w:hAnsi="Times New Roman"/>
                <w:b/>
                <w:bCs/>
                <w:i/>
                <w:iCs/>
                <w:color w:val="FF0000"/>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i/>
                <w:iCs/>
                <w:sz w:val="20"/>
                <w:szCs w:val="20"/>
              </w:rPr>
              <w:t> </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i/>
                <w:iCs/>
              </w:rPr>
              <w:t>- vplyv na ŠR</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0</w:t>
            </w:r>
          </w:p>
        </w:tc>
      </w:tr>
      <w:tr>
        <w:tblPrEx>
          <w:tblW w:w="9729" w:type="dxa"/>
          <w:tblCellMar>
            <w:left w:w="0" w:type="dxa"/>
            <w:right w:w="0" w:type="dxa"/>
          </w:tblCellMar>
        </w:tblPrEx>
        <w:trPr>
          <w:trHeight w:val="125"/>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rPr>
                <w:rFonts w:ascii="Times New Roman" w:hAnsi="Times New Roman"/>
              </w:rPr>
            </w:pPr>
            <w:r w:rsidRPr="0051019D">
              <w:rPr>
                <w:rFonts w:ascii="Times New Roman" w:hAnsi="Times New Roman"/>
                <w:b/>
                <w:bCs/>
                <w:i/>
                <w:iCs/>
              </w:rPr>
              <w:t>- vplyv na územnú samosprávu</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bCs/>
                <w:iCs/>
                <w:sz w:val="20"/>
                <w:szCs w:val="20"/>
              </w:rPr>
              <w:t>0</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25" w:lineRule="atLeast"/>
              <w:jc w:val="right"/>
              <w:rPr>
                <w:rFonts w:ascii="Times New Roman" w:hAnsi="Times New Roman"/>
                <w:sz w:val="20"/>
                <w:szCs w:val="20"/>
              </w:rPr>
            </w:pPr>
            <w:r w:rsidRPr="0051019D">
              <w:rPr>
                <w:rFonts w:ascii="Times New Roman" w:hAnsi="Times New Roman"/>
                <w:sz w:val="20"/>
                <w:szCs w:val="20"/>
              </w:rPr>
              <w:t>0</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rPr>
              <w:t xml:space="preserve">Celková zamestnanosť </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 xml:space="preserve"> 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i/>
                <w:iCs/>
              </w:rPr>
              <w:t>- z toho vplyv na ŠR</w:t>
            </w:r>
            <w:r w:rsidRPr="0051019D">
              <w:rPr>
                <w:rFonts w:ascii="Times New Roman" w:hAnsi="Times New Roman"/>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w:t>
            </w:r>
          </w:p>
        </w:tc>
        <w:tc>
          <w:tcPr>
            <w:tcW w:w="12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w:t>
            </w:r>
          </w:p>
        </w:tc>
      </w:tr>
      <w:tr>
        <w:tblPrEx>
          <w:tblW w:w="9729" w:type="dxa"/>
          <w:tblCellMar>
            <w:left w:w="0" w:type="dxa"/>
            <w:right w:w="0" w:type="dxa"/>
          </w:tblCellMar>
        </w:tblPrEx>
        <w:trPr>
          <w:trHeight w:val="70"/>
        </w:trPr>
        <w:tc>
          <w:tcPr>
            <w:tcW w:w="460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rPr>
              <w:t>Financovanie zabezpečené v rozpočte</w:t>
            </w:r>
          </w:p>
        </w:tc>
        <w:tc>
          <w:tcPr>
            <w:tcW w:w="125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 xml:space="preserve"> 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0</w:t>
            </w:r>
          </w:p>
        </w:tc>
      </w:tr>
      <w:tr>
        <w:tblPrEx>
          <w:tblW w:w="9729" w:type="dxa"/>
          <w:tblCellMar>
            <w:left w:w="0" w:type="dxa"/>
            <w:right w:w="0" w:type="dxa"/>
          </w:tblCellMar>
        </w:tblPrEx>
        <w:tc>
          <w:tcPr>
            <w:tcW w:w="4603"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256"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290"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290"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290"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r>
    </w:tbl>
    <w:p w:rsidR="00F9065E" w:rsidRPr="0051019D" w:rsidP="00F9065E">
      <w:pPr>
        <w:bidi w:val="0"/>
        <w:rPr>
          <w:rFonts w:ascii="Times New Roman" w:hAnsi="Times New Roman"/>
        </w:rPr>
      </w:pPr>
      <w:r w:rsidRPr="0051019D">
        <w:rPr>
          <w:rFonts w:ascii="Times New Roman" w:hAnsi="Times New Roman"/>
        </w:rPr>
        <w:t> </w:t>
      </w:r>
    </w:p>
    <w:p w:rsidR="00F9065E" w:rsidRPr="0051019D" w:rsidP="00F9065E">
      <w:pPr>
        <w:bidi w:val="0"/>
        <w:rPr>
          <w:rFonts w:ascii="Times New Roman" w:hAnsi="Times New Roman"/>
        </w:rPr>
      </w:pPr>
      <w:r w:rsidRPr="0051019D">
        <w:rPr>
          <w:rFonts w:ascii="Times New Roman" w:hAnsi="Times New Roman"/>
          <w:b/>
          <w:bCs/>
        </w:rPr>
        <w:t>2.2. Financovanie návrhu</w:t>
      </w:r>
    </w:p>
    <w:p w:rsidR="00F9065E" w:rsidRPr="0051019D" w:rsidP="00F9065E">
      <w:pPr>
        <w:bidi w:val="0"/>
        <w:jc w:val="right"/>
        <w:rPr>
          <w:rFonts w:ascii="Times New Roman" w:hAnsi="Times New Roman"/>
        </w:rPr>
      </w:pPr>
      <w:r w:rsidRPr="0051019D">
        <w:rPr>
          <w:rFonts w:ascii="Times New Roman" w:hAnsi="Times New Roman"/>
          <w:sz w:val="20"/>
          <w:szCs w:val="20"/>
        </w:rPr>
        <w:t>Tabuľka č. 2</w:t>
      </w:r>
    </w:p>
    <w:tbl>
      <w:tblPr>
        <w:tblStyle w:val="TableNormal"/>
        <w:tblW w:w="9573" w:type="dxa"/>
        <w:tblCellMar>
          <w:left w:w="0" w:type="dxa"/>
          <w:right w:w="0" w:type="dxa"/>
        </w:tblCellMar>
      </w:tblPr>
      <w:tblGrid>
        <w:gridCol w:w="4653"/>
        <w:gridCol w:w="695"/>
        <w:gridCol w:w="1408"/>
        <w:gridCol w:w="1408"/>
        <w:gridCol w:w="1409"/>
      </w:tblGrid>
      <w:tr>
        <w:tblPrEx>
          <w:tblW w:w="9573" w:type="dxa"/>
          <w:tblCellMar>
            <w:left w:w="0" w:type="dxa"/>
            <w:right w:w="0" w:type="dxa"/>
          </w:tblCellMar>
        </w:tblPrEx>
        <w:trPr>
          <w:trHeight w:val="7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 xml:space="preserve">Vplyv na rozpočet verejnej správy </w:t>
            </w:r>
            <w:r w:rsidRPr="0051019D">
              <w:rPr>
                <w:rFonts w:ascii="Times New Roman" w:hAnsi="Times New Roman"/>
                <w:b/>
                <w:bCs/>
              </w:rPr>
              <w:t>(v eurách)</w:t>
            </w:r>
          </w:p>
        </w:tc>
      </w:tr>
      <w:tr>
        <w:tblPrEx>
          <w:tblW w:w="9573" w:type="dxa"/>
          <w:tblCellMar>
            <w:left w:w="0" w:type="dxa"/>
            <w:right w:w="0" w:type="dxa"/>
          </w:tblCellMar>
        </w:tblPrEx>
        <w:trPr>
          <w:trHeight w:val="71"/>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9065E" w:rsidRPr="0051019D" w:rsidP="00DA0D89">
            <w:pPr>
              <w:bidi w:val="0"/>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2012</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2013</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2015</w:t>
            </w:r>
          </w:p>
        </w:tc>
      </w:tr>
      <w:tr>
        <w:tblPrEx>
          <w:tblW w:w="9573" w:type="dxa"/>
          <w:tblCellMar>
            <w:left w:w="0" w:type="dxa"/>
            <w:right w:w="0" w:type="dxa"/>
          </w:tblCellMar>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b/>
                <w:bCs/>
              </w:rPr>
            </w:pPr>
            <w:r w:rsidRPr="0051019D">
              <w:rPr>
                <w:rFonts w:ascii="Times New Roman" w:hAnsi="Times New Roman"/>
                <w:b/>
                <w:bCs/>
              </w:rPr>
              <w:t xml:space="preserve">Celkový vplyv na rozpočet verejnej správy </w:t>
            </w:r>
          </w:p>
          <w:p w:rsidR="00F9065E" w:rsidRPr="0051019D" w:rsidP="00DA0D89">
            <w:pPr>
              <w:bidi w:val="0"/>
              <w:spacing w:line="70" w:lineRule="atLeast"/>
              <w:rPr>
                <w:rFonts w:ascii="Times New Roman" w:hAnsi="Times New Roman"/>
              </w:rPr>
            </w:pPr>
            <w:r w:rsidRPr="0051019D">
              <w:rPr>
                <w:rFonts w:ascii="Times New Roman" w:hAnsi="Times New Roman"/>
                <w:b/>
                <w:bCs/>
              </w:rPr>
              <w:t>(- príjmy,+ výdavky)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
                <w:sz w:val="20"/>
                <w:szCs w:val="20"/>
              </w:rPr>
            </w:pPr>
            <w:r w:rsidRPr="0051019D">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- 105 000 000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- 105 000 000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
                <w:bCs/>
                <w:sz w:val="20"/>
                <w:szCs w:val="20"/>
              </w:rPr>
              <w:t>- 105 000 000</w:t>
            </w:r>
          </w:p>
        </w:tc>
      </w:tr>
      <w:tr>
        <w:tblPrEx>
          <w:tblW w:w="9573" w:type="dxa"/>
          <w:tblCellMar>
            <w:left w:w="0" w:type="dxa"/>
            <w:right w:w="0" w:type="dxa"/>
          </w:tblCellMar>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rPr>
              <w:t>  z toho           vplyv na ŠR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- 105 000 000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- 105 000 000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sz w:val="20"/>
                <w:szCs w:val="20"/>
              </w:rPr>
            </w:pPr>
            <w:r w:rsidRPr="0051019D">
              <w:rPr>
                <w:rFonts w:ascii="Times New Roman" w:hAnsi="Times New Roman"/>
                <w:bCs/>
                <w:sz w:val="20"/>
                <w:szCs w:val="20"/>
              </w:rPr>
              <w:t>- 105 000 000</w:t>
            </w:r>
          </w:p>
        </w:tc>
      </w:tr>
      <w:tr>
        <w:tblPrEx>
          <w:tblW w:w="9573" w:type="dxa"/>
          <w:tblCellMar>
            <w:left w:w="0" w:type="dxa"/>
            <w:right w:w="0" w:type="dxa"/>
          </w:tblCellMar>
        </w:tblPrEx>
        <w:trPr>
          <w:trHeight w:val="15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rPr>
                <w:rFonts w:ascii="Times New Roman" w:hAnsi="Times New Roman"/>
              </w:rPr>
            </w:pPr>
            <w:r w:rsidRPr="0051019D">
              <w:rPr>
                <w:rFonts w:ascii="Times New Roman" w:hAnsi="Times New Roman"/>
              </w:rPr>
              <w:t xml:space="preserve">                       vplyv na územnú samosprávu</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Cs/>
                <w:sz w:val="20"/>
                <w:szCs w:val="20"/>
              </w:rPr>
            </w:pPr>
            <w:r w:rsidRPr="0051019D">
              <w:rPr>
                <w:rFonts w:ascii="Times New Roman" w:hAnsi="Times New Roman"/>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Cs/>
                <w:sz w:val="20"/>
                <w:szCs w:val="20"/>
              </w:rPr>
            </w:pPr>
          </w:p>
        </w:tc>
      </w:tr>
      <w:tr>
        <w:tblPrEx>
          <w:tblW w:w="9573" w:type="dxa"/>
          <w:tblCellMar>
            <w:left w:w="0" w:type="dxa"/>
            <w:right w:w="0" w:type="dxa"/>
          </w:tblCellMar>
        </w:tblPrEx>
        <w:trPr>
          <w:trHeight w:val="153"/>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rPr>
                <w:rFonts w:ascii="Times New Roman" w:hAnsi="Times New Roman"/>
              </w:rPr>
            </w:pPr>
            <w:r w:rsidRPr="0051019D">
              <w:rPr>
                <w:rFonts w:ascii="Times New Roman" w:hAnsi="Times New Roman"/>
              </w:rPr>
              <w:t>  financovanie zabezpečené v rozpočte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51" w:lineRule="atLeast"/>
              <w:jc w:val="right"/>
              <w:rPr>
                <w:rFonts w:ascii="Times New Roman" w:hAnsi="Times New Roman"/>
                <w:sz w:val="20"/>
                <w:szCs w:val="20"/>
              </w:rPr>
            </w:pPr>
            <w:r w:rsidRPr="0051019D">
              <w:rPr>
                <w:rFonts w:ascii="Times New Roman" w:hAnsi="Times New Roman"/>
                <w:sz w:val="20"/>
                <w:szCs w:val="20"/>
              </w:rPr>
              <w:t>0</w:t>
            </w:r>
          </w:p>
        </w:tc>
      </w:tr>
      <w:tr>
        <w:tblPrEx>
          <w:tblW w:w="9573" w:type="dxa"/>
          <w:tblCellMar>
            <w:left w:w="0" w:type="dxa"/>
            <w:right w:w="0" w:type="dxa"/>
          </w:tblCellMar>
        </w:tblPrEx>
        <w:trPr>
          <w:trHeight w:val="137"/>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5" w:lineRule="atLeast"/>
              <w:rPr>
                <w:rFonts w:ascii="Times New Roman" w:hAnsi="Times New Roman"/>
              </w:rPr>
            </w:pPr>
            <w:r w:rsidRPr="0051019D">
              <w:rPr>
                <w:rFonts w:ascii="Times New Roman" w:hAnsi="Times New Roman"/>
              </w:rPr>
              <w:t>  ostatné zdroje financovania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5"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5"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5" w:lineRule="atLeast"/>
              <w:jc w:val="right"/>
              <w:rPr>
                <w:rFonts w:ascii="Times New Roman" w:hAnsi="Times New Roman"/>
                <w:sz w:val="20"/>
                <w:szCs w:val="20"/>
              </w:rPr>
            </w:pPr>
            <w:r w:rsidRPr="0051019D">
              <w:rPr>
                <w:rFonts w:ascii="Times New Roman" w:hAnsi="Times New Roman"/>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135" w:lineRule="atLeast"/>
              <w:jc w:val="right"/>
              <w:rPr>
                <w:rFonts w:ascii="Times New Roman" w:hAnsi="Times New Roman"/>
                <w:sz w:val="20"/>
                <w:szCs w:val="20"/>
              </w:rPr>
            </w:pPr>
            <w:r w:rsidRPr="0051019D">
              <w:rPr>
                <w:rFonts w:ascii="Times New Roman" w:hAnsi="Times New Roman"/>
                <w:sz w:val="20"/>
                <w:szCs w:val="20"/>
              </w:rPr>
              <w:t>0</w:t>
            </w:r>
          </w:p>
        </w:tc>
      </w:tr>
      <w:tr>
        <w:tblPrEx>
          <w:tblW w:w="9573" w:type="dxa"/>
          <w:tblCellMar>
            <w:left w:w="0" w:type="dxa"/>
            <w:right w:w="0" w:type="dxa"/>
          </w:tblCellMar>
        </w:tblPrEx>
        <w:trPr>
          <w:trHeight w:val="71"/>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rPr>
                <w:rFonts w:ascii="Times New Roman" w:hAnsi="Times New Roman"/>
              </w:rPr>
            </w:pPr>
            <w:r w:rsidRPr="0051019D">
              <w:rPr>
                <w:rFonts w:ascii="Times New Roman" w:hAnsi="Times New Roman"/>
                <w:b/>
                <w:bCs/>
              </w:rPr>
              <w:t xml:space="preserve">Rozpočtovo nekrytý vplyv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
                <w:sz w:val="20"/>
                <w:szCs w:val="20"/>
              </w:rPr>
            </w:pPr>
            <w:r w:rsidRPr="0051019D">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
                <w:bCs/>
                <w:sz w:val="20"/>
                <w:szCs w:val="20"/>
              </w:rPr>
            </w:pPr>
            <w:r w:rsidRPr="0051019D">
              <w:rPr>
                <w:rFonts w:ascii="Times New Roman" w:hAnsi="Times New Roman"/>
                <w:b/>
                <w:bCs/>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
                <w:bCs/>
                <w:sz w:val="20"/>
                <w:szCs w:val="20"/>
              </w:rPr>
            </w:pPr>
            <w:r w:rsidRPr="0051019D">
              <w:rPr>
                <w:rFonts w:ascii="Times New Roman" w:hAnsi="Times New Roman"/>
                <w:b/>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F9065E" w:rsidRPr="0051019D" w:rsidP="00DA0D89">
            <w:pPr>
              <w:bidi w:val="0"/>
              <w:spacing w:line="70" w:lineRule="atLeast"/>
              <w:jc w:val="right"/>
              <w:rPr>
                <w:rFonts w:ascii="Times New Roman" w:hAnsi="Times New Roman"/>
                <w:b/>
                <w:bCs/>
                <w:sz w:val="20"/>
                <w:szCs w:val="20"/>
              </w:rPr>
            </w:pPr>
            <w:r w:rsidRPr="0051019D">
              <w:rPr>
                <w:rFonts w:ascii="Times New Roman" w:hAnsi="Times New Roman"/>
                <w:b/>
                <w:sz w:val="20"/>
                <w:szCs w:val="20"/>
              </w:rPr>
              <w:t>0</w:t>
            </w:r>
          </w:p>
        </w:tc>
      </w:tr>
      <w:tr>
        <w:tblPrEx>
          <w:tblW w:w="9573" w:type="dxa"/>
          <w:tblCellMar>
            <w:left w:w="0" w:type="dxa"/>
            <w:right w:w="0" w:type="dxa"/>
          </w:tblCellMar>
        </w:tblPrEx>
        <w:trPr>
          <w:trHeight w:val="471"/>
        </w:trPr>
        <w:tc>
          <w:tcPr>
            <w:tcW w:w="0" w:type="auto"/>
            <w:tcBorders>
              <w:top w:val="nil"/>
              <w:left w:val="nil"/>
              <w:bottom w:val="nil"/>
              <w:right w:val="nil"/>
            </w:tcBorders>
            <w:textDirection w:val="lrTb"/>
            <w:vAlign w:val="center"/>
          </w:tcPr>
          <w:p w:rsidR="00F9065E" w:rsidRPr="0051019D" w:rsidP="00DA0D89">
            <w:pPr>
              <w:bidi w:val="0"/>
              <w:rPr>
                <w:rFonts w:ascii="Times New Roman" w:hAnsi="Times New Roman"/>
                <w:sz w:val="20"/>
                <w:szCs w:val="20"/>
              </w:rPr>
            </w:pPr>
          </w:p>
        </w:tc>
        <w:tc>
          <w:tcPr>
            <w:tcW w:w="0" w:type="auto"/>
            <w:tcBorders>
              <w:top w:val="nil"/>
              <w:left w:val="nil"/>
              <w:bottom w:val="nil"/>
              <w:right w:val="nil"/>
            </w:tcBorders>
            <w:textDirection w:val="lrTb"/>
            <w:vAlign w:val="center"/>
          </w:tcPr>
          <w:p w:rsidR="00F9065E" w:rsidRPr="0051019D" w:rsidP="00DA0D89">
            <w:pPr>
              <w:bidi w:val="0"/>
              <w:rPr>
                <w:rFonts w:ascii="Times New Roman" w:hAnsi="Times New Roman"/>
                <w:sz w:val="20"/>
                <w:szCs w:val="20"/>
              </w:rPr>
            </w:pPr>
          </w:p>
        </w:tc>
        <w:tc>
          <w:tcPr>
            <w:tcW w:w="0" w:type="auto"/>
            <w:tcBorders>
              <w:top w:val="nil"/>
              <w:left w:val="nil"/>
              <w:bottom w:val="nil"/>
              <w:right w:val="nil"/>
            </w:tcBorders>
            <w:textDirection w:val="lrTb"/>
            <w:vAlign w:val="center"/>
          </w:tcPr>
          <w:p w:rsidR="00F9065E" w:rsidRPr="0051019D" w:rsidP="00DA0D89">
            <w:pPr>
              <w:bidi w:val="0"/>
              <w:rPr>
                <w:rFonts w:ascii="Times New Roman" w:hAnsi="Times New Roman"/>
                <w:sz w:val="20"/>
                <w:szCs w:val="20"/>
              </w:rPr>
            </w:pPr>
          </w:p>
        </w:tc>
        <w:tc>
          <w:tcPr>
            <w:tcW w:w="0" w:type="auto"/>
            <w:tcBorders>
              <w:top w:val="nil"/>
              <w:left w:val="nil"/>
              <w:bottom w:val="nil"/>
              <w:right w:val="nil"/>
            </w:tcBorders>
            <w:textDirection w:val="lrTb"/>
            <w:vAlign w:val="center"/>
          </w:tcPr>
          <w:p w:rsidR="00F9065E" w:rsidRPr="0051019D" w:rsidP="00DA0D89">
            <w:pPr>
              <w:bidi w:val="0"/>
              <w:rPr>
                <w:rFonts w:ascii="Times New Roman" w:hAnsi="Times New Roman"/>
                <w:sz w:val="20"/>
                <w:szCs w:val="20"/>
              </w:rPr>
            </w:pPr>
          </w:p>
        </w:tc>
        <w:tc>
          <w:tcPr>
            <w:tcW w:w="0" w:type="auto"/>
            <w:tcBorders>
              <w:top w:val="nil"/>
              <w:left w:val="nil"/>
              <w:bottom w:val="nil"/>
              <w:right w:val="nil"/>
            </w:tcBorders>
            <w:textDirection w:val="lrTb"/>
            <w:vAlign w:val="center"/>
          </w:tcPr>
          <w:p w:rsidR="00F9065E" w:rsidRPr="0051019D" w:rsidP="00DA0D89">
            <w:pPr>
              <w:bidi w:val="0"/>
              <w:rPr>
                <w:rFonts w:ascii="Times New Roman" w:hAnsi="Times New Roman"/>
                <w:sz w:val="20"/>
                <w:szCs w:val="20"/>
              </w:rPr>
            </w:pPr>
          </w:p>
        </w:tc>
      </w:tr>
    </w:tbl>
    <w:p w:rsidR="00F9065E" w:rsidRPr="0051019D" w:rsidP="00F9065E">
      <w:pPr>
        <w:bidi w:val="0"/>
        <w:rPr>
          <w:rFonts w:ascii="Times New Roman" w:hAnsi="Times New Roman"/>
        </w:rPr>
      </w:pPr>
      <w:r w:rsidRPr="0051019D">
        <w:rPr>
          <w:rFonts w:ascii="Times New Roman" w:hAnsi="Times New Roman"/>
        </w:rPr>
        <w:t> </w:t>
      </w:r>
    </w:p>
    <w:p w:rsidR="00F9065E" w:rsidRPr="0051019D" w:rsidP="00F9065E">
      <w:pPr>
        <w:bidi w:val="0"/>
        <w:rPr>
          <w:rFonts w:ascii="Times New Roman" w:hAnsi="Times New Roman"/>
        </w:rPr>
      </w:pPr>
      <w:r w:rsidRPr="0051019D">
        <w:rPr>
          <w:rFonts w:ascii="Times New Roman" w:hAnsi="Times New Roman"/>
          <w:b/>
          <w:bCs/>
        </w:rPr>
        <w:t>Návrh na riešenie úbytku príjmov alebo zvýšených výdavkov podľa § 33 ods. 1 zákona č. 523/2004 Z. z. o rozpočtových pravidlách verejnej správy:</w:t>
      </w:r>
    </w:p>
    <w:p w:rsidR="00F9065E" w:rsidRPr="0051019D" w:rsidP="00F9065E">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51019D">
        <w:rPr>
          <w:rFonts w:ascii="Times New Roman" w:hAnsi="Times New Roman"/>
          <w:b/>
          <w:bCs/>
        </w:rPr>
        <w:t> </w:t>
      </w:r>
    </w:p>
    <w:p w:rsidR="00F9065E" w:rsidRPr="0051019D" w:rsidP="00F9065E">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51019D">
        <w:rPr>
          <w:rFonts w:ascii="Times New Roman" w:hAnsi="Times New Roman"/>
          <w:bCs/>
        </w:rPr>
        <w:t> Bez návrhu</w:t>
      </w:r>
    </w:p>
    <w:p w:rsidR="00F9065E" w:rsidRPr="0051019D" w:rsidP="00F9065E">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51019D">
        <w:rPr>
          <w:rFonts w:ascii="Times New Roman" w:hAnsi="Times New Roman"/>
          <w:b/>
          <w:bCs/>
        </w:rPr>
        <w:t> </w:t>
      </w:r>
    </w:p>
    <w:p w:rsidR="00F9065E" w:rsidRPr="0051019D" w:rsidP="00F9065E">
      <w:pPr>
        <w:bidi w:val="0"/>
        <w:rPr>
          <w:rFonts w:ascii="Times New Roman" w:hAnsi="Times New Roman"/>
        </w:rPr>
      </w:pPr>
      <w:r w:rsidRPr="0051019D">
        <w:rPr>
          <w:rFonts w:ascii="Times New Roman" w:hAnsi="Times New Roman"/>
          <w:b/>
          <w:bCs/>
        </w:rPr>
        <w:t>2.3. Popis a charakteristika návrhu</w:t>
      </w:r>
    </w:p>
    <w:p w:rsidR="00F9065E" w:rsidRPr="0051019D" w:rsidP="00F9065E">
      <w:pPr>
        <w:bidi w:val="0"/>
        <w:rPr>
          <w:rFonts w:ascii="Times New Roman" w:hAnsi="Times New Roman"/>
        </w:rPr>
      </w:pPr>
      <w:r w:rsidRPr="0051019D">
        <w:rPr>
          <w:rFonts w:ascii="Times New Roman" w:hAnsi="Times New Roman"/>
          <w:b/>
          <w:bCs/>
        </w:rPr>
        <w:t>2.3.1. Popis návrhu:</w:t>
      </w:r>
    </w:p>
    <w:p w:rsidR="00F9065E" w:rsidRPr="0051019D" w:rsidP="00F9065E">
      <w:pPr>
        <w:bidi w:val="0"/>
        <w:ind w:firstLine="708"/>
        <w:jc w:val="both"/>
        <w:rPr>
          <w:rFonts w:ascii="Times New Roman" w:hAnsi="Times New Roman"/>
          <w:color w:val="000000"/>
        </w:rPr>
      </w:pPr>
      <w:r w:rsidRPr="0051019D">
        <w:rPr>
          <w:rFonts w:ascii="Times New Roman" w:hAnsi="Times New Roman"/>
          <w:color w:val="000000"/>
        </w:rPr>
        <w:t>Nenavrhuje sa zvýšenie počtu zamestnancov.</w:t>
      </w:r>
    </w:p>
    <w:p w:rsidR="00F9065E" w:rsidRPr="0051019D" w:rsidP="00F9065E">
      <w:pPr>
        <w:bidi w:val="0"/>
        <w:rPr>
          <w:rFonts w:ascii="Times New Roman" w:hAnsi="Times New Roman"/>
        </w:rPr>
      </w:pPr>
      <w:r w:rsidRPr="0051019D">
        <w:rPr>
          <w:rFonts w:ascii="Times New Roman" w:hAnsi="Times New Roman"/>
          <w:b/>
          <w:bCs/>
        </w:rPr>
        <w:t>2.3.2. Charakteristika návrhu podľa bodu  2.3.2. Metodiky :</w:t>
      </w:r>
    </w:p>
    <w:p w:rsidR="00F9065E" w:rsidRPr="0051019D" w:rsidP="00F9065E">
      <w:pPr>
        <w:bidi w:val="0"/>
        <w:rPr>
          <w:rFonts w:ascii="Times New Roman" w:hAnsi="Times New Roman"/>
        </w:rPr>
      </w:pPr>
      <w:r w:rsidRPr="0051019D">
        <w:rPr>
          <w:rFonts w:ascii="Times New Roman" w:hAnsi="Times New Roman"/>
          <w:b/>
          <w:bCs/>
          <w:bdr w:val="single" w:sz="4" w:space="0" w:color="000000" w:frame="1"/>
        </w:rPr>
        <w:t xml:space="preserve">     </w:t>
      </w:r>
      <w:r w:rsidRPr="0051019D">
        <w:rPr>
          <w:rFonts w:ascii="Times New Roman" w:hAnsi="Times New Roman"/>
          <w:b/>
          <w:bCs/>
        </w:rPr>
        <w:t xml:space="preserve">  </w:t>
      </w:r>
      <w:r w:rsidRPr="0051019D">
        <w:rPr>
          <w:rFonts w:ascii="Times New Roman" w:hAnsi="Times New Roman"/>
        </w:rPr>
        <w:t>zmena sadzby</w:t>
      </w:r>
    </w:p>
    <w:p w:rsidR="00F9065E" w:rsidRPr="0051019D" w:rsidP="00F9065E">
      <w:pPr>
        <w:bidi w:val="0"/>
        <w:rPr>
          <w:rFonts w:ascii="Times New Roman" w:hAnsi="Times New Roman"/>
        </w:rPr>
      </w:pPr>
      <w:r w:rsidRPr="0051019D">
        <w:rPr>
          <w:rFonts w:ascii="Times New Roman" w:hAnsi="Times New Roman"/>
          <w:bdr w:val="single" w:sz="4" w:space="0" w:color="000000" w:frame="1"/>
        </w:rPr>
        <w:t xml:space="preserve">     </w:t>
      </w:r>
      <w:r w:rsidRPr="0051019D">
        <w:rPr>
          <w:rFonts w:ascii="Times New Roman" w:hAnsi="Times New Roman"/>
        </w:rPr>
        <w:t>  zmena v nároku</w:t>
      </w:r>
    </w:p>
    <w:p w:rsidR="00F9065E" w:rsidRPr="0051019D" w:rsidP="00F9065E">
      <w:pPr>
        <w:bidi w:val="0"/>
        <w:rPr>
          <w:rFonts w:ascii="Times New Roman" w:hAnsi="Times New Roman"/>
        </w:rPr>
      </w:pPr>
      <w:r w:rsidRPr="0051019D">
        <w:rPr>
          <w:rFonts w:ascii="Times New Roman" w:hAnsi="Times New Roman"/>
          <w:bdr w:val="single" w:sz="4" w:space="0" w:color="000000" w:frame="1"/>
        </w:rPr>
        <w:t xml:space="preserve">     </w:t>
      </w:r>
      <w:r w:rsidRPr="0051019D">
        <w:rPr>
          <w:rFonts w:ascii="Times New Roman" w:hAnsi="Times New Roman"/>
        </w:rPr>
        <w:t>  nová služba alebo nariadenie (alebo ich zrušenie)</w:t>
      </w:r>
    </w:p>
    <w:p w:rsidR="00F9065E" w:rsidRPr="0051019D" w:rsidP="00F9065E">
      <w:pPr>
        <w:bidi w:val="0"/>
        <w:rPr>
          <w:rFonts w:ascii="Times New Roman" w:hAnsi="Times New Roman"/>
        </w:rPr>
      </w:pPr>
      <w:r w:rsidRPr="0051019D">
        <w:rPr>
          <w:rFonts w:ascii="Times New Roman" w:hAnsi="Times New Roman"/>
          <w:bdr w:val="single" w:sz="4" w:space="0" w:color="000000" w:frame="1"/>
        </w:rPr>
        <w:t xml:space="preserve">     </w:t>
      </w:r>
      <w:r w:rsidRPr="0051019D">
        <w:rPr>
          <w:rFonts w:ascii="Times New Roman" w:hAnsi="Times New Roman"/>
        </w:rPr>
        <w:t>  kombinovaný návrh</w:t>
      </w:r>
    </w:p>
    <w:p w:rsidR="00F9065E" w:rsidRPr="0051019D" w:rsidP="00F9065E">
      <w:pPr>
        <w:bidi w:val="0"/>
        <w:rPr>
          <w:rFonts w:ascii="Times New Roman" w:hAnsi="Times New Roman"/>
        </w:rPr>
      </w:pPr>
      <w:r w:rsidRPr="0051019D">
        <w:rPr>
          <w:rFonts w:ascii="Times New Roman" w:hAnsi="Times New Roman"/>
          <w:bdr w:val="single" w:sz="4" w:space="0" w:color="000000" w:frame="1"/>
        </w:rPr>
        <w:t xml:space="preserve"> x  </w:t>
      </w:r>
      <w:r w:rsidRPr="0051019D">
        <w:rPr>
          <w:rFonts w:ascii="Times New Roman" w:hAnsi="Times New Roman"/>
        </w:rPr>
        <w:t xml:space="preserve">  iné </w:t>
      </w:r>
    </w:p>
    <w:p w:rsidR="00F9065E" w:rsidRPr="0051019D" w:rsidP="00F9065E">
      <w:pPr>
        <w:bidi w:val="0"/>
        <w:rPr>
          <w:rFonts w:ascii="Times New Roman" w:hAnsi="Times New Roman"/>
        </w:rPr>
      </w:pPr>
      <w:r w:rsidRPr="0051019D">
        <w:rPr>
          <w:rFonts w:ascii="Times New Roman" w:hAnsi="Times New Roman"/>
        </w:rPr>
        <w:t> </w:t>
      </w:r>
      <w:r w:rsidRPr="0051019D">
        <w:rPr>
          <w:rFonts w:ascii="Times New Roman" w:hAnsi="Times New Roman"/>
          <w:b/>
          <w:bCs/>
        </w:rPr>
        <w:t>2.3.3. Predpoklady vývoja objemu aktivít:</w:t>
      </w:r>
    </w:p>
    <w:p w:rsidR="00F9065E" w:rsidP="00F9065E">
      <w:pPr>
        <w:bidi w:val="0"/>
        <w:rPr>
          <w:rFonts w:ascii="Times New Roman" w:hAnsi="Times New Roman"/>
        </w:rPr>
      </w:pPr>
      <w:r w:rsidRPr="0051019D">
        <w:rPr>
          <w:rFonts w:ascii="Times New Roman" w:hAnsi="Times New Roman"/>
        </w:rPr>
        <w:t> Jasne popíšte, v prípade potreby použite nižšie uvedenú tabuľku. Uveďte aj odhady základov daní a/alebo poplatkov, ak sa ich táto zmena týka.</w:t>
      </w:r>
    </w:p>
    <w:p w:rsidR="00F9065E" w:rsidP="00F9065E">
      <w:pPr>
        <w:bidi w:val="0"/>
        <w:rPr>
          <w:rFonts w:ascii="Times New Roman" w:hAnsi="Times New Roman"/>
        </w:rPr>
      </w:pPr>
    </w:p>
    <w:p w:rsidR="00F9065E" w:rsidRPr="0051019D" w:rsidP="00F9065E">
      <w:pPr>
        <w:bidi w:val="0"/>
        <w:rPr>
          <w:rFonts w:ascii="Times New Roman" w:hAnsi="Times New Roman"/>
        </w:rPr>
      </w:pPr>
    </w:p>
    <w:p w:rsidR="00F9065E" w:rsidRPr="0051019D" w:rsidP="00F9065E">
      <w:pPr>
        <w:bidi w:val="0"/>
        <w:jc w:val="right"/>
        <w:rPr>
          <w:rFonts w:ascii="Times New Roman" w:hAnsi="Times New Roman"/>
        </w:rPr>
      </w:pPr>
      <w:r w:rsidRPr="0051019D">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F9065E" w:rsidRPr="0051019D" w:rsidP="00DA0D89">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F9065E" w:rsidRPr="0051019D" w:rsidP="00DA0D89">
            <w:pPr>
              <w:bidi w:val="0"/>
              <w:spacing w:line="70" w:lineRule="atLeast"/>
              <w:jc w:val="center"/>
              <w:rPr>
                <w:rFonts w:ascii="Times New Roman" w:hAnsi="Times New Roman"/>
              </w:rPr>
            </w:pPr>
            <w:r w:rsidRPr="0051019D">
              <w:rPr>
                <w:rFonts w:ascii="Times New Roman" w:hAnsi="Times New Roman"/>
                <w:b/>
                <w:bCs/>
                <w:color w:val="FFFFFF"/>
              </w:rPr>
              <w:t>2015</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rPr>
                <w:rFonts w:ascii="Times New Roman" w:hAnsi="Times New Roman"/>
              </w:rPr>
            </w:pPr>
            <w:r w:rsidRPr="0051019D">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color w:val="000000"/>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rPr>
                <w:rFonts w:ascii="Times New Roman" w:hAnsi="Times New Roman"/>
              </w:rPr>
            </w:pPr>
            <w:r w:rsidRPr="0051019D">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rPr>
                <w:rFonts w:ascii="Times New Roman" w:hAnsi="Times New Roman"/>
              </w:rPr>
            </w:pPr>
            <w:r w:rsidRPr="0051019D">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F9065E" w:rsidRPr="0051019D" w:rsidP="00DA0D89">
            <w:pPr>
              <w:bidi w:val="0"/>
              <w:spacing w:line="70" w:lineRule="atLeast"/>
              <w:jc w:val="center"/>
              <w:rPr>
                <w:rFonts w:ascii="Times New Roman" w:hAnsi="Times New Roman"/>
              </w:rPr>
            </w:pPr>
            <w:r w:rsidRPr="0051019D">
              <w:rPr>
                <w:rFonts w:ascii="Times New Roman" w:hAnsi="Times New Roman"/>
              </w:rPr>
              <w:t>-</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134"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134"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134"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c>
          <w:tcPr>
            <w:tcW w:w="1134" w:type="dxa"/>
            <w:tcBorders>
              <w:top w:val="nil"/>
              <w:left w:val="nil"/>
              <w:bottom w:val="nil"/>
              <w:right w:val="nil"/>
            </w:tcBorders>
            <w:textDirection w:val="lrTb"/>
            <w:vAlign w:val="center"/>
          </w:tcPr>
          <w:p w:rsidR="00F9065E" w:rsidRPr="0051019D" w:rsidP="00DA0D89">
            <w:pPr>
              <w:bidi w:val="0"/>
              <w:rPr>
                <w:rFonts w:ascii="Times New Roman" w:hAnsi="Times New Roman"/>
                <w:sz w:val="2"/>
              </w:rPr>
            </w:pPr>
          </w:p>
        </w:tc>
      </w:tr>
    </w:tbl>
    <w:p w:rsidR="00F9065E" w:rsidRPr="0051019D" w:rsidP="00F9065E">
      <w:pPr>
        <w:bidi w:val="0"/>
        <w:rPr>
          <w:rFonts w:ascii="Times New Roman" w:hAnsi="Times New Roman"/>
        </w:rPr>
      </w:pPr>
      <w:r w:rsidRPr="0051019D">
        <w:rPr>
          <w:rFonts w:ascii="Times New Roman" w:hAnsi="Times New Roman"/>
        </w:rPr>
        <w:t> </w:t>
      </w:r>
    </w:p>
    <w:p w:rsidR="00F9065E" w:rsidRPr="0051019D" w:rsidP="00F9065E">
      <w:pPr>
        <w:bidi w:val="0"/>
        <w:rPr>
          <w:rFonts w:ascii="Times New Roman" w:hAnsi="Times New Roman"/>
        </w:rPr>
      </w:pPr>
      <w:r w:rsidRPr="0051019D">
        <w:rPr>
          <w:rFonts w:ascii="Times New Roman" w:hAnsi="Times New Roman"/>
        </w:rPr>
        <w:t> </w:t>
      </w:r>
      <w:r w:rsidRPr="0051019D">
        <w:rPr>
          <w:rFonts w:ascii="Times New Roman" w:hAnsi="Times New Roman"/>
          <w:b/>
          <w:bCs/>
        </w:rPr>
        <w:t>2.3.4. Výpočty vplyvov na verejné financie</w:t>
      </w:r>
    </w:p>
    <w:p w:rsidR="00F9065E" w:rsidRPr="0051019D" w:rsidP="00F9065E">
      <w:pPr>
        <w:bidi w:val="0"/>
        <w:rPr>
          <w:rFonts w:ascii="Times New Roman" w:hAnsi="Times New Roman"/>
        </w:rPr>
      </w:pPr>
      <w:r w:rsidRPr="0051019D">
        <w:rPr>
          <w:rFonts w:ascii="Times New Roman" w:hAnsi="Times New Roman"/>
        </w:rPr>
        <w:t> </w:t>
        <w:tab/>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9065E" w:rsidRPr="0051019D" w:rsidP="00F9065E">
      <w:pPr>
        <w:bidi w:val="0"/>
        <w:rPr>
          <w:rFonts w:ascii="Times New Roman" w:hAnsi="Times New Roman"/>
        </w:rPr>
      </w:pPr>
      <w:r w:rsidRPr="0051019D">
        <w:rPr>
          <w:rFonts w:ascii="Times New Roman" w:hAnsi="Times New Roman"/>
        </w:rPr>
        <w:t>Odhad príjmov vychádza z konzervatívneho odhadu ceny emisných kvót určovaných na dražbe. Predpokladá cena je v priemere 7 EUR/ tona.</w:t>
      </w:r>
    </w:p>
    <w:p w:rsidR="00F9065E" w:rsidRPr="00DC04BD" w:rsidP="00F9065E">
      <w:pPr>
        <w:bidi w:val="0"/>
        <w:jc w:val="both"/>
        <w:rPr>
          <w:rFonts w:ascii="Times New Roman" w:hAnsi="Times New Roman"/>
          <w:color w:val="000000"/>
        </w:rPr>
      </w:pPr>
    </w:p>
    <w:p w:rsidR="00F9065E" w:rsidRPr="00DC04BD" w:rsidP="00F9065E">
      <w:pPr>
        <w:bidi w:val="0"/>
        <w:jc w:val="both"/>
        <w:rPr>
          <w:rFonts w:ascii="Times New Roman" w:hAnsi="Times New Roman"/>
          <w:color w:val="000000"/>
        </w:rPr>
      </w:pPr>
    </w:p>
    <w:p w:rsidR="00F9065E" w:rsidRPr="00DC04BD" w:rsidP="00F9065E">
      <w:pPr>
        <w:widowControl/>
        <w:bidi w:val="0"/>
        <w:jc w:val="center"/>
        <w:rPr>
          <w:rFonts w:ascii="Times New Roman" w:hAnsi="Times New Roman"/>
          <w:color w:val="000000"/>
        </w:rPr>
      </w:pPr>
      <w:r w:rsidRPr="00DC04BD">
        <w:rPr>
          <w:rFonts w:ascii="Times New Roman" w:hAnsi="Times New Roman"/>
          <w:b/>
          <w:color w:val="000000"/>
        </w:rPr>
        <w:t>Vplyvy na informatizáciu spoločnosti</w:t>
      </w:r>
    </w:p>
    <w:p w:rsidR="00F9065E" w:rsidRPr="00DC04BD" w:rsidP="00F9065E">
      <w:pPr>
        <w:widowControl/>
        <w:bidi w:val="0"/>
        <w:jc w:val="both"/>
        <w:rPr>
          <w:rFonts w:ascii="Times New Roman" w:hAnsi="Times New Roman"/>
          <w:color w:val="000000"/>
        </w:rPr>
      </w:pPr>
      <w:r w:rsidRPr="00DC04BD">
        <w:rPr>
          <w:rFonts w:ascii="Times New Roman" w:hAnsi="Times New Roman"/>
          <w:color w:val="000000"/>
        </w:rPr>
        <w:t> </w:t>
      </w: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B969C9" w:rsidP="00DA0D89">
            <w:pPr>
              <w:widowControl/>
              <w:bidi w:val="0"/>
              <w:jc w:val="both"/>
              <w:rPr>
                <w:rFonts w:ascii="Times New Roman" w:hAnsi="Times New Roman"/>
                <w:color w:val="FFFFFF"/>
              </w:rPr>
            </w:pPr>
            <w:r w:rsidRPr="00B969C9">
              <w:rPr>
                <w:rFonts w:ascii="Times New Roman" w:hAnsi="Times New Roman"/>
                <w:b/>
                <w:color w:val="FFFFFF"/>
              </w:rPr>
              <w:t>Budovanie základných pilierov informatizácie</w:t>
            </w:r>
          </w:p>
        </w:tc>
        <w:tc>
          <w:tcPr>
            <w:tcW w:w="3780" w:type="dxa"/>
            <w:tcBorders>
              <w:top w:val="single" w:sz="8" w:space="0" w:color="auto"/>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Obsah</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6.1.</w:t>
            </w:r>
            <w:r w:rsidRPr="00DC04BD">
              <w:rPr>
                <w:rFonts w:ascii="Times New Roman" w:hAnsi="Times New Roman"/>
                <w:color w:val="000000"/>
              </w:rPr>
              <w:t xml:space="preserve"> Rozširujú alebo inovujú  sa existujúce alebo vytvárajú sa či zavádzajú  sa nové elektronické služby?</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(Popíšte ich funkciu a úroveň poskytovania.)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xml:space="preserve">Zverejňujú sa informácie o zozname prevádzok oprávnených na prideľovanie bezodplatných kvót ako aj každé individuálne predbežné a konečné  ročné množstvo kvót. Zároveň sa upravuje povinnosť elektronického podávania emisných správ skleníkových plynov ministerstvu. </w:t>
            </w:r>
          </w:p>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6.2.</w:t>
            </w:r>
            <w:r w:rsidRPr="00DC04BD">
              <w:rPr>
                <w:rFonts w:ascii="Times New Roman" w:hAnsi="Times New Roman"/>
                <w:color w:val="000000"/>
              </w:rPr>
              <w:t xml:space="preserve"> Vytvárajú sa podmienky pre sémantickú interoperabilitu?</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(Popíšte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Ľudia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6.3.</w:t>
            </w:r>
            <w:r w:rsidRPr="00DC04BD">
              <w:rPr>
                <w:rFonts w:ascii="Times New Roman" w:hAnsi="Times New Roman"/>
                <w:color w:val="000000"/>
              </w:rPr>
              <w:t xml:space="preserve"> Zabezpečuje sa vzdelávanie v oblasti počítačovej gramotnosti a rozširovanie vedomostí o IKT?</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spôsob, napr. projekty, školenia.)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center"/>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6.4.</w:t>
            </w:r>
            <w:r w:rsidRPr="00DC04BD">
              <w:rPr>
                <w:rFonts w:ascii="Times New Roman" w:hAnsi="Times New Roman"/>
                <w:color w:val="000000"/>
              </w:rPr>
              <w:t xml:space="preserve"> Zabezpečuje sa rozvoj elektronického vzdelávania?</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typ a spôsob zabezpečenia vzdelávacích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6.5.</w:t>
            </w:r>
            <w:r w:rsidRPr="00DC04BD">
              <w:rPr>
                <w:rFonts w:ascii="Times New Roman" w:hAnsi="Times New Roman"/>
                <w:color w:val="000000"/>
              </w:rPr>
              <w:t xml:space="preserve"> Zabezpečuje sa podporná a propagačná aktivita zameraná na zvyšovanie povedomia o informatizácii a IKT?</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typ a spôsob zabezpečenia propagačných aktivít.)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6.6.</w:t>
            </w:r>
            <w:r w:rsidRPr="00DC04BD">
              <w:rPr>
                <w:rFonts w:ascii="Times New Roman" w:hAnsi="Times New Roman"/>
                <w:color w:val="000000"/>
              </w:rPr>
              <w:t xml:space="preserve"> Zabezpečuje/zohľadňuje/zlepšuje sa prístup znevýhodnených osôb k službám informačnej spoločnosti?</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spôsob sprístupnenia digitálneho prostredia.)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Infraštruktúra</w:t>
            </w:r>
          </w:p>
        </w:tc>
        <w:tc>
          <w:tcPr>
            <w:tcW w:w="3780" w:type="dxa"/>
            <w:tcBorders>
              <w:top w:val="outset" w:sz="6" w:space="0" w:color="D4D0C8"/>
              <w:left w:val="outset" w:sz="6" w:space="0" w:color="D4D0C8"/>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6.7.</w:t>
            </w:r>
            <w:r w:rsidRPr="00DC04BD">
              <w:rPr>
                <w:rFonts w:ascii="Times New Roman" w:hAnsi="Times New Roman"/>
                <w:color w:val="000000"/>
              </w:rPr>
              <w:t xml:space="preserve"> Rozširuje, inovuje, vytvára alebo zavádza sa nový informačný systém?</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jeho funkciu.)</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6.8.</w:t>
            </w:r>
            <w:r w:rsidRPr="00DC04BD">
              <w:rPr>
                <w:rFonts w:ascii="Times New Roman" w:hAnsi="Times New Roman"/>
                <w:color w:val="000000"/>
              </w:rPr>
              <w:t xml:space="preserve"> Rozširuje sa prístupnosť k internetu?</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b/>
                <w:color w:val="000000"/>
              </w:rPr>
              <w:t>6.9.</w:t>
            </w:r>
            <w:r w:rsidRPr="00DC04BD">
              <w:rPr>
                <w:rFonts w:ascii="Times New Roman" w:hAnsi="Times New Roman"/>
                <w:color w:val="000000"/>
              </w:rPr>
              <w:t xml:space="preserve"> Rozširuje sa prístupnosť k elektronickým službám?</w:t>
            </w:r>
          </w:p>
          <w:p w:rsidR="00F9065E" w:rsidRPr="00DC04BD" w:rsidP="00DA0D89">
            <w:pPr>
              <w:widowControl/>
              <w:bidi w:val="0"/>
              <w:rPr>
                <w:rFonts w:ascii="Times New Roman" w:hAnsi="Times New Roman"/>
                <w:color w:val="000000"/>
              </w:rPr>
            </w:pPr>
            <w:r w:rsidRPr="00DC04BD">
              <w:rPr>
                <w:rFonts w:ascii="Times New Roman" w:hAnsi="Times New Roman"/>
                <w:i/>
                <w:color w:val="000000"/>
              </w:rPr>
              <w:t>(Uveďte spôsob rozširovania prístupnosti.)</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6.10.</w:t>
            </w:r>
            <w:r w:rsidRPr="00DC04BD">
              <w:rPr>
                <w:rFonts w:ascii="Times New Roman" w:hAnsi="Times New Roman"/>
                <w:color w:val="000000"/>
              </w:rPr>
              <w:t xml:space="preserve"> Zabezpečuje sa technická interoperabilita?</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spôsob jej zabezpečenia.)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6.11.</w:t>
            </w:r>
            <w:r w:rsidRPr="00DC04BD">
              <w:rPr>
                <w:rFonts w:ascii="Times New Roman" w:hAnsi="Times New Roman"/>
                <w:color w:val="000000"/>
              </w:rPr>
              <w:t xml:space="preserve"> Zvyšuje sa bezpečnosť IT?</w:t>
            </w:r>
          </w:p>
          <w:p w:rsidR="00F9065E" w:rsidRPr="00DC04BD" w:rsidP="00DA0D89">
            <w:pPr>
              <w:widowControl/>
              <w:bidi w:val="0"/>
              <w:jc w:val="both"/>
              <w:rPr>
                <w:rFonts w:ascii="Times New Roman" w:hAnsi="Times New Roman"/>
                <w:color w:val="000000"/>
              </w:rPr>
            </w:pPr>
            <w:r w:rsidRPr="00DC04BD">
              <w:rPr>
                <w:rFonts w:ascii="Times New Roman" w:hAnsi="Times New Roman"/>
                <w:color w:val="000000"/>
              </w:rPr>
              <w:t>(</w:t>
            </w:r>
            <w:r w:rsidRPr="00DC04BD">
              <w:rPr>
                <w:rFonts w:ascii="Times New Roman" w:hAnsi="Times New Roman"/>
                <w:i/>
                <w:color w:val="000000"/>
              </w:rPr>
              <w:t>Uveďte spôsob zvýšenia bezpečnosti a ochrany IT.)</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6.12.</w:t>
            </w:r>
            <w:r w:rsidRPr="00DC04BD">
              <w:rPr>
                <w:rFonts w:ascii="Times New Roman" w:hAnsi="Times New Roman"/>
                <w:color w:val="000000"/>
              </w:rPr>
              <w:t xml:space="preserve"> Rozširuje sa technická infraštruktúra?</w:t>
            </w:r>
          </w:p>
          <w:p w:rsidR="00F9065E" w:rsidRPr="00DC04BD" w:rsidP="00DA0D89">
            <w:pPr>
              <w:widowControl/>
              <w:bidi w:val="0"/>
              <w:jc w:val="both"/>
              <w:rPr>
                <w:rFonts w:ascii="Times New Roman" w:hAnsi="Times New Roman"/>
                <w:color w:val="000000"/>
              </w:rPr>
            </w:pPr>
            <w:r w:rsidRPr="00DC04BD">
              <w:rPr>
                <w:rFonts w:ascii="Times New Roman" w:hAnsi="Times New Roman"/>
                <w:color w:val="000000"/>
              </w:rPr>
              <w:t>(</w:t>
            </w:r>
            <w:r w:rsidRPr="00DC04BD">
              <w:rPr>
                <w:rFonts w:ascii="Times New Roman" w:hAnsi="Times New Roman"/>
                <w:i/>
                <w:color w:val="000000"/>
              </w:rPr>
              <w:t>Uveďte stručný popis zavádzanej infraštruktúry.)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B969C9" w:rsidP="00DA0D89">
            <w:pPr>
              <w:widowControl/>
              <w:bidi w:val="0"/>
              <w:rPr>
                <w:rFonts w:ascii="Times New Roman" w:hAnsi="Times New Roman"/>
                <w:color w:val="FFFFFF"/>
              </w:rPr>
            </w:pPr>
            <w:r w:rsidRPr="00B969C9">
              <w:rPr>
                <w:rFonts w:ascii="Times New Roman" w:hAnsi="Times New Roman"/>
                <w:b/>
                <w:color w:val="FFFFFF"/>
              </w:rPr>
              <w:t>Riadenie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DC04BD" w:rsidP="00DA0D89">
            <w:pPr>
              <w:widowControl/>
              <w:bidi w:val="0"/>
              <w:jc w:val="center"/>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jc w:val="both"/>
              <w:rPr>
                <w:rFonts w:ascii="Times New Roman" w:hAnsi="Times New Roman"/>
                <w:color w:val="000000"/>
              </w:rPr>
            </w:pPr>
            <w:r w:rsidRPr="00DC04BD">
              <w:rPr>
                <w:rFonts w:ascii="Times New Roman" w:hAnsi="Times New Roman"/>
                <w:b/>
                <w:color w:val="000000"/>
              </w:rPr>
              <w:t>6.13.</w:t>
            </w:r>
            <w:r w:rsidRPr="00DC04BD">
              <w:rPr>
                <w:rFonts w:ascii="Times New Roman" w:hAnsi="Times New Roman"/>
                <w:color w:val="000000"/>
              </w:rPr>
              <w:t xml:space="preserve"> Predpokladajú sa zmeny v riadení procesu informatizácie?</w:t>
            </w:r>
          </w:p>
          <w:p w:rsidR="00F9065E" w:rsidRPr="00DC04BD" w:rsidP="00DA0D89">
            <w:pPr>
              <w:widowControl/>
              <w:bidi w:val="0"/>
              <w:jc w:val="both"/>
              <w:rPr>
                <w:rFonts w:ascii="Times New Roman" w:hAnsi="Times New Roman"/>
                <w:color w:val="000000"/>
              </w:rPr>
            </w:pPr>
            <w:r w:rsidRPr="00DC04BD">
              <w:rPr>
                <w:rFonts w:ascii="Times New Roman" w:hAnsi="Times New Roman"/>
                <w:i/>
                <w:color w:val="000000"/>
              </w:rPr>
              <w:t>(Uveďte popis zmien.)</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B969C9" w:rsidP="00DA0D89">
            <w:pPr>
              <w:widowControl/>
              <w:bidi w:val="0"/>
              <w:jc w:val="both"/>
              <w:rPr>
                <w:rFonts w:ascii="Times New Roman" w:hAnsi="Times New Roman"/>
                <w:color w:val="FFFFFF"/>
              </w:rPr>
            </w:pPr>
            <w:r w:rsidRPr="00B969C9">
              <w:rPr>
                <w:rFonts w:ascii="Times New Roman" w:hAnsi="Times New Roman"/>
                <w:b/>
                <w:color w:val="FFFFFF"/>
              </w:rPr>
              <w:t>Financovanie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b/>
                <w:color w:val="000000"/>
              </w:rPr>
              <w:t>6.14.</w:t>
            </w:r>
            <w:r w:rsidRPr="00DC04BD">
              <w:rPr>
                <w:rFonts w:ascii="Times New Roman" w:hAnsi="Times New Roman"/>
                <w:color w:val="000000"/>
              </w:rPr>
              <w:t xml:space="preserve"> Vyžaduje si proces informatizácie  finančné investície?</w:t>
            </w:r>
          </w:p>
          <w:p w:rsidR="00F9065E" w:rsidRPr="00DC04BD" w:rsidP="00DA0D89">
            <w:pPr>
              <w:widowControl/>
              <w:bidi w:val="0"/>
              <w:rPr>
                <w:rFonts w:ascii="Times New Roman" w:hAnsi="Times New Roman"/>
                <w:color w:val="000000"/>
              </w:rPr>
            </w:pPr>
            <w:r w:rsidRPr="00DC04BD">
              <w:rPr>
                <w:rFonts w:ascii="Times New Roman" w:hAnsi="Times New Roman"/>
                <w:i/>
                <w:color w:val="000000"/>
              </w:rPr>
              <w:t>(Popíšte príslušnú úroveň financovania.)</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B969C9" w:rsidP="00DA0D89">
            <w:pPr>
              <w:widowControl/>
              <w:bidi w:val="0"/>
              <w:jc w:val="both"/>
              <w:rPr>
                <w:rFonts w:ascii="Times New Roman" w:hAnsi="Times New Roman"/>
                <w:color w:val="FFFFFF"/>
              </w:rPr>
            </w:pPr>
            <w:r w:rsidRPr="00B969C9">
              <w:rPr>
                <w:rFonts w:ascii="Times New Roman" w:hAnsi="Times New Roman"/>
                <w:b/>
                <w:color w:val="FFFFFF"/>
              </w:rPr>
              <w:t>Legislatívne prostredie procesu informatizácie</w:t>
            </w:r>
          </w:p>
        </w:tc>
        <w:tc>
          <w:tcPr>
            <w:tcW w:w="3780" w:type="dxa"/>
            <w:tcBorders>
              <w:top w:val="outset" w:sz="6" w:space="0" w:color="D4D0C8"/>
              <w:left w:val="outset" w:sz="6" w:space="0" w:color="D4D0C8"/>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D4D0C8"/>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b/>
                <w:color w:val="000000"/>
              </w:rPr>
              <w:t>6.15.</w:t>
            </w:r>
            <w:r w:rsidRPr="00DC04BD">
              <w:rPr>
                <w:rFonts w:ascii="Times New Roman" w:hAnsi="Times New Roman"/>
                <w:color w:val="000000"/>
              </w:rPr>
              <w:t xml:space="preserve"> Predpokladá nelegislatívny materiál potrebu úpravy legislatívneho prostredia  procesu informatizácie?</w:t>
            </w:r>
          </w:p>
          <w:p w:rsidR="00F9065E" w:rsidRPr="00DC04BD" w:rsidP="00DA0D89">
            <w:pPr>
              <w:widowControl/>
              <w:bidi w:val="0"/>
              <w:rPr>
                <w:rFonts w:ascii="Times New Roman" w:hAnsi="Times New Roman"/>
                <w:color w:val="000000"/>
              </w:rPr>
            </w:pPr>
            <w:r w:rsidRPr="00DC04BD">
              <w:rPr>
                <w:rFonts w:ascii="Times New Roman" w:hAnsi="Times New Roman"/>
                <w:i/>
                <w:color w:val="000000"/>
              </w:rPr>
              <w:t>(Stručne popíšte navrhované legislatívne zmeny.)</w:t>
            </w:r>
          </w:p>
        </w:tc>
        <w:tc>
          <w:tcPr>
            <w:tcW w:w="3780" w:type="dxa"/>
            <w:tcBorders>
              <w:top w:val="outset" w:sz="6" w:space="0" w:color="D4D0C8"/>
              <w:left w:val="outset" w:sz="6" w:space="0" w:color="D4D0C8"/>
              <w:bottom w:val="single" w:sz="8" w:space="0" w:color="auto"/>
              <w:right w:val="single" w:sz="8" w:space="0" w:color="auto"/>
            </w:tcBorders>
            <w:tcMar>
              <w:top w:w="28" w:type="dxa"/>
              <w:left w:w="70" w:type="dxa"/>
              <w:bottom w:w="28" w:type="dxa"/>
              <w:right w:w="70" w:type="dxa"/>
            </w:tcMar>
            <w:textDirection w:val="lrTb"/>
            <w:vAlign w:val="top"/>
          </w:tcPr>
          <w:p w:rsidR="00F9065E" w:rsidRPr="00DC04BD" w:rsidP="00DA0D89">
            <w:pPr>
              <w:widowControl/>
              <w:bidi w:val="0"/>
              <w:rPr>
                <w:rFonts w:ascii="Times New Roman" w:hAnsi="Times New Roman"/>
                <w:color w:val="000000"/>
              </w:rPr>
            </w:pPr>
            <w:r w:rsidRPr="00DC04BD">
              <w:rPr>
                <w:rFonts w:ascii="Times New Roman" w:hAnsi="Times New Roman"/>
                <w:i/>
                <w:color w:val="000000"/>
              </w:rPr>
              <w:t>Nie</w:t>
            </w:r>
          </w:p>
        </w:tc>
      </w:tr>
    </w:tbl>
    <w:p w:rsidR="00F9065E" w:rsidRPr="00DC04BD" w:rsidP="00F9065E">
      <w:pPr>
        <w:widowControl/>
        <w:bidi w:val="0"/>
        <w:rPr>
          <w:rFonts w:ascii="Times New Roman" w:hAnsi="Times New Roman"/>
          <w:color w:val="000000"/>
        </w:rPr>
      </w:pPr>
      <w:r w:rsidRPr="00DC04BD">
        <w:rPr>
          <w:rFonts w:ascii="Times New Roman" w:hAnsi="Times New Roman"/>
          <w:color w:val="000000"/>
        </w:rPr>
        <w:t> </w:t>
      </w:r>
    </w:p>
    <w:p w:rsidR="00F9065E" w:rsidRPr="00F9065E" w:rsidP="00F9065E">
      <w:pPr>
        <w:widowControl/>
        <w:bidi w:val="0"/>
        <w:spacing w:after="280" w:afterAutospacing="1"/>
        <w:rPr>
          <w:rFonts w:ascii="Times New Roman" w:hAnsi="Times New Roman"/>
          <w:color w:val="000000"/>
        </w:rPr>
      </w:pPr>
      <w:r w:rsidRPr="00DC04BD">
        <w:rPr>
          <w:rFonts w:ascii="Times New Roman" w:hAnsi="Times New Roman"/>
          <w:color w:val="000000"/>
        </w:rPr>
        <w:t> </w:t>
      </w:r>
    </w:p>
    <w:p w:rsidR="00F9065E" w:rsidRPr="00DC04BD" w:rsidP="00F9065E">
      <w:pPr>
        <w:shd w:val="clear" w:color="auto" w:fill="FFFFFF"/>
        <w:autoSpaceDE w:val="0"/>
        <w:autoSpaceDN w:val="0"/>
        <w:bidi w:val="0"/>
        <w:spacing w:before="410"/>
        <w:ind w:right="79"/>
        <w:jc w:val="center"/>
        <w:rPr>
          <w:rFonts w:ascii="Times New Roman" w:hAnsi="Times New Roman"/>
        </w:rPr>
      </w:pPr>
      <w:r w:rsidRPr="00DC04BD">
        <w:rPr>
          <w:rFonts w:ascii="Times New Roman" w:hAnsi="Times New Roman"/>
          <w:b/>
          <w:bCs/>
          <w:spacing w:val="-7"/>
        </w:rPr>
        <w:t>Vplyvy na podnikateľské prostredie</w:t>
      </w:r>
    </w:p>
    <w:p w:rsidR="00F9065E" w:rsidRPr="00DC04BD" w:rsidP="00F9065E">
      <w:pPr>
        <w:autoSpaceDE w:val="0"/>
        <w:autoSpaceDN w:val="0"/>
        <w:bidi w:val="0"/>
        <w:spacing w:after="583" w:line="1" w:lineRule="exact"/>
        <w:rPr>
          <w:rFonts w:ascii="Times New Roman" w:hAnsi="Times New Roman"/>
        </w:rPr>
      </w:pPr>
    </w:p>
    <w:tbl>
      <w:tblPr>
        <w:tblStyle w:val="TableNormal"/>
        <w:tblW w:w="0" w:type="auto"/>
        <w:tblInd w:w="40" w:type="dxa"/>
        <w:tblLayout w:type="fixed"/>
        <w:tblCellMar>
          <w:left w:w="40" w:type="dxa"/>
          <w:right w:w="40" w:type="dxa"/>
        </w:tblCellMar>
      </w:tblPr>
      <w:tblGrid>
        <w:gridCol w:w="4025"/>
        <w:gridCol w:w="4846"/>
      </w:tblGrid>
      <w:tr>
        <w:tblPrEx>
          <w:tblW w:w="0" w:type="auto"/>
          <w:tblInd w:w="40" w:type="dxa"/>
          <w:tblLayout w:type="fixed"/>
          <w:tblCellMar>
            <w:left w:w="40" w:type="dxa"/>
            <w:right w:w="40" w:type="dxa"/>
          </w:tblCellMar>
        </w:tblPrEx>
        <w:trPr>
          <w:trHeight w:hRule="exact" w:val="583"/>
        </w:trPr>
        <w:tc>
          <w:tcPr>
            <w:tcW w:w="8871" w:type="dxa"/>
            <w:gridSpan w:val="2"/>
            <w:tcBorders>
              <w:top w:val="nil"/>
              <w:left w:val="nil"/>
              <w:bottom w:val="nil"/>
              <w:right w:val="single" w:sz="6" w:space="0" w:color="auto"/>
            </w:tcBorders>
            <w:shd w:val="clear" w:color="auto" w:fill="000000"/>
            <w:textDirection w:val="lrTb"/>
            <w:vAlign w:val="top"/>
          </w:tcPr>
          <w:p w:rsidR="00F9065E" w:rsidRPr="00DC04BD" w:rsidP="00DA0D89">
            <w:pPr>
              <w:shd w:val="clear" w:color="auto" w:fill="000000"/>
              <w:autoSpaceDE w:val="0"/>
              <w:autoSpaceDN w:val="0"/>
              <w:bidi w:val="0"/>
              <w:ind w:left="2570"/>
              <w:rPr>
                <w:rFonts w:ascii="Times New Roman" w:hAnsi="Times New Roman"/>
              </w:rPr>
            </w:pPr>
            <w:r w:rsidRPr="00DC04BD">
              <w:rPr>
                <w:rFonts w:ascii="Times New Roman" w:hAnsi="Times New Roman"/>
                <w:color w:val="FFFFFF"/>
              </w:rPr>
              <w:t>Vplyvy na podnikateľské prostredie</w:t>
            </w:r>
          </w:p>
        </w:tc>
      </w:tr>
      <w:tr>
        <w:tblPrEx>
          <w:tblW w:w="0" w:type="auto"/>
          <w:tblInd w:w="40" w:type="dxa"/>
          <w:tblLayout w:type="fixed"/>
          <w:tblCellMar>
            <w:left w:w="40" w:type="dxa"/>
            <w:right w:w="40" w:type="dxa"/>
          </w:tblCellMar>
        </w:tblPrEx>
        <w:trPr>
          <w:trHeight w:hRule="exact" w:val="1412"/>
        </w:trPr>
        <w:tc>
          <w:tcPr>
            <w:tcW w:w="4025" w:type="dxa"/>
            <w:tcBorders>
              <w:top w:val="nil"/>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spacing w:line="266" w:lineRule="exact"/>
              <w:rPr>
                <w:rFonts w:ascii="Times New Roman" w:hAnsi="Times New Roman"/>
              </w:rPr>
            </w:pPr>
            <w:r w:rsidRPr="00DC04BD">
              <w:rPr>
                <w:rFonts w:ascii="Times New Roman" w:hAnsi="Times New Roman"/>
                <w:color w:val="000000"/>
                <w:spacing w:val="-1"/>
              </w:rPr>
              <w:t xml:space="preserve">3.1. Ktoré podnikateľské subjekty budú </w:t>
            </w:r>
            <w:r w:rsidRPr="00DC04BD">
              <w:rPr>
                <w:rFonts w:ascii="Times New Roman" w:hAnsi="Times New Roman"/>
                <w:color w:val="000000"/>
                <w:spacing w:val="-3"/>
              </w:rPr>
              <w:t xml:space="preserve">predkladaným     návrhom     ovplyvnené </w:t>
            </w:r>
            <w:r w:rsidRPr="00DC04BD">
              <w:rPr>
                <w:rFonts w:ascii="Times New Roman" w:hAnsi="Times New Roman"/>
                <w:color w:val="000000"/>
                <w:spacing w:val="-1"/>
              </w:rPr>
              <w:t>a aký je ich počet?</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P="00DA0D89">
            <w:pPr>
              <w:shd w:val="clear" w:color="auto" w:fill="FFFFFF"/>
              <w:autoSpaceDE w:val="0"/>
              <w:autoSpaceDN w:val="0"/>
              <w:bidi w:val="0"/>
              <w:rPr>
                <w:rFonts w:ascii="Times New Roman" w:hAnsi="Times New Roman"/>
              </w:rPr>
            </w:pPr>
            <w:r w:rsidRPr="00DC04BD">
              <w:rPr>
                <w:rFonts w:ascii="Times New Roman" w:hAnsi="Times New Roman"/>
              </w:rPr>
              <w:t>Predkladaný materiál bude mať vplyv na 165 zdrojov znečisťovania ovzdušia</w:t>
            </w:r>
            <w:r>
              <w:rPr>
                <w:rFonts w:ascii="Times New Roman" w:hAnsi="Times New Roman"/>
              </w:rPr>
              <w:t xml:space="preserve"> - prevádzok</w:t>
            </w:r>
            <w:r w:rsidRPr="00DC04BD">
              <w:rPr>
                <w:rFonts w:ascii="Times New Roman" w:hAnsi="Times New Roman"/>
              </w:rPr>
              <w:t xml:space="preserve">, ktorí sú povinnými účastníkmi schémy obchodovania s emisnými kvótami skleníkových plynov </w:t>
            </w:r>
          </w:p>
          <w:p w:rsidR="00F9065E" w:rsidP="00DA0D89">
            <w:pPr>
              <w:shd w:val="clear" w:color="auto" w:fill="FFFFFF"/>
              <w:autoSpaceDE w:val="0"/>
              <w:autoSpaceDN w:val="0"/>
              <w:bidi w:val="0"/>
              <w:rPr>
                <w:rFonts w:ascii="Times New Roman" w:hAnsi="Times New Roman"/>
              </w:rPr>
            </w:pPr>
          </w:p>
          <w:p w:rsidR="00F9065E" w:rsidRPr="00DC04BD" w:rsidP="00DA0D89">
            <w:pPr>
              <w:shd w:val="clear" w:color="auto" w:fill="FFFFFF"/>
              <w:autoSpaceDE w:val="0"/>
              <w:autoSpaceDN w:val="0"/>
              <w:bidi w:val="0"/>
              <w:rPr>
                <w:rFonts w:ascii="Times New Roman" w:hAnsi="Times New Roman"/>
              </w:rPr>
            </w:pPr>
          </w:p>
        </w:tc>
      </w:tr>
      <w:tr>
        <w:tblPrEx>
          <w:tblW w:w="0" w:type="auto"/>
          <w:tblInd w:w="40" w:type="dxa"/>
          <w:tblLayout w:type="fixed"/>
          <w:tblCellMar>
            <w:left w:w="40" w:type="dxa"/>
            <w:right w:w="40" w:type="dxa"/>
          </w:tblCellMar>
        </w:tblPrEx>
        <w:trPr>
          <w:trHeight w:hRule="exact" w:val="2539"/>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spacing w:line="266" w:lineRule="exact"/>
              <w:rPr>
                <w:rFonts w:ascii="Times New Roman" w:hAnsi="Times New Roman"/>
              </w:rPr>
            </w:pPr>
            <w:r w:rsidRPr="00DC04BD">
              <w:rPr>
                <w:rFonts w:ascii="Times New Roman" w:hAnsi="Times New Roman"/>
                <w:color w:val="000000"/>
                <w:spacing w:val="-3"/>
              </w:rPr>
              <w:t xml:space="preserve">3.2.   Aký  je   predpokladaný   charakter </w:t>
            </w:r>
            <w:r w:rsidRPr="00DC04BD">
              <w:rPr>
                <w:rFonts w:ascii="Times New Roman" w:hAnsi="Times New Roman"/>
                <w:color w:val="000000"/>
                <w:spacing w:val="-4"/>
              </w:rPr>
              <w:t>a rozsah nákladov a prínosov?</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rPr>
                <w:rFonts w:ascii="Times New Roman" w:hAnsi="Times New Roman"/>
              </w:rPr>
            </w:pPr>
            <w:r w:rsidRPr="00DC04BD">
              <w:rPr>
                <w:rFonts w:ascii="Times New Roman" w:hAnsi="Times New Roman"/>
              </w:rPr>
              <w:t>Vzhľadom na volatilnú cenu emisnej kvóty EUA na emisných trhoch v súčasnosti nie je možné odhadnúť rozsah nákladov. Predpokladaný rozsah prínosov bude závisieť od rozsahu podpory</w:t>
            </w:r>
            <w:r>
              <w:rPr>
                <w:rFonts w:ascii="Times New Roman" w:hAnsi="Times New Roman"/>
              </w:rPr>
              <w:t xml:space="preserve"> </w:t>
            </w:r>
            <w:r w:rsidRPr="00DC04BD">
              <w:rPr>
                <w:rFonts w:ascii="Times New Roman" w:hAnsi="Times New Roman"/>
              </w:rPr>
              <w:t>projektov zameraných na účely reálne dosiahnuteľných  a merateľných úspor emisií skleníkových plynov a kompenzácie cien elektrickej energie pre ohrozené sektory</w:t>
            </w:r>
          </w:p>
        </w:tc>
      </w:tr>
      <w:tr>
        <w:tblPrEx>
          <w:tblW w:w="0" w:type="auto"/>
          <w:tblInd w:w="40" w:type="dxa"/>
          <w:tblLayout w:type="fixed"/>
          <w:tblCellMar>
            <w:left w:w="40" w:type="dxa"/>
            <w:right w:w="40" w:type="dxa"/>
          </w:tblCellMar>
        </w:tblPrEx>
        <w:trPr>
          <w:trHeight w:hRule="exact" w:val="1620"/>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spacing w:line="266" w:lineRule="exact"/>
              <w:rPr>
                <w:rFonts w:ascii="Times New Roman" w:hAnsi="Times New Roman"/>
              </w:rPr>
            </w:pPr>
            <w:r w:rsidRPr="00DC04BD">
              <w:rPr>
                <w:rFonts w:ascii="Times New Roman" w:hAnsi="Times New Roman"/>
                <w:i/>
                <w:iCs/>
                <w:color w:val="000000"/>
                <w:spacing w:val="-1"/>
              </w:rPr>
              <w:t xml:space="preserve">3.3. </w:t>
            </w:r>
            <w:r w:rsidRPr="00DC04BD">
              <w:rPr>
                <w:rFonts w:ascii="Times New Roman" w:hAnsi="Times New Roman"/>
                <w:color w:val="000000"/>
                <w:spacing w:val="-1"/>
              </w:rPr>
              <w:t xml:space="preserve">Aká     je     predpokladaná     výška </w:t>
            </w:r>
            <w:r w:rsidRPr="00DC04BD">
              <w:rPr>
                <w:rFonts w:ascii="Times New Roman" w:hAnsi="Times New Roman"/>
                <w:color w:val="000000"/>
                <w:spacing w:val="-4"/>
              </w:rPr>
              <w:t xml:space="preserve">administratívnych       nákladov,       ktoré podniky          vynaložia          v súvislosti </w:t>
            </w:r>
            <w:r w:rsidRPr="00DC04BD">
              <w:rPr>
                <w:rFonts w:ascii="Times New Roman" w:hAnsi="Times New Roman"/>
                <w:color w:val="000000"/>
                <w:spacing w:val="-5"/>
              </w:rPr>
              <w:t>s implementáciou návrhu?</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rPr>
                <w:rFonts w:ascii="Times New Roman" w:hAnsi="Times New Roman"/>
              </w:rPr>
            </w:pPr>
            <w:r w:rsidRPr="00E507B9">
              <w:rPr>
                <w:rFonts w:ascii="Times New Roman" w:hAnsi="Times New Roman"/>
              </w:rPr>
              <w:t>V súčasnosti nie je možné</w:t>
            </w:r>
            <w:r>
              <w:rPr>
                <w:rFonts w:ascii="Times New Roman" w:hAnsi="Times New Roman"/>
              </w:rPr>
              <w:t xml:space="preserve"> určiť </w:t>
            </w:r>
            <w:r w:rsidRPr="00E507B9">
              <w:rPr>
                <w:rFonts w:ascii="Times New Roman" w:hAnsi="Times New Roman"/>
              </w:rPr>
              <w:t>predpokladan</w:t>
            </w:r>
            <w:r>
              <w:rPr>
                <w:rFonts w:ascii="Times New Roman" w:hAnsi="Times New Roman"/>
              </w:rPr>
              <w:t>ú</w:t>
            </w:r>
            <w:r w:rsidRPr="00E507B9">
              <w:rPr>
                <w:rFonts w:ascii="Times New Roman" w:hAnsi="Times New Roman"/>
              </w:rPr>
              <w:t xml:space="preserve">     výška </w:t>
            </w:r>
            <w:r>
              <w:rPr>
                <w:rFonts w:ascii="Times New Roman" w:hAnsi="Times New Roman"/>
              </w:rPr>
              <w:t>administratívnych</w:t>
            </w:r>
            <w:r w:rsidRPr="00E507B9">
              <w:rPr>
                <w:rFonts w:ascii="Times New Roman" w:hAnsi="Times New Roman"/>
              </w:rPr>
              <w:t xml:space="preserve"> nákladov</w:t>
            </w:r>
          </w:p>
        </w:tc>
      </w:tr>
      <w:tr>
        <w:tblPrEx>
          <w:tblW w:w="0" w:type="auto"/>
          <w:tblInd w:w="40" w:type="dxa"/>
          <w:tblLayout w:type="fixed"/>
          <w:tblCellMar>
            <w:left w:w="40" w:type="dxa"/>
            <w:right w:w="40" w:type="dxa"/>
          </w:tblCellMar>
        </w:tblPrEx>
        <w:trPr>
          <w:trHeight w:hRule="exact" w:val="1620"/>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spacing w:line="266" w:lineRule="exact"/>
              <w:rPr>
                <w:rFonts w:ascii="Times New Roman" w:hAnsi="Times New Roman"/>
              </w:rPr>
            </w:pPr>
            <w:r w:rsidRPr="00DC04BD">
              <w:rPr>
                <w:rFonts w:ascii="Times New Roman" w:hAnsi="Times New Roman"/>
                <w:color w:val="000000"/>
                <w:spacing w:val="-3"/>
              </w:rPr>
              <w:t xml:space="preserve">3.4. Aké   sú   dôsledky   pripravovaného </w:t>
            </w:r>
            <w:r w:rsidRPr="00DC04BD">
              <w:rPr>
                <w:rFonts w:ascii="Times New Roman" w:hAnsi="Times New Roman"/>
                <w:color w:val="000000"/>
                <w:spacing w:val="-2"/>
              </w:rPr>
              <w:t xml:space="preserve">návrhu pre fungovanie podnikateľských </w:t>
            </w:r>
            <w:r w:rsidRPr="00DC04BD">
              <w:rPr>
                <w:rFonts w:ascii="Times New Roman" w:hAnsi="Times New Roman"/>
                <w:color w:val="000000"/>
                <w:spacing w:val="5"/>
              </w:rPr>
              <w:t xml:space="preserve">subjektov na slovenskom trhu (ako sa </w:t>
            </w:r>
            <w:r w:rsidRPr="00DC04BD">
              <w:rPr>
                <w:rFonts w:ascii="Times New Roman" w:hAnsi="Times New Roman"/>
                <w:color w:val="000000"/>
                <w:spacing w:val="-4"/>
              </w:rPr>
              <w:t>zmenia operácie na trhu?)</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rPr>
                <w:rFonts w:ascii="Times New Roman" w:hAnsi="Times New Roman"/>
              </w:rPr>
            </w:pPr>
            <w:r>
              <w:rPr>
                <w:rFonts w:ascii="Times New Roman" w:hAnsi="Times New Roman"/>
              </w:rPr>
              <w:t>V súčasnosti nie je možné stanoviť dôsledky návrhu na fungovanie podnikateľských subjektov na slovenskom trhu</w:t>
            </w:r>
          </w:p>
        </w:tc>
      </w:tr>
      <w:tr>
        <w:tblPrEx>
          <w:tblW w:w="0" w:type="auto"/>
          <w:tblInd w:w="40" w:type="dxa"/>
          <w:tblLayout w:type="fixed"/>
          <w:tblCellMar>
            <w:left w:w="40" w:type="dxa"/>
            <w:right w:w="40" w:type="dxa"/>
          </w:tblCellMar>
        </w:tblPrEx>
        <w:trPr>
          <w:trHeight w:hRule="exact" w:val="1368"/>
        </w:trPr>
        <w:tc>
          <w:tcPr>
            <w:tcW w:w="4025"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spacing w:line="274" w:lineRule="exact"/>
              <w:rPr>
                <w:rFonts w:ascii="Times New Roman" w:hAnsi="Times New Roman"/>
              </w:rPr>
            </w:pPr>
            <w:r w:rsidRPr="00DC04BD">
              <w:rPr>
                <w:rFonts w:ascii="Times New Roman" w:hAnsi="Times New Roman"/>
                <w:color w:val="000000"/>
                <w:spacing w:val="-3"/>
              </w:rPr>
              <w:t>3.5. Aké sú predpokladané spoločensko -</w:t>
            </w:r>
            <w:r w:rsidRPr="00DC04BD">
              <w:rPr>
                <w:rFonts w:ascii="Times New Roman" w:hAnsi="Times New Roman"/>
                <w:color w:val="000000"/>
                <w:spacing w:val="-4"/>
              </w:rPr>
              <w:t xml:space="preserve">ekonomícké    dôsledky   pripravovaných </w:t>
            </w:r>
            <w:r w:rsidRPr="00DC04BD">
              <w:rPr>
                <w:rFonts w:ascii="Times New Roman" w:hAnsi="Times New Roman"/>
                <w:color w:val="000000"/>
                <w:spacing w:val="-5"/>
              </w:rPr>
              <w:t>regulácií?</w:t>
            </w:r>
          </w:p>
        </w:tc>
        <w:tc>
          <w:tcPr>
            <w:tcW w:w="4846"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F9065E" w:rsidRPr="00DC04BD" w:rsidP="00DA0D89">
            <w:pPr>
              <w:shd w:val="clear" w:color="auto" w:fill="FFFFFF"/>
              <w:autoSpaceDE w:val="0"/>
              <w:autoSpaceDN w:val="0"/>
              <w:bidi w:val="0"/>
              <w:rPr>
                <w:rFonts w:ascii="Times New Roman" w:hAnsi="Times New Roman"/>
                <w:i/>
              </w:rPr>
            </w:pPr>
            <w:r w:rsidRPr="00E507B9">
              <w:rPr>
                <w:rFonts w:ascii="Times New Roman" w:hAnsi="Times New Roman"/>
                <w:i/>
              </w:rPr>
              <w:t xml:space="preserve"> Žiadne</w:t>
            </w:r>
          </w:p>
        </w:tc>
      </w:tr>
    </w:tbl>
    <w:p w:rsidR="00F9065E" w:rsidRPr="00DC04BD"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F9065E" w:rsidP="00F9065E">
      <w:pPr>
        <w:autoSpaceDE w:val="0"/>
        <w:autoSpaceDN w:val="0"/>
        <w:bidi w:val="0"/>
        <w:rPr>
          <w:rFonts w:ascii="Times New Roman" w:hAnsi="Times New Roman"/>
        </w:rPr>
      </w:pPr>
    </w:p>
    <w:p w:rsidR="006E7091" w:rsidRPr="00A10B51" w:rsidP="006E7091">
      <w:pPr>
        <w:bidi w:val="0"/>
        <w:jc w:val="center"/>
        <w:rPr>
          <w:rFonts w:ascii="Times New Roman" w:hAnsi="Times New Roman"/>
          <w:b/>
          <w:caps/>
          <w:spacing w:val="30"/>
        </w:rPr>
      </w:pPr>
      <w:r w:rsidRPr="00A10B51">
        <w:rPr>
          <w:rFonts w:ascii="Times New Roman" w:hAnsi="Times New Roman"/>
          <w:b/>
          <w:caps/>
          <w:spacing w:val="30"/>
        </w:rPr>
        <w:t>Doložka zlučiteľnosti</w:t>
      </w:r>
    </w:p>
    <w:p w:rsidR="006E7091" w:rsidRPr="00A10B51" w:rsidP="006E7091">
      <w:pPr>
        <w:bidi w:val="0"/>
        <w:jc w:val="center"/>
        <w:rPr>
          <w:rFonts w:ascii="Times New Roman" w:hAnsi="Times New Roman"/>
          <w:b/>
        </w:rPr>
      </w:pPr>
      <w:r w:rsidRPr="00A10B51">
        <w:rPr>
          <w:rFonts w:ascii="Times New Roman" w:hAnsi="Times New Roman"/>
          <w:b/>
        </w:rPr>
        <w:t>právneho predpisu s právom Európskej únie</w:t>
      </w:r>
    </w:p>
    <w:p w:rsidR="006E7091" w:rsidRPr="00A10B51" w:rsidP="006E7091">
      <w:pPr>
        <w:bidi w:val="0"/>
        <w:jc w:val="both"/>
        <w:rPr>
          <w:rFonts w:ascii="Times New Roman" w:hAnsi="Times New Roman"/>
        </w:rPr>
      </w:pPr>
    </w:p>
    <w:p w:rsidR="006E7091" w:rsidRPr="00A10B51" w:rsidP="006E7091">
      <w:pPr>
        <w:bidi w:val="0"/>
        <w:jc w:val="both"/>
        <w:rPr>
          <w:rFonts w:ascii="Times New Roman" w:hAnsi="Times New Roman"/>
        </w:rPr>
      </w:pPr>
    </w:p>
    <w:p w:rsidR="006E7091" w:rsidRPr="00A10B51" w:rsidP="006E7091">
      <w:pPr>
        <w:bidi w:val="0"/>
        <w:ind w:left="360" w:hanging="360"/>
        <w:jc w:val="both"/>
        <w:rPr>
          <w:rFonts w:ascii="Times New Roman" w:hAnsi="Times New Roman"/>
          <w:b/>
        </w:rPr>
      </w:pPr>
      <w:r w:rsidRPr="00A10B51">
        <w:rPr>
          <w:rFonts w:ascii="Times New Roman" w:hAnsi="Times New Roman"/>
          <w:b/>
        </w:rPr>
        <w:t>1.</w:t>
        <w:tab/>
        <w:t>Predkladateľ právneho predpisu:</w:t>
      </w:r>
      <w:r w:rsidRPr="00A10B51">
        <w:rPr>
          <w:rFonts w:ascii="Times New Roman" w:hAnsi="Times New Roman"/>
        </w:rPr>
        <w:t xml:space="preserve"> Ministerstvo životného prostredia Slovenskej republiky </w:t>
      </w:r>
    </w:p>
    <w:p w:rsidR="006E7091" w:rsidRPr="00A10B51" w:rsidP="006E7091">
      <w:pPr>
        <w:tabs>
          <w:tab w:val="left" w:pos="360"/>
        </w:tabs>
        <w:bidi w:val="0"/>
        <w:ind w:left="360"/>
        <w:jc w:val="both"/>
        <w:rPr>
          <w:rFonts w:ascii="Times New Roman" w:hAnsi="Times New Roman"/>
        </w:rPr>
      </w:pPr>
      <w:r w:rsidRPr="00A10B51">
        <w:rPr>
          <w:rFonts w:ascii="Times New Roman" w:hAnsi="Times New Roman"/>
        </w:rPr>
        <w:t xml:space="preserve">  </w:t>
      </w:r>
    </w:p>
    <w:p w:rsidR="006E7091" w:rsidRPr="00A10B51" w:rsidP="006E7091">
      <w:pPr>
        <w:bidi w:val="0"/>
        <w:ind w:left="360" w:hanging="360"/>
        <w:jc w:val="both"/>
        <w:rPr>
          <w:rFonts w:ascii="Times New Roman" w:hAnsi="Times New Roman"/>
          <w:b/>
        </w:rPr>
      </w:pPr>
      <w:r w:rsidRPr="00A10B51">
        <w:rPr>
          <w:rFonts w:ascii="Times New Roman" w:hAnsi="Times New Roman"/>
          <w:b/>
        </w:rPr>
        <w:t>2.</w:t>
        <w:tab/>
        <w:t>Názov návrhu právneho predpisu:</w:t>
      </w:r>
      <w:r w:rsidRPr="00A10B51">
        <w:rPr>
          <w:rFonts w:ascii="Times New Roman" w:hAnsi="Times New Roman"/>
        </w:rPr>
        <w:t xml:space="preserve"> Návrh zákona o obchodovaní s emisnými kvótami a o zmene a doplnení niektorých zákonov. </w:t>
      </w:r>
    </w:p>
    <w:p w:rsidR="006E7091" w:rsidRPr="00A10B51" w:rsidP="006E7091">
      <w:pPr>
        <w:bidi w:val="0"/>
        <w:jc w:val="both"/>
        <w:rPr>
          <w:rFonts w:ascii="Times New Roman" w:hAnsi="Times New Roman"/>
        </w:rPr>
      </w:pPr>
    </w:p>
    <w:p w:rsidR="006E7091" w:rsidRPr="00750469" w:rsidP="006E7091">
      <w:pPr>
        <w:bidi w:val="0"/>
        <w:ind w:left="360" w:hanging="360"/>
        <w:jc w:val="both"/>
        <w:rPr>
          <w:rFonts w:ascii="Times New Roman" w:hAnsi="Times New Roman"/>
          <w:b/>
        </w:rPr>
      </w:pPr>
      <w:r w:rsidRPr="00A10B51">
        <w:rPr>
          <w:rFonts w:ascii="Times New Roman" w:hAnsi="Times New Roman"/>
          <w:b/>
        </w:rPr>
        <w:t>3.</w:t>
        <w:tab/>
        <w:t>Problematika návrhu právneho predpisu:</w:t>
      </w:r>
    </w:p>
    <w:p w:rsidR="006E7091" w:rsidRPr="00A10B51" w:rsidP="006E7091">
      <w:pPr>
        <w:numPr>
          <w:numId w:val="4"/>
        </w:numPr>
        <w:autoSpaceDE w:val="0"/>
        <w:autoSpaceDN w:val="0"/>
        <w:bidi w:val="0"/>
        <w:jc w:val="both"/>
        <w:rPr>
          <w:rFonts w:ascii="Times New Roman" w:hAnsi="Times New Roman"/>
        </w:rPr>
      </w:pPr>
      <w:r w:rsidRPr="00A10B51">
        <w:rPr>
          <w:rFonts w:ascii="Times New Roman" w:hAnsi="Times New Roman"/>
        </w:rPr>
        <w:t>je upravená v práve Európskej únie:</w:t>
      </w:r>
    </w:p>
    <w:p w:rsidR="006E7091" w:rsidRPr="00A10B51" w:rsidP="006E7091">
      <w:pPr>
        <w:bidi w:val="0"/>
        <w:jc w:val="both"/>
        <w:rPr>
          <w:rFonts w:ascii="Times New Roman" w:hAnsi="Times New Roman"/>
        </w:rPr>
      </w:pPr>
    </w:p>
    <w:p w:rsidR="006E7091" w:rsidRPr="00A10B51" w:rsidP="006E7091">
      <w:pPr>
        <w:numPr>
          <w:numId w:val="5"/>
        </w:numPr>
        <w:autoSpaceDE w:val="0"/>
        <w:autoSpaceDN w:val="0"/>
        <w:bidi w:val="0"/>
        <w:jc w:val="both"/>
        <w:rPr>
          <w:rFonts w:ascii="Times New Roman" w:hAnsi="Times New Roman"/>
          <w:i/>
        </w:rPr>
      </w:pPr>
      <w:r w:rsidRPr="00A10B51">
        <w:rPr>
          <w:rFonts w:ascii="Times New Roman" w:hAnsi="Times New Roman"/>
          <w:i/>
        </w:rPr>
        <w:t>primárnom</w:t>
      </w:r>
    </w:p>
    <w:p w:rsidR="006E7091" w:rsidRPr="00A10B51" w:rsidP="006E7091">
      <w:pPr>
        <w:bidi w:val="0"/>
        <w:ind w:left="720"/>
        <w:jc w:val="both"/>
        <w:rPr>
          <w:rFonts w:ascii="Times New Roman" w:hAnsi="Times New Roman"/>
          <w:i/>
        </w:rPr>
      </w:pPr>
    </w:p>
    <w:p w:rsidR="006E7091" w:rsidRPr="00A10B51" w:rsidP="006E7091">
      <w:pPr>
        <w:bidi w:val="0"/>
        <w:ind w:firstLine="708"/>
        <w:jc w:val="both"/>
        <w:rPr>
          <w:rFonts w:ascii="Times New Roman" w:hAnsi="Times New Roman"/>
        </w:rPr>
      </w:pPr>
      <w:r w:rsidRPr="00A10B51">
        <w:rPr>
          <w:rFonts w:ascii="Times New Roman" w:hAnsi="Times New Roman"/>
        </w:rPr>
        <w:t>Hlava XX (Životné prostredie) Zmluvy o fungovaní Európskej únie</w:t>
      </w:r>
    </w:p>
    <w:p w:rsidR="006E7091" w:rsidRPr="00A10B51" w:rsidP="006E7091">
      <w:pPr>
        <w:bidi w:val="0"/>
        <w:ind w:firstLine="708"/>
        <w:jc w:val="both"/>
        <w:rPr>
          <w:rFonts w:ascii="Times New Roman" w:hAnsi="Times New Roman"/>
        </w:rPr>
      </w:pPr>
    </w:p>
    <w:p w:rsidR="006E7091" w:rsidRPr="00A10B51" w:rsidP="006E7091">
      <w:pPr>
        <w:widowControl/>
        <w:numPr>
          <w:numId w:val="5"/>
        </w:numPr>
        <w:autoSpaceDE w:val="0"/>
        <w:autoSpaceDN w:val="0"/>
        <w:bidi w:val="0"/>
        <w:jc w:val="both"/>
        <w:rPr>
          <w:rFonts w:ascii="Times New Roman" w:hAnsi="Times New Roman"/>
          <w:iCs/>
        </w:rPr>
      </w:pPr>
      <w:r w:rsidRPr="00A10B51">
        <w:rPr>
          <w:rFonts w:ascii="Times New Roman" w:hAnsi="Times New Roman"/>
          <w:i/>
        </w:rPr>
        <w:t>sekundárnom</w:t>
      </w:r>
      <w:r w:rsidRPr="00A10B51">
        <w:rPr>
          <w:rFonts w:ascii="Times New Roman" w:hAnsi="Times New Roman"/>
        </w:rPr>
        <w:t xml:space="preserve"> </w:t>
      </w:r>
      <w:r w:rsidRPr="00A10B51">
        <w:rPr>
          <w:rFonts w:ascii="Times New Roman" w:hAnsi="Times New Roman"/>
          <w:iCs/>
        </w:rPr>
        <w:t>(prijatom pred nadobudnutím platnosti Lisabonskej zmluvy, ktorou sa mení a dopĺňa Zmluva o Európskom spoločenstve a Zmluva o Európskej únii – do 30. novembra 2009)</w:t>
      </w:r>
    </w:p>
    <w:p w:rsidR="006E7091" w:rsidRPr="00A10B51" w:rsidP="006E7091">
      <w:pPr>
        <w:bidi w:val="0"/>
        <w:ind w:firstLine="360"/>
        <w:jc w:val="both"/>
        <w:rPr>
          <w:rFonts w:ascii="Times New Roman" w:hAnsi="Times New Roman"/>
        </w:rPr>
      </w:pPr>
    </w:p>
    <w:p w:rsidR="006E7091" w:rsidRPr="00A10B51" w:rsidP="006E7091">
      <w:pPr>
        <w:pStyle w:val="ListParagraph"/>
        <w:widowControl/>
        <w:autoSpaceDE/>
        <w:autoSpaceDN/>
        <w:bidi w:val="0"/>
        <w:adjustRightInd/>
        <w:jc w:val="both"/>
        <w:rPr>
          <w:rFonts w:ascii="Times New Roman" w:hAnsi="Times New Roman"/>
          <w:lang w:val="sk-SK"/>
        </w:rPr>
      </w:pPr>
      <w:r w:rsidRPr="00A10B51">
        <w:rPr>
          <w:rFonts w:ascii="Times New Roman" w:hAnsi="Times New Roman"/>
        </w:rPr>
        <w:t>Smernica Európskeho parlamentu a Rady 2003/87/ES z 13. októbra 2003 o vytvorení systému obchodovania s emisnými kvótami skleníkových plynov v spoločenstve, a ktorou sa mení a dopĺňa smernica Rady 96/61/ES (Mimoriadne vydanie Ú. v. EÚ, kap. 15/zv. 7) v znení smernice Európskeho parlamentu a Rady 2004/101/ES z 27. októbra 2004 (Ú. v. EÚ L 338, 13. 11. 2004), smernice Európskeho parlamentu a Rady 2008/101/ES z 19. novembra 2008 (Ú. v. EÚ L 8, 13. 1. 2009), nariadenia Európskeho parlamentu a Rady (ES) č. 219/2009 z 11. marca 2009 (Ú. v. EÚ L 87, 31. 3. 2009) a smernice Európskeho parlamentu a Rady 2009/29/ES z 23. apríla 2009 (Ú. v. EÚ L 140, 5. 6. 2009).</w:t>
      </w:r>
    </w:p>
    <w:p w:rsidR="006E7091" w:rsidP="006E7091">
      <w:pPr>
        <w:pStyle w:val="ListParagraph"/>
        <w:widowControl/>
        <w:autoSpaceDE/>
        <w:autoSpaceDN/>
        <w:bidi w:val="0"/>
        <w:adjustRightInd/>
        <w:jc w:val="both"/>
        <w:rPr>
          <w:rFonts w:ascii="Times New Roman" w:hAnsi="Times New Roman"/>
          <w:lang w:val="sk-SK"/>
        </w:rPr>
      </w:pPr>
    </w:p>
    <w:p w:rsidR="006E7091" w:rsidP="006E7091">
      <w:pPr>
        <w:pStyle w:val="ListParagraph"/>
        <w:widowControl/>
        <w:autoSpaceDE/>
        <w:autoSpaceDN/>
        <w:bidi w:val="0"/>
        <w:adjustRightInd/>
        <w:jc w:val="both"/>
        <w:rPr>
          <w:rFonts w:ascii="Times New Roman" w:hAnsi="Times New Roman"/>
          <w:lang w:val="sk-SK"/>
        </w:rPr>
      </w:pPr>
      <w:r w:rsidRPr="00A10B51">
        <w:rPr>
          <w:rFonts w:ascii="Times New Roman" w:hAnsi="Times New Roman"/>
        </w:rPr>
        <w:t>Nariadenie Európskeho parlamentu a Rady (ES) č. 1008/2008 z 24. septembra 2008 o spoločných pravidlách prevádzky leteckých dopravných služieb v Spoločenstve (Ú. v. EÚ L 293, 31. 10. 2008).</w:t>
      </w:r>
    </w:p>
    <w:p w:rsidR="006E7091" w:rsidRPr="00750469" w:rsidP="006E7091">
      <w:pPr>
        <w:pStyle w:val="ListParagraph"/>
        <w:widowControl/>
        <w:autoSpaceDE/>
        <w:autoSpaceDN/>
        <w:bidi w:val="0"/>
        <w:adjustRightInd/>
        <w:jc w:val="both"/>
        <w:rPr>
          <w:rFonts w:ascii="Times New Roman" w:hAnsi="Times New Roman"/>
          <w:lang w:val="sk-SK"/>
        </w:rPr>
      </w:pPr>
    </w:p>
    <w:p w:rsidR="006E7091" w:rsidP="006E7091">
      <w:pPr>
        <w:bidi w:val="0"/>
        <w:rPr>
          <w:rFonts w:ascii="Times New Roman" w:hAnsi="Times New Roman"/>
          <w:i/>
          <w:lang w:val="en-US"/>
        </w:rPr>
      </w:pPr>
      <w:r>
        <w:rPr>
          <w:rFonts w:ascii="Times New Roman" w:hAnsi="Times New Roman"/>
          <w:i/>
        </w:rPr>
        <w:t xml:space="preserve">     - sekundárnom (prijatom po nadobudnutím platnosti Lisabonskej zmluvy, ktorou sa mení a  </w:t>
        <w:br/>
        <w:t xml:space="preserve">       dopĺňa Zmluva o Európskom spoloč</w:t>
      </w:r>
      <w:r>
        <w:rPr>
          <w:rFonts w:ascii="Times New Roman" w:hAnsi="Times New Roman"/>
          <w:i/>
          <w:lang w:val="en-US"/>
        </w:rPr>
        <w:t xml:space="preserve">enstve a Zmluva o Európskej únii – po 30. novembri </w:t>
        <w:br/>
        <w:t xml:space="preserve">       2009)</w:t>
      </w:r>
    </w:p>
    <w:p w:rsidR="006E7091" w:rsidRPr="00750469" w:rsidP="006E7091">
      <w:pPr>
        <w:bidi w:val="0"/>
        <w:rPr>
          <w:rFonts w:ascii="Times New Roman" w:hAnsi="Times New Roman"/>
          <w:i/>
        </w:rPr>
      </w:pPr>
    </w:p>
    <w:p w:rsidR="006E7091" w:rsidP="006E7091">
      <w:pPr>
        <w:pStyle w:val="BodyText"/>
        <w:tabs>
          <w:tab w:val="left" w:pos="180"/>
        </w:tabs>
        <w:bidi w:val="0"/>
        <w:rPr>
          <w:rFonts w:ascii="Times New Roman" w:hAnsi="Times New Roman"/>
          <w:szCs w:val="24"/>
        </w:rPr>
      </w:pPr>
      <w:r>
        <w:rPr>
          <w:rFonts w:ascii="Times New Roman" w:hAnsi="Times New Roman"/>
          <w:szCs w:val="24"/>
        </w:rPr>
        <w:t xml:space="preserve">        1. </w:t>
      </w:r>
      <w:r w:rsidRPr="0097622F">
        <w:rPr>
          <w:rFonts w:ascii="Times New Roman" w:hAnsi="Times New Roman"/>
          <w:szCs w:val="24"/>
        </w:rPr>
        <w:t>legislatívne akty:</w:t>
      </w:r>
    </w:p>
    <w:p w:rsidR="006E7091" w:rsidP="006E7091">
      <w:pPr>
        <w:pStyle w:val="BodyText"/>
        <w:tabs>
          <w:tab w:val="left" w:pos="180"/>
        </w:tabs>
        <w:bidi w:val="0"/>
        <w:ind w:left="708"/>
        <w:rPr>
          <w:rFonts w:ascii="Times New Roman" w:hAnsi="Times New Roman"/>
        </w:rPr>
      </w:pPr>
      <w:r>
        <w:rPr>
          <w:rFonts w:ascii="Times New Roman" w:hAnsi="Times New Roman"/>
          <w:szCs w:val="24"/>
        </w:rPr>
        <w:t xml:space="preserve"> -</w:t>
      </w:r>
    </w:p>
    <w:p w:rsidR="006E7091" w:rsidRPr="00750469" w:rsidP="006E7091">
      <w:pPr>
        <w:pStyle w:val="BodyText"/>
        <w:tabs>
          <w:tab w:val="left" w:pos="180"/>
        </w:tabs>
        <w:bidi w:val="0"/>
        <w:ind w:left="708"/>
        <w:rPr>
          <w:rFonts w:ascii="Times New Roman" w:hAnsi="Times New Roman"/>
        </w:rPr>
      </w:pPr>
    </w:p>
    <w:p w:rsidR="006E7091" w:rsidP="006E7091">
      <w:pPr>
        <w:pStyle w:val="BodyText"/>
        <w:tabs>
          <w:tab w:val="left" w:pos="180"/>
        </w:tabs>
        <w:bidi w:val="0"/>
        <w:rPr>
          <w:rFonts w:ascii="Times New Roman" w:hAnsi="Times New Roman"/>
          <w:szCs w:val="24"/>
        </w:rPr>
      </w:pPr>
      <w:r>
        <w:rPr>
          <w:rFonts w:ascii="Times New Roman" w:hAnsi="Times New Roman"/>
          <w:szCs w:val="24"/>
        </w:rPr>
        <w:t xml:space="preserve">        </w:t>
      </w:r>
      <w:r w:rsidRPr="00750469">
        <w:rPr>
          <w:rFonts w:ascii="Times New Roman" w:hAnsi="Times New Roman"/>
          <w:szCs w:val="24"/>
        </w:rPr>
        <w:t>2. nelegislatívne akty:</w:t>
      </w:r>
      <w:r>
        <w:rPr>
          <w:rFonts w:ascii="Times New Roman" w:hAnsi="Times New Roman"/>
          <w:szCs w:val="24"/>
        </w:rPr>
        <w:t xml:space="preserve"> </w:t>
      </w:r>
    </w:p>
    <w:p w:rsidR="006E7091" w:rsidP="006E7091">
      <w:pPr>
        <w:pStyle w:val="BodyText"/>
        <w:tabs>
          <w:tab w:val="left" w:pos="180"/>
        </w:tabs>
        <w:bidi w:val="0"/>
        <w:ind w:left="708"/>
        <w:rPr>
          <w:rFonts w:ascii="Times New Roman" w:hAnsi="Times New Roman"/>
        </w:rPr>
      </w:pPr>
    </w:p>
    <w:p w:rsidR="006E7091" w:rsidRPr="00A10B51" w:rsidP="006E7091">
      <w:pPr>
        <w:pStyle w:val="FootnoteText"/>
        <w:bidi w:val="0"/>
        <w:ind w:left="708"/>
        <w:jc w:val="both"/>
        <w:rPr>
          <w:sz w:val="24"/>
          <w:szCs w:val="24"/>
        </w:rPr>
      </w:pPr>
      <w:r w:rsidRPr="00750469">
        <w:rPr>
          <w:rFonts w:ascii="Times New Roman" w:hAnsi="Times New Roman"/>
          <w:sz w:val="24"/>
          <w:szCs w:val="24"/>
        </w:rPr>
        <w:t>Rozhodnutie Komisie z  27. apríla 2011, ktorým sa ustanovujú prechodné pravidlá harmonizácie bezodplatného prideľovania emisných kvót podľa článku 10a smernice Európskeho parlamentu a Rady 2003/87/ES, platné v celej Únii (2011/278/EÚ) (Ú. v. EÚ L 130, 17.5.2011).</w:t>
      </w:r>
    </w:p>
    <w:p w:rsidR="006E7091" w:rsidP="006E7091">
      <w:pPr>
        <w:pStyle w:val="BodyText"/>
        <w:tabs>
          <w:tab w:val="left" w:pos="180"/>
        </w:tabs>
        <w:bidi w:val="0"/>
        <w:ind w:left="708"/>
        <w:rPr>
          <w:rFonts w:ascii="Times New Roman" w:hAnsi="Times New Roman"/>
        </w:rPr>
      </w:pPr>
    </w:p>
    <w:p w:rsidR="006E7091" w:rsidP="006E7091">
      <w:pPr>
        <w:pStyle w:val="BodyText"/>
        <w:tabs>
          <w:tab w:val="left" w:pos="180"/>
        </w:tabs>
        <w:bidi w:val="0"/>
        <w:ind w:left="708"/>
        <w:rPr>
          <w:rFonts w:ascii="Times New Roman" w:hAnsi="Times New Roman"/>
        </w:rPr>
      </w:pPr>
      <w:r w:rsidRPr="00A10B51">
        <w:rPr>
          <w:rFonts w:ascii="Times New Roman" w:hAnsi="Times New Roman"/>
        </w:rPr>
        <w:t xml:space="preserve">Nariadenie Komisie (EÚ) č. 550/2011 zo dňa 7. júna 2011ktorým sa podľa smernice Európskeho parlamentu a Rady 2003/87/ES stanovujú určité obmedzenia vzťahujúce sa na využívanie medzinárodných kreditov z projektov priemyselných plynov (Ú. v. EÚ L 149, 8.6.2011). </w:t>
      </w:r>
    </w:p>
    <w:p w:rsidR="006E7091" w:rsidP="006E7091">
      <w:pPr>
        <w:pStyle w:val="BodyText"/>
        <w:tabs>
          <w:tab w:val="left" w:pos="180"/>
        </w:tabs>
        <w:bidi w:val="0"/>
        <w:ind w:left="708"/>
        <w:rPr>
          <w:rFonts w:ascii="Times New Roman" w:hAnsi="Times New Roman"/>
          <w:highlight w:val="red"/>
        </w:rPr>
      </w:pPr>
    </w:p>
    <w:p w:rsidR="006E7091" w:rsidRPr="000F4512" w:rsidP="006E7091">
      <w:pPr>
        <w:pStyle w:val="BodyText"/>
        <w:tabs>
          <w:tab w:val="left" w:pos="180"/>
        </w:tabs>
        <w:bidi w:val="0"/>
        <w:ind w:left="708"/>
        <w:rPr>
          <w:rFonts w:ascii="Times New Roman" w:hAnsi="Times New Roman"/>
        </w:rPr>
      </w:pPr>
      <w:r w:rsidRPr="00750469">
        <w:rPr>
          <w:rFonts w:ascii="Times New Roman" w:hAnsi="Times New Roman"/>
        </w:rPr>
        <w:t>Rozhodnutie Komisie zo dňa 26. septembra 2011 o referenčných hodnotách na bezplatné pridelenie emisných kvót skleníkových plynov prevádzkovateľom lietadiel podľa článku 3e smernice Európskeho parlamentu a Rady 2003/87/ES (2011/638/EÚ) (Ú. v. EÚ L 252, 28.9.2011)</w:t>
      </w:r>
    </w:p>
    <w:p w:rsidR="006E7091" w:rsidP="006E7091">
      <w:pPr>
        <w:pStyle w:val="BodyText"/>
        <w:tabs>
          <w:tab w:val="left" w:pos="180"/>
        </w:tabs>
        <w:bidi w:val="0"/>
        <w:ind w:left="708"/>
        <w:rPr>
          <w:rFonts w:ascii="Times New Roman" w:hAnsi="Times New Roman"/>
          <w:i/>
        </w:rPr>
      </w:pPr>
    </w:p>
    <w:p w:rsidR="006E7091" w:rsidRPr="00A10B51" w:rsidP="006E7091">
      <w:pPr>
        <w:pStyle w:val="BodyText"/>
        <w:tabs>
          <w:tab w:val="left" w:pos="180"/>
        </w:tabs>
        <w:bidi w:val="0"/>
        <w:ind w:left="708"/>
        <w:rPr>
          <w:rFonts w:ascii="Times New Roman" w:hAnsi="Times New Roman"/>
        </w:rPr>
      </w:pPr>
      <w:r w:rsidRPr="00A10B51">
        <w:rPr>
          <w:rFonts w:ascii="Times New Roman" w:hAnsi="Times New Roman"/>
        </w:rPr>
        <w:t xml:space="preserve">Nariadenie Komisie (EÚ) č. 1031/2010 </w:t>
      </w:r>
      <w:r w:rsidRPr="00A10B51">
        <w:rPr>
          <w:rFonts w:ascii="Times New Roman" w:hAnsi="Times New Roman"/>
          <w:bCs/>
        </w:rPr>
        <w:t>zo dňa 12. novembra 2010 o harmonograme, správe a iných aspektoch obchodovania s emisnými kvótami skleníkových plynov formou aukcie podľa smernice Európskeho parlamentu a Rady 2003/87/ES o vytvorení systému obchodovania s emisnými kvótami skleníkových plynov v Spoločenstve (Ú. v. EÚ L 302, 18.11.2010)  v platnom znení</w:t>
      </w:r>
      <w:r w:rsidRPr="00A10B51">
        <w:rPr>
          <w:rFonts w:ascii="Times New Roman" w:hAnsi="Times New Roman"/>
        </w:rPr>
        <w:t>.</w:t>
      </w:r>
    </w:p>
    <w:p w:rsidR="006E7091" w:rsidP="006E7091">
      <w:pPr>
        <w:pStyle w:val="BodyText"/>
        <w:tabs>
          <w:tab w:val="left" w:pos="180"/>
        </w:tabs>
        <w:bidi w:val="0"/>
        <w:ind w:left="708"/>
        <w:rPr>
          <w:rFonts w:ascii="Times New Roman" w:hAnsi="Times New Roman"/>
        </w:rPr>
      </w:pPr>
    </w:p>
    <w:p w:rsidR="006E7091" w:rsidRPr="00A10B51" w:rsidP="006E7091">
      <w:pPr>
        <w:pStyle w:val="BodyText"/>
        <w:tabs>
          <w:tab w:val="left" w:pos="180"/>
        </w:tabs>
        <w:bidi w:val="0"/>
        <w:ind w:left="708"/>
        <w:rPr>
          <w:rFonts w:ascii="Times New Roman" w:hAnsi="Times New Roman"/>
          <w:iCs/>
        </w:rPr>
      </w:pPr>
      <w:r w:rsidRPr="00A10B51">
        <w:rPr>
          <w:rFonts w:ascii="Times New Roman" w:hAnsi="Times New Roman"/>
        </w:rPr>
        <w:t>Nariadenie Komisie (EÚ) č. 1193/2011 zo dňa 18. novembra 2011, ktorým sa zriaďuje register Únie na obdobie  obchodovania začínajúce 1. januára 2013 a na nasledujúce obdobia obchodovania v rámci systému Únie na obchodovanie s emisnými kvótami podľa smernice Európskeho parlamentu a Rady  2003/87/ES a rozhodnutia   Európskeho parlamentu a Rady č. 280/2004/ES a ktorým sa menia a dopĺňajú nariadenia (ES) č. 2216/2004 a (EÚ) č. 920/2010 (Ú. v. EÚ L 315, 29.11.2011).</w:t>
      </w:r>
    </w:p>
    <w:p w:rsidR="006E7091" w:rsidP="006E7091">
      <w:pPr>
        <w:pStyle w:val="BodyText"/>
        <w:tabs>
          <w:tab w:val="left" w:pos="180"/>
        </w:tabs>
        <w:bidi w:val="0"/>
        <w:ind w:left="708"/>
        <w:rPr>
          <w:rFonts w:ascii="Times New Roman" w:hAnsi="Times New Roman"/>
        </w:rPr>
      </w:pPr>
    </w:p>
    <w:p w:rsidR="006E7091" w:rsidRPr="00A10B51" w:rsidP="006E7091">
      <w:pPr>
        <w:pStyle w:val="BodyText"/>
        <w:tabs>
          <w:tab w:val="left" w:pos="180"/>
        </w:tabs>
        <w:bidi w:val="0"/>
        <w:ind w:left="708"/>
        <w:rPr>
          <w:rFonts w:ascii="Times New Roman" w:hAnsi="Times New Roman"/>
          <w:iCs/>
        </w:rPr>
      </w:pPr>
      <w:r w:rsidRPr="00A10B51">
        <w:rPr>
          <w:rFonts w:ascii="Times New Roman" w:hAnsi="Times New Roman"/>
        </w:rPr>
        <w:t xml:space="preserve">Nariadenie Komisie (EÚ)  č. 600/2012 zo dňa 21. júna 2012 o overovaní správ o emisiách, správ o tonokilometroch a akreditácii overovateľov podľa smernice  Európskeho parlamentu a Rady 2003/87/ES </w:t>
      </w:r>
      <w:r w:rsidRPr="00A10B51">
        <w:rPr>
          <w:rFonts w:ascii="Times New Roman" w:hAnsi="Times New Roman"/>
          <w:iCs/>
        </w:rPr>
        <w:t> (Ú. v. EÚ L 181, 12.7.2012).</w:t>
      </w:r>
    </w:p>
    <w:p w:rsidR="006E7091" w:rsidP="006E7091">
      <w:pPr>
        <w:pStyle w:val="BodyText"/>
        <w:tabs>
          <w:tab w:val="left" w:pos="180"/>
        </w:tabs>
        <w:bidi w:val="0"/>
        <w:ind w:left="708"/>
        <w:rPr>
          <w:rFonts w:ascii="Times New Roman" w:hAnsi="Times New Roman"/>
          <w:szCs w:val="24"/>
        </w:rPr>
      </w:pPr>
    </w:p>
    <w:p w:rsidR="006E7091" w:rsidRPr="00A10B51" w:rsidP="006E7091">
      <w:pPr>
        <w:pStyle w:val="BodyText"/>
        <w:tabs>
          <w:tab w:val="left" w:pos="180"/>
        </w:tabs>
        <w:bidi w:val="0"/>
        <w:ind w:left="708"/>
        <w:rPr>
          <w:rFonts w:ascii="Times New Roman" w:hAnsi="Times New Roman"/>
          <w:szCs w:val="24"/>
        </w:rPr>
      </w:pPr>
      <w:r w:rsidRPr="00A10B51">
        <w:rPr>
          <w:rFonts w:ascii="Times New Roman" w:hAnsi="Times New Roman"/>
          <w:szCs w:val="24"/>
        </w:rPr>
        <w:t xml:space="preserve">Nariadenie Komisie (EÚ) č. 601/2012 z  21. júna 2012 o monitorovaní a nahlasovaní emisií skleníkových plynov podľa smernice Európskeho parlamentu a Rady 2003/87/ES (Ú. v. EÚ L 181, 12.7.2012). </w:t>
      </w:r>
    </w:p>
    <w:p w:rsidR="006E7091" w:rsidRPr="00A10B51" w:rsidP="006E7091">
      <w:pPr>
        <w:bidi w:val="0"/>
        <w:jc w:val="both"/>
        <w:rPr>
          <w:rFonts w:ascii="Times New Roman" w:hAnsi="Times New Roman"/>
        </w:rPr>
      </w:pPr>
    </w:p>
    <w:p w:rsidR="0055349F" w:rsidP="006E7091">
      <w:pPr>
        <w:bidi w:val="0"/>
        <w:ind w:left="570" w:hanging="570"/>
        <w:jc w:val="both"/>
        <w:rPr>
          <w:rFonts w:ascii="Times New Roman" w:hAnsi="Times New Roman"/>
        </w:rPr>
      </w:pPr>
      <w:r w:rsidRPr="00A10B51" w:rsidR="006E7091">
        <w:rPr>
          <w:rFonts w:ascii="Times New Roman" w:hAnsi="Times New Roman"/>
        </w:rPr>
        <w:t>b)</w:t>
        <w:tab/>
      </w:r>
      <w:r>
        <w:rPr>
          <w:rFonts w:ascii="Times New Roman" w:hAnsi="Times New Roman"/>
          <w:lang w:val="en-US"/>
        </w:rPr>
        <w:t>je obsiahnutá v judikatúre Súdneho dvora Európskej únie.</w:t>
      </w:r>
    </w:p>
    <w:p w:rsidR="006E7091" w:rsidRPr="0055349F" w:rsidP="0055349F">
      <w:pPr>
        <w:bidi w:val="0"/>
        <w:ind w:left="570" w:hanging="570"/>
        <w:jc w:val="both"/>
        <w:rPr>
          <w:rFonts w:ascii="Times New Roman" w:hAnsi="Times New Roman"/>
        </w:rPr>
      </w:pPr>
      <w:r w:rsidR="0055349F">
        <w:rPr>
          <w:rFonts w:ascii="Times New Roman" w:hAnsi="Times New Roman"/>
        </w:rPr>
        <w:t xml:space="preserve">          </w:t>
      </w:r>
      <w:r w:rsidRPr="00A10B51">
        <w:rPr>
          <w:rFonts w:ascii="Times New Roman" w:hAnsi="Times New Roman"/>
        </w:rPr>
        <w:t>Rozhodnutie Súdneho dvora vo veci C – 524/2009 Ville de Lyon c/a Caisse des dépôts et consignations (2009).</w:t>
      </w:r>
    </w:p>
    <w:p w:rsidR="006E7091" w:rsidRPr="00A10B51" w:rsidP="006E7091">
      <w:pPr>
        <w:bidi w:val="0"/>
        <w:jc w:val="both"/>
        <w:rPr>
          <w:rFonts w:ascii="Times New Roman" w:hAnsi="Times New Roman"/>
        </w:rPr>
      </w:pPr>
    </w:p>
    <w:p w:rsidR="006E7091" w:rsidRPr="00A10B51" w:rsidP="006E7091">
      <w:pPr>
        <w:widowControl/>
        <w:bidi w:val="0"/>
        <w:rPr>
          <w:rFonts w:ascii="Times New Roman" w:hAnsi="Times New Roman"/>
          <w:bCs/>
          <w:i/>
        </w:rPr>
      </w:pPr>
      <w:r w:rsidRPr="00A10B51">
        <w:rPr>
          <w:rFonts w:ascii="Times New Roman" w:hAnsi="Times New Roman"/>
          <w:b/>
          <w:lang w:eastAsia="en-US"/>
        </w:rPr>
        <w:t>4. Záväzky Slovenskej republiky vo vzťahu k Európskej únii:</w:t>
      </w:r>
      <w:r w:rsidRPr="00A10B51">
        <w:rPr>
          <w:rFonts w:ascii="Times New Roman" w:hAnsi="Times New Roman"/>
          <w:lang w:eastAsia="en-US"/>
        </w:rPr>
        <w:t xml:space="preserve"> </w:t>
      </w:r>
    </w:p>
    <w:p w:rsidR="006E7091" w:rsidRPr="00A10B51" w:rsidP="006E7091">
      <w:pPr>
        <w:widowControl/>
        <w:bidi w:val="0"/>
        <w:rPr>
          <w:rFonts w:ascii="Times New Roman" w:hAnsi="Times New Roman"/>
          <w:b/>
          <w:bCs/>
        </w:rPr>
      </w:pPr>
    </w:p>
    <w:p w:rsidR="006E7091" w:rsidRPr="00A10B51" w:rsidP="006E7091">
      <w:pPr>
        <w:widowControl/>
        <w:bidi w:val="0"/>
        <w:ind w:left="567" w:hanging="283"/>
        <w:rPr>
          <w:rFonts w:ascii="Times New Roman" w:hAnsi="Times New Roman"/>
          <w:szCs w:val="28"/>
        </w:rPr>
      </w:pPr>
      <w:r w:rsidRPr="00A10B51">
        <w:rPr>
          <w:rFonts w:ascii="Times New Roman" w:hAnsi="Times New Roman"/>
          <w:szCs w:val="28"/>
        </w:rPr>
        <w:t>a)  lehota na prebratie smernice alebo lehota na implementáciu nariadenia alebo rozhodnutia,</w:t>
      </w:r>
    </w:p>
    <w:p w:rsidR="006E7091" w:rsidRPr="00A10B51" w:rsidP="006E7091">
      <w:pPr>
        <w:pStyle w:val="ListParagraph"/>
        <w:widowControl/>
        <w:numPr>
          <w:numId w:val="5"/>
        </w:numPr>
        <w:autoSpaceDE/>
        <w:autoSpaceDN/>
        <w:bidi w:val="0"/>
        <w:adjustRightInd/>
        <w:jc w:val="both"/>
        <w:rPr>
          <w:rFonts w:ascii="Times New Roman" w:hAnsi="Times New Roman"/>
        </w:rPr>
      </w:pPr>
      <w:r w:rsidRPr="00A10B51">
        <w:rPr>
          <w:rFonts w:ascii="Times New Roman" w:hAnsi="Times New Roman"/>
          <w:szCs w:val="28"/>
          <w:lang w:val="sk-SK"/>
        </w:rPr>
        <w:t xml:space="preserve">pre </w:t>
      </w:r>
      <w:r w:rsidRPr="00750469">
        <w:rPr>
          <w:rFonts w:ascii="Times New Roman" w:hAnsi="Times New Roman"/>
          <w:lang w:val="sk-SK"/>
        </w:rPr>
        <w:t>s</w:t>
      </w:r>
      <w:r w:rsidRPr="00A10B51">
        <w:rPr>
          <w:rFonts w:ascii="Times New Roman" w:hAnsi="Times New Roman"/>
        </w:rPr>
        <w:t>mernic</w:t>
      </w:r>
      <w:r w:rsidRPr="00A10B51">
        <w:rPr>
          <w:rFonts w:ascii="Times New Roman" w:hAnsi="Times New Roman"/>
          <w:lang w:val="sk-SK"/>
        </w:rPr>
        <w:t>u</w:t>
      </w:r>
      <w:r w:rsidRPr="00A10B51">
        <w:rPr>
          <w:rFonts w:ascii="Times New Roman" w:hAnsi="Times New Roman"/>
        </w:rPr>
        <w:t xml:space="preserve"> Európskeho parlamentu a Rady 2003/87/ES z 13. októbra 2003 o vytvorení systému obchodovania s emisnými kvótami skleníkových plynov v spoločenstve, a ktorou sa mení a dopĺňa smernica Rady 96/61/ES v znení smernice Európskeho parlamentu a Rady 2004/101/ES z 27. októbra 2004 (Ú. v. EÚ L 338, 13. 11. 2004), smernice Európskeho parlamentu a Rady 2008/101/ES z 19. novembra 2008, nariadenia Európskeho parlamentu a Rady (ES) č. 219/2009 z 11. marca </w:t>
      </w:r>
      <w:smartTag w:uri="urn:schemas-microsoft-com:office:smarttags" w:element="metricconverter">
        <w:smartTagPr>
          <w:attr w:name="ProductID" w:val="2009 a"/>
        </w:smartTagPr>
        <w:r w:rsidRPr="00A10B51">
          <w:rPr>
            <w:rFonts w:ascii="Times New Roman" w:hAnsi="Times New Roman"/>
          </w:rPr>
          <w:t>2009 a</w:t>
        </w:r>
      </w:smartTag>
      <w:r w:rsidRPr="00A10B51">
        <w:rPr>
          <w:rFonts w:ascii="Times New Roman" w:hAnsi="Times New Roman"/>
        </w:rPr>
        <w:t xml:space="preserve"> smernice Európskeho parlamentu a Rady 2009/29/ES z 23. apríla 2009</w:t>
      </w:r>
      <w:r w:rsidRPr="00A10B51">
        <w:rPr>
          <w:rFonts w:ascii="Times New Roman" w:hAnsi="Times New Roman"/>
          <w:lang w:val="sk-SK"/>
        </w:rPr>
        <w:t xml:space="preserve"> </w:t>
      </w:r>
      <w:r w:rsidRPr="00A10B51">
        <w:rPr>
          <w:rFonts w:ascii="Times New Roman" w:hAnsi="Times New Roman"/>
          <w:szCs w:val="28"/>
          <w:lang w:val="sk-SK"/>
        </w:rPr>
        <w:t xml:space="preserve">je </w:t>
      </w:r>
      <w:r w:rsidRPr="00A10B51">
        <w:rPr>
          <w:rFonts w:ascii="Times New Roman" w:hAnsi="Times New Roman"/>
          <w:szCs w:val="22"/>
          <w:lang w:val="sk-SK" w:eastAsia="en-US"/>
        </w:rPr>
        <w:t>lehota na implementáciu 31. december 2012</w:t>
      </w:r>
      <w:r w:rsidRPr="00A10B51">
        <w:rPr>
          <w:rFonts w:ascii="Times New Roman" w:hAnsi="Times New Roman"/>
          <w:lang w:val="sk-SK"/>
        </w:rPr>
        <w:t xml:space="preserve">. </w:t>
      </w:r>
    </w:p>
    <w:p w:rsidR="006E7091" w:rsidRPr="00A10B51" w:rsidP="006E7091">
      <w:pPr>
        <w:widowControl/>
        <w:bidi w:val="0"/>
        <w:ind w:left="360"/>
        <w:jc w:val="both"/>
        <w:rPr>
          <w:rFonts w:ascii="Times New Roman" w:hAnsi="Times New Roman"/>
          <w:szCs w:val="28"/>
        </w:rPr>
      </w:pPr>
    </w:p>
    <w:p w:rsidR="006E7091" w:rsidRPr="00A10B51" w:rsidP="006E7091">
      <w:pPr>
        <w:widowControl/>
        <w:numPr>
          <w:numId w:val="5"/>
        </w:numPr>
        <w:autoSpaceDE w:val="0"/>
        <w:autoSpaceDN w:val="0"/>
        <w:bidi w:val="0"/>
        <w:jc w:val="both"/>
        <w:rPr>
          <w:rFonts w:ascii="Times New Roman" w:hAnsi="Times New Roman"/>
          <w:szCs w:val="28"/>
        </w:rPr>
      </w:pPr>
      <w:r w:rsidRPr="00A10B51">
        <w:rPr>
          <w:rFonts w:ascii="Times New Roman" w:hAnsi="Times New Roman"/>
        </w:rPr>
        <w:t xml:space="preserve">pre </w:t>
      </w:r>
      <w:r w:rsidRPr="00750469">
        <w:rPr>
          <w:rFonts w:ascii="Times New Roman" w:hAnsi="Times New Roman"/>
        </w:rPr>
        <w:t>nariadenie</w:t>
      </w:r>
      <w:r w:rsidRPr="00A10B51">
        <w:rPr>
          <w:rFonts w:ascii="Times New Roman" w:hAnsi="Times New Roman"/>
        </w:rPr>
        <w:t xml:space="preserve"> Komisie (EÚ) č. 601/2012 z  21. júna 2012 o monitorovaní a nahlasovaní emisií skleníkových plynov podľa smernice Európskeho parlamentu a Rady 2003/87/ES</w:t>
      </w:r>
      <w:r w:rsidRPr="00A10B51">
        <w:rPr>
          <w:rFonts w:ascii="Times New Roman" w:hAnsi="Times New Roman"/>
          <w:szCs w:val="28"/>
        </w:rPr>
        <w:t xml:space="preserve"> je </w:t>
      </w:r>
      <w:r w:rsidRPr="00A10B51">
        <w:rPr>
          <w:rFonts w:ascii="Times New Roman" w:hAnsi="Times New Roman"/>
          <w:szCs w:val="22"/>
          <w:lang w:eastAsia="en-US"/>
        </w:rPr>
        <w:t>lehota na implementáciu 31. december 2012</w:t>
      </w:r>
      <w:r w:rsidRPr="00A10B51">
        <w:rPr>
          <w:rFonts w:ascii="Times New Roman" w:hAnsi="Times New Roman"/>
        </w:rPr>
        <w:t>.</w:t>
      </w:r>
    </w:p>
    <w:p w:rsidR="006E7091" w:rsidRPr="00A10B51" w:rsidP="006E7091">
      <w:pPr>
        <w:widowControl/>
        <w:bidi w:val="0"/>
        <w:jc w:val="both"/>
        <w:rPr>
          <w:rFonts w:ascii="Times New Roman" w:hAnsi="Times New Roman"/>
        </w:rPr>
      </w:pPr>
    </w:p>
    <w:p w:rsidR="006E7091" w:rsidRPr="00A10B51" w:rsidP="006E7091">
      <w:pPr>
        <w:widowControl/>
        <w:numPr>
          <w:numId w:val="5"/>
        </w:numPr>
        <w:autoSpaceDE w:val="0"/>
        <w:autoSpaceDN w:val="0"/>
        <w:bidi w:val="0"/>
        <w:jc w:val="both"/>
        <w:rPr>
          <w:rFonts w:ascii="Times New Roman" w:hAnsi="Times New Roman"/>
          <w:szCs w:val="28"/>
        </w:rPr>
      </w:pPr>
      <w:r>
        <w:rPr>
          <w:rFonts w:ascii="Times New Roman" w:hAnsi="Times New Roman"/>
        </w:rPr>
        <w:t xml:space="preserve">pre </w:t>
      </w:r>
      <w:r w:rsidRPr="00750469">
        <w:rPr>
          <w:rFonts w:ascii="Times New Roman" w:hAnsi="Times New Roman"/>
        </w:rPr>
        <w:t>nariadenie</w:t>
      </w:r>
      <w:r w:rsidRPr="00A10B51">
        <w:rPr>
          <w:rFonts w:ascii="Times New Roman" w:hAnsi="Times New Roman"/>
        </w:rPr>
        <w:t xml:space="preserve"> Komisie (EÚ)  č. 600/2012 zo dňa 21. júna 2012 o overovaní správ o emisiách, správ o tonokilometroch a akreditácii overovateľov podľa smernice  Európskeho parlamentu a Rady 2003/87/ES </w:t>
      </w:r>
      <w:r w:rsidRPr="00A10B51">
        <w:rPr>
          <w:rFonts w:ascii="Times New Roman" w:hAnsi="Times New Roman"/>
          <w:szCs w:val="28"/>
        </w:rPr>
        <w:t xml:space="preserve">je </w:t>
      </w:r>
      <w:r w:rsidRPr="00A10B51">
        <w:rPr>
          <w:rFonts w:ascii="Times New Roman" w:hAnsi="Times New Roman"/>
          <w:szCs w:val="22"/>
          <w:lang w:eastAsia="en-US"/>
        </w:rPr>
        <w:t>lehota na implementáciu 31. december 2012.</w:t>
      </w:r>
      <w:r w:rsidRPr="00A10B51">
        <w:rPr>
          <w:rFonts w:ascii="Times New Roman" w:hAnsi="Times New Roman"/>
          <w:iCs/>
        </w:rPr>
        <w:t> </w:t>
      </w:r>
    </w:p>
    <w:p w:rsidR="006E7091" w:rsidRPr="00A10B51" w:rsidP="006E7091">
      <w:pPr>
        <w:widowControl/>
        <w:bidi w:val="0"/>
        <w:jc w:val="both"/>
        <w:rPr>
          <w:rFonts w:ascii="Times New Roman" w:hAnsi="Times New Roman"/>
        </w:rPr>
      </w:pPr>
    </w:p>
    <w:p w:rsidR="006E7091" w:rsidRPr="00A10B51" w:rsidP="006E7091">
      <w:pPr>
        <w:widowControl/>
        <w:numPr>
          <w:numId w:val="5"/>
        </w:numPr>
        <w:autoSpaceDE w:val="0"/>
        <w:autoSpaceDN w:val="0"/>
        <w:bidi w:val="0"/>
        <w:jc w:val="both"/>
        <w:rPr>
          <w:rFonts w:ascii="Times New Roman" w:hAnsi="Times New Roman"/>
          <w:szCs w:val="28"/>
        </w:rPr>
      </w:pPr>
      <w:r w:rsidRPr="00A10B51">
        <w:rPr>
          <w:rFonts w:ascii="Times New Roman" w:hAnsi="Times New Roman"/>
          <w:iCs/>
        </w:rPr>
        <w:t xml:space="preserve">pre </w:t>
      </w:r>
      <w:r w:rsidRPr="00750469">
        <w:rPr>
          <w:rFonts w:ascii="Times New Roman" w:hAnsi="Times New Roman"/>
        </w:rPr>
        <w:t>n</w:t>
      </w:r>
      <w:r w:rsidRPr="00A10B51">
        <w:rPr>
          <w:rFonts w:ascii="Times New Roman" w:hAnsi="Times New Roman"/>
        </w:rPr>
        <w:t xml:space="preserve">ariadenie Komisie (EÚ) č. 1031/2010 </w:t>
      </w:r>
      <w:r w:rsidRPr="00A10B51">
        <w:rPr>
          <w:rFonts w:ascii="Times New Roman" w:hAnsi="Times New Roman"/>
          <w:bCs/>
        </w:rPr>
        <w:t>zo dňa 12. novembra 2010 o harmonograme, správe a iných aspektoch obchodovania s emisnými kvótami skleníkových plynov formou aukcie podľa smernice Európskeho parlamentu a Rady 2003/87/ES o vytvorení systému obchodovania s emisnými kvótami skleníkových plynov v Spoločenstve v platnom znení</w:t>
      </w:r>
      <w:r w:rsidRPr="00A10B51">
        <w:rPr>
          <w:rFonts w:ascii="Times New Roman" w:hAnsi="Times New Roman"/>
          <w:szCs w:val="28"/>
        </w:rPr>
        <w:t xml:space="preserve"> je </w:t>
      </w:r>
      <w:r w:rsidRPr="00A10B51">
        <w:rPr>
          <w:rFonts w:ascii="Times New Roman" w:hAnsi="Times New Roman"/>
          <w:szCs w:val="22"/>
          <w:lang w:eastAsia="en-US"/>
        </w:rPr>
        <w:t>lehota na implementáciu 31. december 2012.</w:t>
      </w:r>
      <w:r w:rsidRPr="00A10B51">
        <w:rPr>
          <w:rFonts w:ascii="Times New Roman" w:hAnsi="Times New Roman"/>
          <w:iCs/>
        </w:rPr>
        <w:t> </w:t>
      </w:r>
    </w:p>
    <w:p w:rsidR="006E7091" w:rsidRPr="00A10B51" w:rsidP="006E7091">
      <w:pPr>
        <w:widowControl/>
        <w:bidi w:val="0"/>
        <w:jc w:val="both"/>
        <w:rPr>
          <w:rFonts w:ascii="Times New Roman" w:hAnsi="Times New Roman"/>
        </w:rPr>
      </w:pPr>
    </w:p>
    <w:p w:rsidR="006E7091" w:rsidRPr="00A10B51" w:rsidP="006E7091">
      <w:pPr>
        <w:widowControl/>
        <w:numPr>
          <w:numId w:val="5"/>
        </w:numPr>
        <w:autoSpaceDE w:val="0"/>
        <w:autoSpaceDN w:val="0"/>
        <w:bidi w:val="0"/>
        <w:jc w:val="both"/>
        <w:rPr>
          <w:rFonts w:ascii="Times New Roman" w:hAnsi="Times New Roman"/>
          <w:szCs w:val="28"/>
        </w:rPr>
      </w:pPr>
      <w:r w:rsidRPr="00750469">
        <w:rPr>
          <w:rFonts w:ascii="Times New Roman" w:hAnsi="Times New Roman"/>
          <w:szCs w:val="22"/>
          <w:lang w:eastAsia="en-US"/>
        </w:rPr>
        <w:t xml:space="preserve">pre </w:t>
      </w:r>
      <w:r w:rsidRPr="00750469">
        <w:rPr>
          <w:rFonts w:ascii="Times New Roman" w:hAnsi="Times New Roman"/>
        </w:rPr>
        <w:t>rozhodnutie Komisie z  27. apríla 2011, ktorým sa ustanovujú prechodné pravidlá harmonizácie bezodplatného prideľovania emisných kvót podľa článku 10a smernice Európskeho parlamentu a Rady 2003/87/ES, platné v celej Únii</w:t>
      </w:r>
      <w:r w:rsidRPr="00A10B51">
        <w:rPr>
          <w:rFonts w:ascii="Times New Roman" w:hAnsi="Times New Roman"/>
          <w:szCs w:val="28"/>
        </w:rPr>
        <w:t xml:space="preserve"> je </w:t>
      </w:r>
      <w:r w:rsidRPr="00A10B51">
        <w:rPr>
          <w:rFonts w:ascii="Times New Roman" w:hAnsi="Times New Roman"/>
          <w:szCs w:val="22"/>
          <w:lang w:eastAsia="en-US"/>
        </w:rPr>
        <w:t>lehota na implementáciu 31. december 2012.</w:t>
      </w:r>
    </w:p>
    <w:p w:rsidR="006E7091" w:rsidRPr="00A10B51" w:rsidP="006E7091">
      <w:pPr>
        <w:widowControl/>
        <w:bidi w:val="0"/>
        <w:rPr>
          <w:rFonts w:ascii="Times New Roman" w:hAnsi="Times New Roman"/>
          <w:szCs w:val="28"/>
        </w:rPr>
      </w:pPr>
    </w:p>
    <w:p w:rsidR="006E7091" w:rsidRPr="00A10B51" w:rsidP="006E7091">
      <w:pPr>
        <w:widowControl/>
        <w:bidi w:val="0"/>
        <w:ind w:left="567" w:hanging="283"/>
        <w:jc w:val="both"/>
        <w:rPr>
          <w:rFonts w:ascii="Times New Roman" w:hAnsi="Times New Roman"/>
          <w:szCs w:val="28"/>
        </w:rPr>
      </w:pPr>
      <w:r w:rsidRPr="00A10B51">
        <w:rPr>
          <w:rFonts w:ascii="Times New Roman" w:hAnsi="Times New Roman"/>
          <w:szCs w:val="28"/>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E7091" w:rsidRPr="00A10B51" w:rsidP="006E7091">
      <w:pPr>
        <w:widowControl/>
        <w:bidi w:val="0"/>
        <w:ind w:left="567" w:hanging="283"/>
        <w:jc w:val="both"/>
        <w:rPr>
          <w:rFonts w:ascii="Times New Roman" w:hAnsi="Times New Roman"/>
          <w:szCs w:val="28"/>
        </w:rPr>
      </w:pPr>
    </w:p>
    <w:p w:rsidR="006E7091" w:rsidRPr="00A10B51" w:rsidP="006E7091">
      <w:pPr>
        <w:widowControl/>
        <w:numPr>
          <w:numId w:val="5"/>
        </w:numPr>
        <w:autoSpaceDE w:val="0"/>
        <w:autoSpaceDN w:val="0"/>
        <w:bidi w:val="0"/>
        <w:jc w:val="both"/>
        <w:rPr>
          <w:rFonts w:ascii="Times New Roman" w:hAnsi="Times New Roman"/>
          <w:szCs w:val="28"/>
        </w:rPr>
      </w:pPr>
      <w:r w:rsidRPr="00A10B51">
        <w:rPr>
          <w:rFonts w:ascii="Times New Roman" w:hAnsi="Times New Roman"/>
          <w:szCs w:val="28"/>
        </w:rPr>
        <w:t>bezpredmetné,</w:t>
      </w:r>
    </w:p>
    <w:p w:rsidR="006E7091" w:rsidRPr="00A10B51" w:rsidP="006E7091">
      <w:pPr>
        <w:widowControl/>
        <w:bidi w:val="0"/>
        <w:rPr>
          <w:rFonts w:ascii="Times New Roman" w:hAnsi="Times New Roman"/>
          <w:szCs w:val="28"/>
        </w:rPr>
      </w:pPr>
    </w:p>
    <w:p w:rsidR="006E7091" w:rsidRPr="00A10B51" w:rsidP="006E7091">
      <w:pPr>
        <w:widowControl/>
        <w:bidi w:val="0"/>
        <w:ind w:left="567" w:hanging="283"/>
        <w:rPr>
          <w:rFonts w:ascii="Times New Roman" w:hAnsi="Times New Roman"/>
          <w:szCs w:val="28"/>
        </w:rPr>
      </w:pPr>
      <w:r w:rsidRPr="00A10B51">
        <w:rPr>
          <w:rFonts w:ascii="Times New Roman" w:hAnsi="Times New Roman"/>
          <w:szCs w:val="28"/>
        </w:rPr>
        <w:t>c)  informácia o konaní začatom proti Slovenskej republike o porušení podľa čl. 258 až 260 Zmluvy o fungovaní Európskej únie,</w:t>
      </w:r>
    </w:p>
    <w:p w:rsidR="006E7091" w:rsidRPr="00A10B51" w:rsidP="006E7091">
      <w:pPr>
        <w:widowControl/>
        <w:bidi w:val="0"/>
        <w:ind w:left="567" w:hanging="283"/>
        <w:rPr>
          <w:rFonts w:ascii="Times New Roman" w:hAnsi="Times New Roman"/>
          <w:szCs w:val="28"/>
        </w:rPr>
      </w:pPr>
    </w:p>
    <w:p w:rsidR="006E7091" w:rsidRPr="00A10B51" w:rsidP="006E7091">
      <w:pPr>
        <w:widowControl/>
        <w:numPr>
          <w:numId w:val="5"/>
        </w:numPr>
        <w:autoSpaceDE w:val="0"/>
        <w:autoSpaceDN w:val="0"/>
        <w:bidi w:val="0"/>
        <w:jc w:val="both"/>
        <w:rPr>
          <w:rFonts w:ascii="Times New Roman" w:hAnsi="Times New Roman"/>
          <w:szCs w:val="28"/>
        </w:rPr>
      </w:pPr>
      <w:r w:rsidRPr="00A10B51">
        <w:rPr>
          <w:rFonts w:ascii="Times New Roman" w:hAnsi="Times New Roman"/>
          <w:szCs w:val="28"/>
        </w:rPr>
        <w:t>nebolo začaté</w:t>
      </w:r>
    </w:p>
    <w:p w:rsidR="006E7091" w:rsidRPr="00A10B51" w:rsidP="006E7091">
      <w:pPr>
        <w:widowControl/>
        <w:bidi w:val="0"/>
        <w:ind w:left="284"/>
        <w:rPr>
          <w:rFonts w:ascii="Times New Roman" w:hAnsi="Times New Roman"/>
          <w:szCs w:val="28"/>
        </w:rPr>
      </w:pPr>
    </w:p>
    <w:p w:rsidR="006E7091" w:rsidRPr="00A10B51" w:rsidP="006E7091">
      <w:pPr>
        <w:widowControl/>
        <w:bidi w:val="0"/>
        <w:ind w:left="567" w:hanging="283"/>
        <w:jc w:val="both"/>
        <w:rPr>
          <w:rFonts w:ascii="Times New Roman" w:hAnsi="Times New Roman"/>
          <w:szCs w:val="28"/>
        </w:rPr>
      </w:pPr>
      <w:r w:rsidRPr="00A10B51">
        <w:rPr>
          <w:rFonts w:ascii="Times New Roman" w:hAnsi="Times New Roman"/>
          <w:szCs w:val="28"/>
        </w:rPr>
        <w:t>d)  informácia o právnych predpisoch, v ktorých sú preberané smernice už prebraté spolu                  s   uvedením rozsahu tohto prebratia:</w:t>
      </w:r>
    </w:p>
    <w:p w:rsidR="006E7091" w:rsidRPr="00A10B51" w:rsidP="006E7091">
      <w:pPr>
        <w:widowControl/>
        <w:bidi w:val="0"/>
        <w:ind w:left="567" w:hanging="283"/>
        <w:jc w:val="both"/>
        <w:rPr>
          <w:rFonts w:ascii="Times New Roman" w:hAnsi="Times New Roman"/>
          <w:szCs w:val="28"/>
        </w:rPr>
      </w:pPr>
    </w:p>
    <w:p w:rsidR="006E7091" w:rsidRPr="00A10B51" w:rsidP="006E7091">
      <w:pPr>
        <w:widowControl/>
        <w:numPr>
          <w:numId w:val="5"/>
        </w:numPr>
        <w:autoSpaceDE w:val="0"/>
        <w:autoSpaceDN w:val="0"/>
        <w:bidi w:val="0"/>
        <w:jc w:val="both"/>
        <w:rPr>
          <w:rFonts w:ascii="Times New Roman" w:hAnsi="Times New Roman"/>
          <w:szCs w:val="28"/>
        </w:rPr>
      </w:pPr>
      <w:r w:rsidRPr="00A10B51">
        <w:rPr>
          <w:rFonts w:ascii="Times New Roman" w:hAnsi="Times New Roman"/>
          <w:szCs w:val="28"/>
        </w:rPr>
        <w:t>Smernica Európskeho parlamentu a Rady 2003/87/ES z 13. októbra 2003 o vytvorení systému obchodovania s emisnými kvótami skleníkových plynov v spoločenstve, a ktorou sa mení a dopĺňa smernica Rady 96/61/ES je čiastočne prebratá v zákone č. 572/2004 Z. z. o obchodovaní s emisnými kvótami a o zmene a doplnení niektorých zákonov,</w:t>
      </w:r>
    </w:p>
    <w:p w:rsidR="006E7091" w:rsidP="006E7091">
      <w:pPr>
        <w:widowControl/>
        <w:bidi w:val="0"/>
        <w:ind w:left="720"/>
        <w:jc w:val="both"/>
        <w:rPr>
          <w:rFonts w:ascii="Times New Roman" w:hAnsi="Times New Roman"/>
          <w:szCs w:val="28"/>
        </w:rPr>
      </w:pPr>
    </w:p>
    <w:p w:rsidR="00FA7F14" w:rsidRPr="00A10B51" w:rsidP="006E7091">
      <w:pPr>
        <w:widowControl/>
        <w:bidi w:val="0"/>
        <w:ind w:left="720"/>
        <w:jc w:val="both"/>
        <w:rPr>
          <w:rFonts w:ascii="Times New Roman" w:hAnsi="Times New Roman"/>
          <w:szCs w:val="28"/>
        </w:rPr>
      </w:pPr>
    </w:p>
    <w:p w:rsidR="006E7091" w:rsidRPr="00A10B51" w:rsidP="006E7091">
      <w:pPr>
        <w:widowControl/>
        <w:bidi w:val="0"/>
        <w:ind w:left="284" w:hanging="284"/>
        <w:rPr>
          <w:rFonts w:ascii="Times New Roman" w:hAnsi="Times New Roman"/>
          <w:b/>
          <w:lang w:eastAsia="en-US"/>
        </w:rPr>
      </w:pPr>
      <w:r w:rsidRPr="00A10B51">
        <w:rPr>
          <w:rFonts w:ascii="Times New Roman" w:hAnsi="Times New Roman"/>
          <w:b/>
          <w:lang w:eastAsia="en-US"/>
        </w:rPr>
        <w:t>5.  Stupeň zlučiteľnosti návrhu právneho predpisu alebo návrhu legislatívneho zámeru s právom Európskej únie:</w:t>
      </w:r>
    </w:p>
    <w:p w:rsidR="006E7091" w:rsidRPr="00A10B51" w:rsidP="006E7091">
      <w:pPr>
        <w:widowControl/>
        <w:numPr>
          <w:numId w:val="5"/>
        </w:numPr>
        <w:bidi w:val="0"/>
        <w:adjustRightInd/>
        <w:spacing w:before="120" w:after="200"/>
        <w:jc w:val="both"/>
        <w:rPr>
          <w:rFonts w:ascii="Times New Roman" w:hAnsi="Times New Roman"/>
          <w:lang w:eastAsia="en-US"/>
        </w:rPr>
      </w:pPr>
      <w:r w:rsidRPr="00A10B51">
        <w:rPr>
          <w:rFonts w:ascii="Times New Roman" w:hAnsi="Times New Roman"/>
          <w:lang w:eastAsia="en-US"/>
        </w:rPr>
        <w:t>stupeň zlučiteľnosti – čiastočná zhoda.</w:t>
      </w:r>
    </w:p>
    <w:p w:rsidR="006E7091" w:rsidRPr="00A10B51" w:rsidP="006E7091">
      <w:pPr>
        <w:widowControl/>
        <w:bidi w:val="0"/>
        <w:rPr>
          <w:rFonts w:ascii="Times New Roman" w:hAnsi="Times New Roman"/>
          <w:b/>
          <w:lang w:eastAsia="en-US"/>
        </w:rPr>
      </w:pPr>
      <w:r w:rsidRPr="00A10B51">
        <w:rPr>
          <w:rFonts w:ascii="Times New Roman" w:hAnsi="Times New Roman"/>
          <w:b/>
          <w:lang w:eastAsia="en-US"/>
        </w:rPr>
        <w:t>6. Gestor a spolupracujúce rezorty:</w:t>
      </w:r>
    </w:p>
    <w:p w:rsidR="006E7091" w:rsidRPr="00A10B51" w:rsidP="006E7091">
      <w:pPr>
        <w:widowControl/>
        <w:bidi w:val="0"/>
        <w:rPr>
          <w:rFonts w:ascii="Times New Roman" w:hAnsi="Times New Roman"/>
          <w:b/>
          <w:lang w:eastAsia="en-US"/>
        </w:rPr>
      </w:pPr>
    </w:p>
    <w:p w:rsidR="006E7091" w:rsidRPr="00A10B51" w:rsidP="006E7091">
      <w:pPr>
        <w:widowControl/>
        <w:bidi w:val="0"/>
        <w:ind w:left="284"/>
        <w:rPr>
          <w:rFonts w:ascii="Times New Roman" w:hAnsi="Times New Roman"/>
          <w:lang w:eastAsia="en-US"/>
        </w:rPr>
      </w:pPr>
      <w:r w:rsidRPr="00A10B51">
        <w:rPr>
          <w:rFonts w:ascii="Times New Roman" w:hAnsi="Times New Roman"/>
          <w:lang w:eastAsia="en-US"/>
        </w:rPr>
        <w:t>Ministerstvo životného prostredia Slovenskej republiky</w:t>
      </w:r>
    </w:p>
    <w:p w:rsidR="00F9065E" w:rsidRPr="0051019D" w:rsidP="00302A49">
      <w:pPr>
        <w:widowControl/>
        <w:bidi w:val="0"/>
        <w:adjustRightInd/>
        <w:spacing w:after="200"/>
        <w:rPr>
          <w:rFonts w:ascii="Times New Roman" w:hAnsi="Times New Roman"/>
          <w:lang w:eastAsia="en-US"/>
        </w:rPr>
      </w:pPr>
      <w:r w:rsidRPr="00A10B51" w:rsidR="006E7091">
        <w:rPr>
          <w:rFonts w:ascii="Times New Roman" w:hAnsi="Times New Roman"/>
          <w:lang w:eastAsia="en-US"/>
        </w:rPr>
        <w:t>     </w:t>
        <w:tab/>
      </w:r>
    </w:p>
    <w:p w:rsidR="0055349F" w:rsidRPr="005F4057" w:rsidP="0055349F">
      <w:pPr>
        <w:widowControl/>
        <w:bidi w:val="0"/>
        <w:jc w:val="both"/>
        <w:rPr>
          <w:rFonts w:ascii="Times New Roman" w:hAnsi="Times New Roman"/>
          <w:b/>
        </w:rPr>
      </w:pPr>
      <w:r w:rsidRPr="0051019D" w:rsidR="00F9065E">
        <w:rPr>
          <w:rFonts w:ascii="Times New Roman" w:hAnsi="Times New Roman"/>
        </w:rPr>
        <w:t> </w:t>
      </w:r>
      <w:r w:rsidRPr="005F4057">
        <w:rPr>
          <w:rFonts w:ascii="Times New Roman" w:hAnsi="Times New Roman"/>
          <w:b/>
        </w:rPr>
        <w:t>B. Osobitná časť</w:t>
      </w:r>
    </w:p>
    <w:p w:rsidR="0055349F" w:rsidRPr="005F4057" w:rsidP="0055349F">
      <w:pPr>
        <w:bidi w:val="0"/>
        <w:rPr>
          <w:rFonts w:ascii="Times New Roman" w:hAnsi="Times New Roman"/>
        </w:rPr>
      </w:pPr>
    </w:p>
    <w:p w:rsidR="0055349F" w:rsidRPr="005F4057" w:rsidP="0055349F">
      <w:pPr>
        <w:bidi w:val="0"/>
        <w:jc w:val="both"/>
        <w:rPr>
          <w:rFonts w:ascii="Times New Roman" w:hAnsi="Times New Roman"/>
          <w:b/>
        </w:rPr>
      </w:pPr>
      <w:r w:rsidRPr="005F4057">
        <w:rPr>
          <w:rFonts w:ascii="Times New Roman" w:hAnsi="Times New Roman"/>
          <w:b/>
        </w:rPr>
        <w:t>K Čl. I</w:t>
      </w:r>
    </w:p>
    <w:p w:rsidR="0055349F" w:rsidRPr="005F4057" w:rsidP="0055349F">
      <w:pPr>
        <w:pStyle w:val="ListParagraph"/>
        <w:bidi w:val="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r w:rsidRPr="005F4057">
        <w:rPr>
          <w:rFonts w:ascii="Times New Roman" w:hAnsi="Times New Roman"/>
        </w:rPr>
        <w:t xml:space="preserve"> </w:t>
      </w:r>
    </w:p>
    <w:p w:rsidR="0055349F" w:rsidRPr="005F4057" w:rsidP="0055349F">
      <w:pPr>
        <w:pStyle w:val="ListParagraph"/>
        <w:bidi w:val="0"/>
        <w:ind w:left="0"/>
        <w:jc w:val="both"/>
        <w:rPr>
          <w:rFonts w:ascii="Times New Roman" w:hAnsi="Times New Roman"/>
        </w:rPr>
      </w:pPr>
      <w:r w:rsidRPr="005F4057">
        <w:rPr>
          <w:rFonts w:ascii="Times New Roman" w:hAnsi="Times New Roman"/>
        </w:rPr>
        <w:t>Upravuje sa predmet zákona. Zákon upravuje obchodovanie s emisnými kvótami skleníkových plynov v Slovenskej republike,  medzi osobami registrovanými v Slovenskej republike a v Európskej únii a osobami registrovanými v krajinách uvedených Kjótskom protokole, ktoré podporuje znižovanie emisií skleníkových plynov ekonomicky výhodným spôsobom, obchodovanie s emisnými kvótami znečisťujúcich látok, práva a povinnosti toho, kto prevádzkuje alebo riadi stacionárnu prevádzku, prevádzkovateľov lietadiel, ostatných účastníkov schémy obchodovania a ostatných účastníkov systému obchodovania a pôsobnosť orgánov štátnej správy.</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Definujú sa základné pojmy napríklad kvóta, prevod kvóty emisia, skleníkové plyny znečisťujúce  látky, prevádzka, prevádzkovateľ lietadla, tona ekvivalentu oxidu uhličitého priznaná jednotka (AAU), jednotka zníženia emisií (ERU), jednotka certifikovaného zníženia emisií (CER), kvóta z leteckej dopravy (aEUA alebo EUAA) v zmysle Smernice Európskeho parlamentu a Rady 2003/87/ES z 13. októbra 2003 o vytvorení systému obchodovania s emisnými kvótami skleníkových plynov v spoločenstve v platnom znení a Nariadenia Komisie (EÚ) č. 1193/2011 zo dňa 18. novembra 2011, ktorým sa zriaďuje register Únie na obdobie  obchodovania začínajúce 1. januára 2013 a na nasledujúce obdobia obchodovania v rámci systému Únie na obchodovanie s emisnými kvótami podľa smernice Európskeho parlamentu a Rady  2003/87/ES a rozhodnutia   Európskeho parlamentu a Rady č. 280/2004/ES a ktorým sa menia a dopĺňajú nariadenia (ES) č. 2216/2004 a (EÚ) č. 920/2010.</w:t>
      </w:r>
    </w:p>
    <w:p w:rsidR="0055349F" w:rsidRPr="00302A49"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povinnosť mať povolenie na vypúšťanie skleníkových plynov do ovzdušia vydané obvodným úradom životného prostredia na vypúšťanie skleníkových plynov z prevádzky alebo z jej časti do ovzdušia. Ustanovujú sa náležitosti žiadosti o povolenie na vypúšťanie skleníkových plynov do ovzdušia. V odseku 3 sa ustanovuje  možnosť, ako sa stať dobrovoľným účastníkom schémy obchodovania podaním žiadosti o povolenie na vypúšťanie skleníkových plynov do ovzdušia. </w:t>
      </w:r>
    </w:p>
    <w:p w:rsidR="0055349F" w:rsidP="0055349F">
      <w:pPr>
        <w:pStyle w:val="ListParagraph"/>
        <w:bidi w:val="0"/>
        <w:ind w:left="0"/>
        <w:jc w:val="both"/>
        <w:rPr>
          <w:rFonts w:ascii="Times New Roman" w:hAnsi="Times New Roman"/>
          <w:lang w:val="sk-SK"/>
        </w:rPr>
      </w:pPr>
    </w:p>
    <w:p w:rsidR="00FA7F14" w:rsidP="0055349F">
      <w:pPr>
        <w:pStyle w:val="ListParagraph"/>
        <w:bidi w:val="0"/>
        <w:ind w:left="0"/>
        <w:jc w:val="both"/>
        <w:rPr>
          <w:rFonts w:ascii="Times New Roman" w:hAnsi="Times New Roman"/>
          <w:lang w:val="sk-SK"/>
        </w:rPr>
      </w:pPr>
    </w:p>
    <w:p w:rsidR="00FA7F14" w:rsidP="0055349F">
      <w:pPr>
        <w:pStyle w:val="ListParagraph"/>
        <w:bidi w:val="0"/>
        <w:ind w:left="0"/>
        <w:jc w:val="both"/>
        <w:rPr>
          <w:rFonts w:ascii="Times New Roman" w:hAnsi="Times New Roman"/>
          <w:lang w:val="sk-SK"/>
        </w:rPr>
      </w:pPr>
    </w:p>
    <w:p w:rsidR="00FA7F14"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P="0055349F">
      <w:pPr>
        <w:pStyle w:val="ListParagraph"/>
        <w:bidi w:val="0"/>
        <w:ind w:left="0"/>
        <w:jc w:val="both"/>
        <w:rPr>
          <w:rFonts w:ascii="Times New Roman" w:hAnsi="Times New Roman"/>
          <w:lang w:val="sk-SK"/>
        </w:rPr>
      </w:pPr>
      <w:r w:rsidRPr="005F4057">
        <w:rPr>
          <w:rFonts w:ascii="Times New Roman" w:hAnsi="Times New Roman"/>
        </w:rPr>
        <w:t xml:space="preserve">Ustanovuje sa povinnosť mať </w:t>
      </w:r>
      <w:r w:rsidRPr="005F4057">
        <w:rPr>
          <w:rFonts w:ascii="Times New Roman" w:hAnsi="Times New Roman"/>
          <w:bCs/>
        </w:rPr>
        <w:t xml:space="preserve">povolenie na vypúšťanie </w:t>
      </w:r>
      <w:r w:rsidRPr="005F4057">
        <w:rPr>
          <w:rFonts w:ascii="Times New Roman" w:hAnsi="Times New Roman"/>
        </w:rPr>
        <w:t xml:space="preserve">znečisťujúcich látok do ovzdušia vydané obvodným úradom životného prostredia na vypúšťanie znečisťujúcich látok z  prevádzky alebo z jej časti do ovzdušia. Ustanovujú sa náležitosti žiadosti o povolenie na vypúšťanie znečisťujúcich látok do ovzdušia. </w:t>
      </w:r>
    </w:p>
    <w:p w:rsidR="00FA7F14"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Ustanovujú sa spoločne podmienky a náležitosti  povolenia na vypúšťanie skleníkových plynov do ovzdušia a povolenia na vypúšťanie znečisťujúcich látok do ovzdušia. Definuje sa oblasť, ktorú pokrýva povolenie a možnosť udeliť obidva druhy povolení súčasne.  Ustanovuje sa 60 dňová lehota na vydanie obidvoch povolení a 10 dňová lehota na zaslanie kópií obidvoch povolení Ministerstvu životného prostredia Slovenskej republiky. V odseku 7 sa upravuje vzťah povolenia na vypúšťanie skleníkových plynov z prevádzky s integrovaným povolením vydaným podľa prílohy č. 1 zákona č. 245/2003 Z. z. o integrovanej prevencii a kontrole znečisťovania životného prostredia a o zmene a doplnení niektorých zákonov v znení neskorších predpisov.  </w:t>
      </w:r>
    </w:p>
    <w:p w:rsidR="0055349F"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Default"/>
        <w:bidi w:val="0"/>
        <w:jc w:val="both"/>
        <w:rPr>
          <w:rFonts w:ascii="Times New Roman" w:hAnsi="Times New Roman"/>
          <w:color w:val="auto"/>
        </w:rPr>
      </w:pPr>
      <w:r w:rsidRPr="005F4057">
        <w:rPr>
          <w:rFonts w:ascii="Times New Roman" w:hAnsi="Times New Roman"/>
          <w:color w:val="auto"/>
        </w:rPr>
        <w:t xml:space="preserve">Ustanovujú sa dôvody zmeny, zrušenia </w:t>
      </w:r>
      <w:r w:rsidRPr="005F4057">
        <w:rPr>
          <w:rFonts w:ascii="Times New Roman" w:hAnsi="Times New Roman"/>
          <w:bCs/>
          <w:color w:val="auto"/>
        </w:rPr>
        <w:t xml:space="preserve">povolenia na vypúšťanie </w:t>
      </w:r>
      <w:r w:rsidRPr="005F4057">
        <w:rPr>
          <w:rFonts w:ascii="Times New Roman" w:hAnsi="Times New Roman"/>
          <w:color w:val="auto"/>
        </w:rPr>
        <w:t xml:space="preserve">znečisťujúcich látok do ovzdušia a povolenie na vypúšťanie skleníkových plynov do ovzdušia a dôvody  vydania nového rozhodnutia o vyradení prevádzky zo schémy obchodovania obvodným úradom životného prostredia na základe informácie zo strany prevádzkovateľa. Dôvodmi zrušenia povolenia je  zmena podmienok na vydanie povolenia, ukončenie prevádzky a ak prevádzkovanie nie je možné. Dôvodmi na zrušenie povolenia je že, </w:t>
      </w:r>
      <w:r w:rsidRPr="005F4057">
        <w:rPr>
          <w:rFonts w:ascii="Times New Roman" w:hAnsi="Times New Roman"/>
          <w:color w:val="auto"/>
          <w:sz w:val="23"/>
          <w:szCs w:val="23"/>
        </w:rPr>
        <w:t xml:space="preserve">prevádzkovanie prevádzky nie je technicky možné, prevádzka vykonávala činnosť, ale v súčasnosti túto činnosť už nevykonáva a ani ju nie je technicky možné obnoviť a zároveň prevádzkovateľ nemôže preukázať, že sa jej prevádzka obnoví najneskôr do 6 mesiacov od skončenia prevádzky.  Ďalším dôvodom zrušenia povolenia je pokles celkového menovitého tepelného príkonu prevádzky pod 20 MW z dôvodu vykonania fyzickej technologickej zmeny, čím prevádzkovateľ prestane spĺňať podmienku povinného zaradenia do schémy obchodovania.  </w:t>
      </w:r>
      <w:r w:rsidRPr="005F4057">
        <w:rPr>
          <w:rFonts w:ascii="Times New Roman" w:hAnsi="Times New Roman"/>
          <w:color w:val="auto"/>
        </w:rPr>
        <w:t xml:space="preserve">V odseku 4 sa určuje lehota pre periodické preskúmavanie povolenia na vypúšťanie skleníkových plynov v zmysle Smernice Európskeho parlamentu a Rady 2003/87/ES z 13. októbra 2003 o vytvorení systému obchodovania s emisnými kvótami skleníkových plynov v spoločenstve v platnom znení. V odseku 5 sa určuje prechod práv a povinností na nového právneho nástupcu  prevádzkovateľa a z toho vyplývajúce povinnosti.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V odseku 1 sa ustanovujú povinní a dobrovoľní účastníci schémy obchodovania, vrátane ich definovania v zmysle Smernice Európskeho parlamentu a Rady 2003/87/ES z 13. októbra 2003 o vytvorení systému obchodovania s emisnými kvótami skleníkových plynov v spoločenstve v platnom znení (príloha č. 1 – činnosti, tepelný menovitý príkon a prahové hodnoty pre jednotlivé priemyselné činnosti). V odseku 2 sa definuje držiteľ kvóty. V odseku 3 sa určujú náležitosti žiadosti, ktoré účastník schémy obchodovania za účelom zaradenia do schémy obchodovania. V odsekoch 5 a 6 sa určujú 20 dňové lehoty na zápis a zriadenie účtu kvót vnútroštátnym správcom a na podanie žiadosti vnútroštátnemu správcovi ako aj  možnosť účtovania primeraných poplatkov za správu kvót v registri Únie. </w:t>
      </w:r>
    </w:p>
    <w:p w:rsidR="0055349F" w:rsidP="0055349F">
      <w:pPr>
        <w:pStyle w:val="ListParagraph"/>
        <w:bidi w:val="0"/>
        <w:ind w:left="0"/>
        <w:jc w:val="both"/>
        <w:rPr>
          <w:rFonts w:ascii="Times New Roman" w:hAnsi="Times New Roman"/>
          <w:lang w:val="sk-SK"/>
        </w:rPr>
      </w:pPr>
    </w:p>
    <w:p w:rsidR="00FA7F14" w:rsidP="0055349F">
      <w:pPr>
        <w:pStyle w:val="ListParagraph"/>
        <w:bidi w:val="0"/>
        <w:ind w:left="0"/>
        <w:jc w:val="both"/>
        <w:rPr>
          <w:rFonts w:ascii="Times New Roman" w:hAnsi="Times New Roman"/>
          <w:lang w:val="sk-SK"/>
        </w:rPr>
      </w:pPr>
    </w:p>
    <w:p w:rsidR="00FA7F14"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V odseku 1 sa ustanovujú účastníci systému obchodovania, definuje sa účastník systému obchodovania. V odseku 2 sa definuje držiteľ kvóty. V odseku 3 sa určujú náležitosti žiadosti potrebnej na účasť v systéme obchodovania V odsekoch 4 a 5 sa určujú 20 dňové lehoty na zapísanie a zriadeniu účtu kvót správcom registra systému a  na podanie žiadosti správcovi registra systému po nadobudnutí právoplatnosti povolenia. V odseku 6 sa určuje spôsob zaradenia prevádzkovateľa do systému obchodovania po ukončení prideľovania kvót znečisťujúcich látok v príslušnom ročnom obchodovateľnom období. </w:t>
      </w:r>
    </w:p>
    <w:p w:rsidR="0055349F" w:rsidRPr="00302A49"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V odseku 1 sa ustanovuje pojem vykonávacie opatrenia v súlade s článkom 15 Rozhodnutia Komisie (EÚ) č. 2011/278/EÚ zo dňa 27. apríla 2011, ktorým sa ustanovujú prechodné pravidlá </w:t>
        <w:br/>
        <w:t xml:space="preserve">harmonizácie bezodplatného prideľovania emisných kvót podľa článku 10a smernice Európskeho parlamentu Rady 2003/87/ES, platné v celej Únii, pre osemročné obchodovateľné obdobie začínajúce sa od 1. januára 2013 a pre každé nasledujúce obchodovateľné obdobie. Vykonávacie opatrenia predstavujú zoznam prevádzok, v ktorých sa vykonáva jedna činnosť alebo viac činností uvedených v prílohe č. 1 tabuľkách A a B vrátane prevádzok vyrábajúcich elektrinu ako aj každé predbežné individuálne ročné množstvo bezodplatne pridelených kvót, s použitím elektronickej šablóny poskytnutej Komisiou. V odseku 2 sa definuje postup, na základe ktorého ministerstvo pristúpi k stanoveniu celkového konečného ročného množstva bezodplatne pridelených kvót na každý rok počas obchodovateľného obdobia, po schválení Komisiou EÚ.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spôsob a pravidlá pre zapísanie bezodplatných kvót, pravidlá pre prípad zmien v charaktere a činnosti prevádzky, pravidlá pre pridelenie kvót novým účastníkom schémy obchodovania, spôsob, akým nový účastník schémy obchodovania požiada o pridelenie bezodplatných kvót a časový harmonogram tohto procesu, povinnosti vnútroštátneho správcu, pravidlá pre prípad zlúčenia prevádzok alebo rozdelenia prevádzky a predaj priznaných jednotiek a jeho pravidlá v súlade s príslušnými ustanoveniami Rozhodnutia Komisie (EÚ) č. 2011/278/EÚ zo dňa 27. apríla 2011, ktorým sa ustanovujú prechodné pravidlá </w:t>
        <w:br/>
        <w:t xml:space="preserve">harmonizácie bezodplatného prideľovania emisných kvót podľa článku 10a smernice Európskeho parlamentu Rady 2003/87/ES, platné v celej Únii. Odsek 10 upravuje spôsob predaja a využitie výnosu z predaja priznaných jednotiek AAU.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V odsekoch 1 až 4 je definované používanie jednotiek certifikovaného zníženia emisií (CER) a jednotiek zníženia emisií (ERU) z projektových aktivít v schéme obchodovania v súlade s článkom 11a Smernice Európskeho parlamentu a Rady 2003/87/ES z 13. októbra 2003 o vytvorení systému obchodovania s emisnými kvótami skleníkových plynov v spoločenstve v platnom znení, pravidlá výmeny jednotiek certifikovaného zníženia emisií (CER) a jednotiek zníženia emisií (ERU) z projektových aktivít za kvóty platné od roku 2013, možnosť použitia jednotiek z projektov alebo iných činností zníženia emisií v tretích krajinách na základe dohody uzavretej medzi Európskou úniou a tretími krajinami, obmedzenie použitia jednotiek zníženia emisií (ERU) a jednotiek certifikovaného zníženia emisií (CER) pri určitých typoch projektov v súlade s Nariadením Komisie (EÚ) č. 550/2011 zo dňa 7. júna 2011, ktorým sa podľa smernice Európskeho parlamentu a Rady 2003/87/ES stanovujú určité obmedzenia vzťahujúce sa na využívanie medzinárodných kreditov z projektov priemyselných plynov možnosť pokrytia emisií skleníkových plynov použitím jednotiek certifikovaného zníženia emisií (CER) a jednotiek zníženia emisií (ERU) a rozsah použitia pre povinných účastníkov schémy obchodovania a nových účastníkov schémy obchodovania.</w:t>
      </w:r>
    </w:p>
    <w:p w:rsidR="0055349F"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r w:rsidRPr="005F4057">
        <w:rPr>
          <w:rFonts w:ascii="Times New Roman" w:hAnsi="Times New Roman"/>
        </w:rPr>
        <w:t xml:space="preserve"> </w:t>
      </w: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 Ustanovuje sa celkové množstvo kvót, ktoré má byť pridelené prevádzkovateľom lietadiel, vyjadrené percentuálnym podielom historických emisií z leteckej dopravy a referenčný rok pre obchodovateľné obdobia a schéma obchodovania s emisnými kvótami pre leteckú dopravu. V odseku 2 sa ustanovuje správa schémy obchodovania s emisnými kvótami Európskej únie vo vzťahu k prevádzkovateľom lietadla, za ktorú zodpovedá ministerstvo.</w:t>
      </w:r>
    </w:p>
    <w:p w:rsidR="0055349F" w:rsidRPr="005F4057" w:rsidP="0055349F">
      <w:pPr>
        <w:pStyle w:val="ListParagraph"/>
        <w:bidi w:val="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spôsob, akým sa zisťujú a vykazujú údaje o tonokilometroch v súlade s monitorovacím plánom pre zisťovanie a vykazovanie tonokilometrov, spôsob schvaľovania monitorovacieho plánu pre zisťovanie a vykazovanie tonokilometrov, spôsob, akým sa zisťujú a vykazujú údaje o emisiách skleníkových plynov prevádzkovatelia lietadiel v súlade s monitorovacím plánom pre zisťovanie a vykazovanie emisií skleníkových plynov, spôsob schvaľovania monitorovacieho plánu pre zisťovanie a vykazovanie emisií skleníkových plynov a povinnosť oznámiť ministerstvu každú zmenu monitorovacieho plánu pre zisťovanie a vykazovanie emisií skleníkových plynov a časová lehota.</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spôsob, akým môže prevádzkovateľ lietadla požiadať o bezodplatné pridelenie kvót, náležitosti žiadosti, rok, ktorý je určený za sledovaný rok a časový rámec na podanie žiadosti. Ďalej sa ustanovuje povinnosť ministerstva predložiť žiadosti prevádzkovateľov lietadla a časový rámec, povinnosť ministerstva vypočítať a uverejniť na svojom webovom sídle celkový počet kvót na dané obdobie pridelený každému prevádzkovateľovi lietadla na základe prijatého rozhodnutia Komisie. V odseku  4 sa ustanovuje povinnosť vnútroštátneho správcu zapísať kvóty do registra prevádzkovateľovi lietadla. V odsekoch 5 až 7 sa ustanovujú pravidlá a povinnosti v prípade zlúčenia prevádzkovateľov lietadiel alebo rozdelenia prevádzkovateľa lietadla.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osobitná rezerva pre určitých prevádzkovateľov lietadiel, definuje sa osobitná rezerva pre prevádzkovateľov lietadiel a jej výška, spôsob použitia rezervy, možnosť prevádzkovateľa lietadla požiadať o bezodplatne pridelenie kvót z osobitnej rezervy. V odseku 3  sa ustanovujú náležitosti žiadosti o pridelenie bezodplatne pridelených kvót z osobitnej rezervy. V odseku 4 sa ustanovuje povinnosť ministerstva predložiť Komisií žiadosti a časový rámec, v odseku 5 povinnosť ministerstva vypočítať a uverejniť na svojom webovom sídle do troch mesiacov od prijatia rozhodnutia Komisiou o referenčnej hodnote pridelenie kvót z osobitnej rezervy pre každého prevádzkovateľa lietadla.</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dĺžka obchodovateľného obdobia pre kvóty znečisťujúcich látok, spôsob stanovenia celkového množstva kvót znečisťujúcich látok pre príslušné obchodovateľné obdobie, spôsob pridelenia bezodplatných kvót povinným účastníkom schémy obchodovania, rozhodnutie o pridelení kvót a časový harmonogram na jeho vydanie, povinnosť obvodného úradu životného prostredia zaslať kópiu rozhodnutia ministerstvu, pravidlá pre prevod kvót, informačná povinnosť pre správcu registra systému V odseku 8 sa ustanovuje právomoc ministerstva predať nepridelené kvóty znečisťujúcich látok a použitie takto získaných príjmov.</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funkcia vnútroštátneho správcu, ktorý je zodpovedný za správu súboru užívateľských účtov patriacich do právomoci členského štátu v rámci registra, jeho postavenie a úlohy podľa nariadenia Komisie (EÚ) č. 1193/2011 zo dňa 18. novembra 2011, ktorým sa zriaďuje register Únie na obdobie  obchodovania začínajúce 1. januára 2013 a na nasledujúce obdobia obchodovania v rámci systému Únie na obchodovanie s emisnými kvótami podľa smernice Európskeho parlamentu a Rady  2003/87/ES  a rozhodnutia   Európskeho parlamentu a Rady č. 280/2004/ES a ktorým sa menia a dopĺňajú nariadenia (ES) č. 2216/2004 a (EÚ) č. 920/2010.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dražba kvót a využitie výnosov, vymedzujú sa kvóty, ktoré sú určené na dražbu a forma, ktorou sa poskytnú na obchodovanie, množstvo kvót, určených pre prevádzkovateľov lietadiel, ktoré sa vydraží. V odseku 4 sa vymedzuje v prípade nepridelených kvót pre prevádzkovateľov lietadiel možnosť ich poskytnutia na obchodovanie formou dražby  podľa nariadenia Komisie (EÚ) č. 1031/2010 </w:t>
      </w:r>
      <w:r w:rsidRPr="005F4057">
        <w:rPr>
          <w:rFonts w:ascii="Times New Roman" w:hAnsi="Times New Roman"/>
          <w:bCs/>
        </w:rPr>
        <w:t>zo dňa 12. novembra 2010 o harmonograme, správe a iných aspektoch obchodovania s emisnými kvótami skleníkových plynov formou aukcie podľa smernice Európskeho parlamentu a Rady 2003/87/ES o vytvorení systému obchodovania s emisnými kvótami skleníkových plynov v Spoločenstve v platnom znení</w:t>
      </w:r>
      <w:r w:rsidRPr="005F4057">
        <w:rPr>
          <w:rFonts w:ascii="Times New Roman" w:hAnsi="Times New Roman"/>
        </w:rPr>
        <w:t>. V odseku 5 sa ustanovuje postavenie aukcionára a jeho funkcia. V odsek</w:t>
      </w:r>
      <w:r w:rsidR="00B13BAC">
        <w:rPr>
          <w:rFonts w:ascii="Times New Roman" w:hAnsi="Times New Roman"/>
          <w:lang w:val="sk-SK"/>
        </w:rPr>
        <w:t>och</w:t>
      </w:r>
      <w:r w:rsidRPr="005F4057">
        <w:rPr>
          <w:rFonts w:ascii="Times New Roman" w:hAnsi="Times New Roman"/>
        </w:rPr>
        <w:t xml:space="preserve"> 6 </w:t>
      </w:r>
      <w:r w:rsidR="00B13BAC">
        <w:rPr>
          <w:rFonts w:ascii="Times New Roman" w:hAnsi="Times New Roman"/>
          <w:lang w:val="sk-SK"/>
        </w:rPr>
        <w:t xml:space="preserve">a 7 </w:t>
      </w:r>
      <w:r w:rsidRPr="005F4057">
        <w:rPr>
          <w:rFonts w:ascii="Times New Roman" w:hAnsi="Times New Roman"/>
        </w:rPr>
        <w:t>sa ustanovuje percentuálne rozdelenie príjmov získaných z dražieb kvót</w:t>
      </w:r>
      <w:r w:rsidR="00B13BAC">
        <w:rPr>
          <w:rFonts w:ascii="Times New Roman" w:hAnsi="Times New Roman"/>
          <w:lang w:val="sk-SK"/>
        </w:rPr>
        <w:t xml:space="preserve"> a v odseku 9 sa určuje použiteľná výška finančných prostriedkov</w:t>
      </w:r>
      <w:r w:rsidRPr="005F4057">
        <w:rPr>
          <w:rFonts w:ascii="Times New Roman" w:hAnsi="Times New Roman"/>
        </w:rPr>
        <w:t xml:space="preserve">.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Ustanovujú sa informácie, ktoré sprístupňuje register systému. Ustanovujú sa všeobecné pravidlá pre kvóty znečisťujúcich látok, pravidlá pre prenos kvót medzi účastníkmi systému obchodovania. V odseku 4 sa ustanovuje dôvod zákazu prevodu kvót.  Ustanovuje sa povinnosť evidencie prevodov kvót a jej pravidlá.  V ďalších odsekoch sa ustanovuje povinnosť správu registra zrušiť a právomoc na dobrovoľné zrušenie kvót znečisťujúcich látok, povinnosť správcu registra systému automaticky zrušiť kvóty po oznámení obvodného úradu životného prostredia.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Ustanovujú sa podrobnosti o prevode, odovzdaní a zrušení kvót skleníkových plynov. Ustanovujú sa pravidlá pre prenos kvót,  spôsob, akým sa vykoná a zaeviduje prevod kvót, rovnocennosť kvót skleníkových plynov vydaných príslušným orgánom iného členského štátu Európskej únie alebo štátu z prílohy B Kjótskeho protokolu a vydanými ministerstvom, povinnosť vnútroštátneho správcu zrušiť odovzdané kvóty, právomoc dobrovoľne zrušiť kvóty, ktoré má držiteľ na účte kvót a spôsob, akým vykonať ich zrušenie, zákaz použitia kvót ako premetu záložného práva alebo vkladu do základného imania kapitálových spoločností, povinnosť prevádzkovateľa lietadla odovzdať také množstvo kvót, ktoré sa rovná celkovým emisiám z leteckej činnosti, ktoré tento prevádzkovateľ uskutočňuje za predchádzajúci kalendárny rok a povinnosť vnútroštátneho správcu takto odovzdané kvóty zrušiť, povinnosť prevádzkovateľa odovzdať také množstvo kvót rovnajúce sa celkovým emisiám z tejto prevádzky počas predchádzajúceho roku a povinnosť vnútroštátneho správcu takto odovzdané kvóty zrušiť, možnosť použiť  na účely plnenia záväzku prevádzkovateľa lietadla alebo prevádzkovateľa odovzdať kvóty aj kvóty vydané príslušným orgánom iného členského štátu, obmedzenie povinnosti odovzdať kvóty pri emisiách, ktoré sa preukázateľne zachytávajú a prevážajú na trvalé uloženie.</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Ustanovujú sa povinnosti prevádzkovateľa, ktorý je povinným účastníkom schémy obchodovania, okrem prevádzkovateľa, ktorý prevádzkuje úložisko na účely trvalého ukladania oxidu uhličitého do geologického prostredia a prevádzkovateľov lietadiel, povinnosti povinných účastníkov schémy obchodovania a dobrovoľných účastníkov schémy obchodovania po vstupe do schémy obchodovania a zákaz prevodu kvót, v prípade, ak správe o emisiách skleníkových plynov nebola oprávneným overovateľom overená ako správna, povinnosti povinných účastníkov systému obchodovania a povinnosti prevádzkovateľa prevádzky, v ktorej sa vykonáva jedna alebo viac činnosti uvedených v prílohe č. 1 tabuľkách A a B.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právomoc obvodného úradu životného prostredia požiadať Slovenskú inšpekciu životného prostredia o odborné stanovisko, na základe ktorého môže požiadať o dopracovanie a opätovné predloženie správy o emisiách skleníkových plynov. Ustanovuje sa  povinnosť prevádzkovateľa doručiť obvodnému úradu životného prostredia upravenú a overenú správu o emisiách skleníkových plynov z prevádzky a  povinnosť obvodného úradu životného prostredia v tomto prípade predložiť potvrdenie o správnosti správy správcovi registra a súvisiace termíny.</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platnosť kvót skleníkových plynov, povinnosť vnútroštátneho správu zrušiť na pokyn ministerstva kvóty skleníkových plynov štyri mesiace po začiatku každého obchodovateľné obdobia. Ustanovuje sa mechanizmus pre náhradu zrušených kvót a obmedzenie platnosti kvót znečisťujúcich látok.</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B13BAC" w:rsidP="0055349F">
      <w:pPr>
        <w:pStyle w:val="ListParagraph"/>
        <w:bidi w:val="0"/>
        <w:ind w:left="0"/>
        <w:jc w:val="both"/>
        <w:rPr>
          <w:rFonts w:ascii="Times New Roman" w:hAnsi="Times New Roman"/>
          <w:lang w:val="sk-SK"/>
        </w:rPr>
      </w:pPr>
      <w:r w:rsidRPr="005F4057">
        <w:rPr>
          <w:rFonts w:ascii="Times New Roman" w:hAnsi="Times New Roman"/>
        </w:rPr>
        <w:t xml:space="preserve">Ustanovuje sa oprávnený overovateľ pre potreby tohto zákona, správa registra oprávnených overovateľov, </w:t>
      </w:r>
      <w:r w:rsidR="00B13BAC">
        <w:rPr>
          <w:rFonts w:ascii="Times New Roman" w:hAnsi="Times New Roman"/>
          <w:lang w:val="sk-SK"/>
        </w:rPr>
        <w:t xml:space="preserve">stanovenie SNAS za akreditačný orgán, </w:t>
      </w:r>
      <w:r w:rsidRPr="005F4057">
        <w:rPr>
          <w:rFonts w:ascii="Times New Roman" w:hAnsi="Times New Roman"/>
        </w:rPr>
        <w:t>podmienky udelenia, odnímania a vzájomného uznávania akreditácie, náležitosti žiadosti o vydanie osvedčenia pri fyzickej osobe a potrebné prílohy, podmienky pre zapísanie fyzickej osoby do registra oprávnených overovateľov, predpoklady na vykonanie skúšky, definícia kvalifikačného predpokladu a odbornej praxe, opis skúšky a jej priebeh, možnosť žiadateľa zopakovať skúšku v prípade, ak v nej nevyhovel a časový rámec, možnosť žiadateľa  predložiť novú žiadosť o vydanie osvedčenia v prípade, ak nevyhovel ani v opakovanej skúške a časový rámec, náležitosti osvedčenia o zápise do registra oprávnených overovateľov, právomoc ministerstva uložiť fyzickej osobe, ktorá je overovateľom, aby sa podrobila preskúšaniu, obmedzenie pre oprávnených overovateľov v prípade personálneho, ekonomického alebo iného zmluvného prepojenia, povinnosť oprávneného overovateľa vložiť do tabuľky overených emisií v registri ročné overené emisie, podmienky pre zánik osvedčenia, podmienky pre zrušenie osvedčenia ministerstvom, podmienky pre výmaz z registra oprávnených overovateľov, právomoc ministerstva vymazať fyzickú osobu z registra oprávnených overovateľov v stanovených prípadoch, ak prestane spĺňať stanovené podmienky alebo ministerstvo zistí nedostatky vo výkone činnosti fyzickej osoby, ktorá je oprávneným overovateľom alebo v plnení jej oznamovacej povinnosti, prípadne zmeniť rozsah zahŕňajúci vymedzenie kategórií a druhov prevádzok, pre ktoré môže overovať správy.</w:t>
      </w:r>
      <w:r w:rsidR="00B13BAC">
        <w:rPr>
          <w:rFonts w:ascii="Times New Roman" w:hAnsi="Times New Roman"/>
          <w:lang w:val="sk-SK"/>
        </w:rPr>
        <w:t xml:space="preserve">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Ustanovujú sa orgány štátnej správy, ktorými sú pre túto oblasť ministerstvo a obvodné úrady životného prostredia.</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widowControl/>
        <w:bidi w:val="0"/>
        <w:adjustRightInd/>
        <w:jc w:val="both"/>
        <w:rPr>
          <w:rFonts w:ascii="Times New Roman" w:hAnsi="Times New Roman"/>
        </w:rPr>
      </w:pPr>
      <w:r w:rsidRPr="005F4057">
        <w:rPr>
          <w:rFonts w:ascii="Times New Roman" w:hAnsi="Times New Roman"/>
        </w:rPr>
        <w:t xml:space="preserve">Ustanovuje sa pôsobnosť ministerstva, ktoré je ústredným orgánom štátnej správy vo veciach obchodovania s kvótami.  Ustanovenie  taxatívne vymedzuje všetky jeho kompetencie.V odsekoch 2  a 3 sa splnomocňuje ministerstvo na vydanie všeobecne záväzných právnych predpisov – troch vyhlášok  k zákonu  a v odsekoch 4 a 5 sa ustanovuje mechanizmus notifikácie schém štátnej pomoci.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pôsobnosť obvodného úradu životného prostredia taxatívnym vymedzením jeho úloh ustanovených týmto zákonom.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Ustanovuje sa zodpovednosť a sankcie za porušenie povinností ustanovených týmto  zákonom. Ustanovuje sa  právomoc obvodného úradu životného prostredia a v prípade prevádzkovateľa lietadla ministerstva, ukladať pokuty,  povinnosť ministerstva zverejniť na svojom webovom sídle zoznam tých, ktorí porušili povinnosť odovzdať kvóty, určuje sa príjemca takto získaných prostriedkov. Ďalej sa ustanovuje právomoc ministerstva požiadať Komisiu, aby pre prevádzkovateľa lietadla, ktorý nesplnil povinnosti podľa tohto zákona, uložila zákaz prevádzky a ustanivuje náležitosti žiadosti o uloženie zákazu prevádzky.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rozsah informácií, ktoré na svojom webovom sídle sprístupňuje ministerstvo a ktoré sprístupňuje vnútroštátny správca.  V odseku 3 sa ustanovuje spôsob nakladania s informáciami, koré vyplynú z tohto zákona, na ktorý sa primerane vzťahuje zákon č. 211/2000 Z. z. o slobodnom prístupe k informáciám a o zmene a doplnení niektorých zákonov (zákon o slobode informácií) v znení neskorších predpisov.  V odseku 4 sa ustanovuje právomoc ministerstva získavať a spracovávať údaje z registra občanov Slovenskej republiky v rozsahu podľa zákona č. 253/1998 Z. z. o hlásení pobytu občanov Slovenskej republiky a registri obyvateľov Slovenskej republiky.</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vzťah všeobecného predpisu o správnom konaní k tomuto zákonu .</w:t>
      </w:r>
    </w:p>
    <w:p w:rsidR="0055349F" w:rsidP="0055349F">
      <w:pPr>
        <w:pStyle w:val="ListParagraph"/>
        <w:bidi w:val="0"/>
        <w:ind w:left="0"/>
        <w:jc w:val="both"/>
        <w:rPr>
          <w:rFonts w:ascii="Times New Roman" w:hAnsi="Times New Roman"/>
          <w:lang w:val="sk-SK"/>
        </w:rPr>
      </w:pPr>
      <w:r w:rsidRPr="005F4057">
        <w:rPr>
          <w:rFonts w:ascii="Times New Roman" w:hAnsi="Times New Roman"/>
        </w:rPr>
        <w:t xml:space="preserve"> </w:t>
      </w:r>
    </w:p>
    <w:p w:rsidR="00B13BAC" w:rsidRPr="00B13BAC"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Upravuje sa vzťah k zákonu č. 136/2010 Z. z. o službách na vnútornom trhu.</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povinnosť ministerstva každoročne vypracovať a zaslať Komisií správu o uplatňovaní zákona pri obchodovaní s kvótami skleníkových plynov a povinnosť ministerstva každoročne vypracovať a zaslať Komisií správu o využití príjmov z obchodovania kvót formou dražby a prijatých opatreniach na znižovanie emisií skleníkových plynov.</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kedy sa osoba dopustí porušenia na trhu dražených produktov podľa článku  41 Nariadenia Komisie (EÚ) č. 1031/2010. V odseku 2 sa ustanovujú dôvody porušenia zasvätenou osobou, ktorá je definovaná v odseku 3. V odseku 4  sa ustanovuje povinnosť dražiteľa zostavovať, aktualizovať  a zaslať na vyžiadanie zoznam osôb podľa článku 42 ods. 1 nariadenia Komisie (EÚ) č. 1031/2010 Národnej banke Slovenska.</w:t>
      </w:r>
    </w:p>
    <w:p w:rsidR="0055349F" w:rsidRPr="005F4057" w:rsidP="0055349F">
      <w:pPr>
        <w:pStyle w:val="ListParagraph"/>
        <w:bidi w:val="0"/>
        <w:ind w:left="0"/>
        <w:jc w:val="both"/>
        <w:rPr>
          <w:rFonts w:ascii="Times New Roman" w:hAnsi="Times New Roman"/>
        </w:rPr>
      </w:pPr>
      <w:r w:rsidRPr="005F4057">
        <w:rPr>
          <w:rFonts w:ascii="Times New Roman" w:hAnsi="Times New Roman"/>
        </w:rPr>
        <w:t xml:space="preserve"> V ďalších odsekoch sa ustanovuje porušenie osobou s riadiacou zodpovednosťou u aukcionára alebo osobou spriaznenou s riadiacou zodpovednosťou u aukcionára tým, že neoznámi Národnej banke Slovenska existenciu ponúk na dražené produkty alebo deriváty, či iné finančné nástroje s nimi spojené, ktoré boli predané, upravené alebo stiahnuté na ich vlastný účet.  Definujú sa porušenia osobou, ktorá vypracúva alebo rozširuje výskumné práce týkajúce sa dražených produktov, alebo rozširuje informácie, ktoré nie sú výskumnými prácami týkajúcimi sa dražených produktov, ktoré odporúčajú alebo navrhujú investičnú stratégiu, ktoré sú určené pre distribučné kanály alebo verejnosť, definuje sa porušenie tým, že v prípade dôvodného podozrenia osoba neinformuje Národnú banku Slovenska, že transakcia by mohla predstavovať obchodovanie s využitím dôverných informácií, právomoc Národnej banky Slovenska uložiť nápravne opatrenie alebo pokutu, právomoc ukladať sankcie súbežne a opakovanie, časový rámec na uloženie sankcie a právomoc uložiť sankciu aj za porušenie právne záväzných aktov Európskych spoločenstiev a Európskej únie upravujúcich činnosť dohliadaných subjektov.</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Ustanovuje sa dohľad Národnej banky Slovenska nad plnením povinností a dodržiavaním zákazov podľa článkov  37 až 42 nariadenia Komisie (EÚ) č. 1031/2010. V odseku 2 sa  špecifikujú osoby, nad ktorými má Národná banka Slovenska dohľad na území Slovenskej republiky.</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firstLine="360"/>
        <w:jc w:val="both"/>
        <w:rPr>
          <w:rFonts w:ascii="Times New Roman" w:hAnsi="Times New Roman"/>
        </w:rPr>
      </w:pPr>
      <w:r w:rsidRPr="005F4057">
        <w:rPr>
          <w:rFonts w:ascii="Times New Roman" w:hAnsi="Times New Roman"/>
        </w:rPr>
        <w:t xml:space="preserve">Prechodné ustanovenie upravuje, povinnosť prevádzkovateľa mať povolenie </w:t>
      </w:r>
      <w:r w:rsidRPr="005F4057">
        <w:rPr>
          <w:rFonts w:ascii="Times New Roman" w:hAnsi="Times New Roman"/>
          <w:iCs/>
          <w:lang w:eastAsia="cs-CZ"/>
        </w:rPr>
        <w:t xml:space="preserve">na vypúšťanie skleníkových plynov do ovzdušia alebo povolenie na vypúšťanie znečisťujúcich látok do ovzdušia na každú prevádzku, a ak ide o prevádzkovateľa lietadla platnú prevádzkovú licenciu a schválený monitorovací plán  podľa uvedených termínov, ktoré  sa budú považovať za </w:t>
      </w:r>
      <w:r w:rsidRPr="005F4057">
        <w:rPr>
          <w:rFonts w:ascii="Times New Roman" w:hAnsi="Times New Roman"/>
        </w:rPr>
        <w:t>platné aj po nadobudnutí účinnosti tohto zákona.</w:t>
      </w:r>
    </w:p>
    <w:p w:rsidR="0055349F" w:rsidRPr="005F4057" w:rsidP="0055349F">
      <w:pPr>
        <w:pStyle w:val="ListParagraph"/>
        <w:bidi w:val="0"/>
        <w:ind w:left="0" w:firstLine="36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jc w:val="both"/>
        <w:rPr>
          <w:rFonts w:ascii="Times New Roman" w:hAnsi="Times New Roman"/>
        </w:rPr>
      </w:pPr>
      <w:r w:rsidRPr="005F4057">
        <w:rPr>
          <w:rFonts w:ascii="Times New Roman" w:hAnsi="Times New Roman"/>
        </w:rPr>
        <w:t>Prechodné ustanovenie ustanovuje povinnosť prevádzkovateľa prevádzky, v ktorej sa vykonáva jedna činnosť alebo viac činnosti uvedených v prílohe č. 1 tabuľke C, podať žiadosť o povolenie na vypúšťanie znečisťujúcich látok do ovzdušia. Nesplnenie tejto  povinnosti  je uvedené aj v  ustanoveniach o sankciách.</w:t>
      </w:r>
    </w:p>
    <w:p w:rsidR="00FA7F14" w:rsidRPr="00FA7F14" w:rsidP="0055349F">
      <w:pPr>
        <w:pStyle w:val="ListParagraph"/>
        <w:bidi w:val="0"/>
        <w:ind w:left="0"/>
        <w:jc w:val="both"/>
        <w:rPr>
          <w:rFonts w:ascii="Times New Roman" w:hAnsi="Times New Roman"/>
          <w:lang w:val="sk-SK"/>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bidi w:val="0"/>
        <w:ind w:firstLine="360"/>
        <w:jc w:val="both"/>
        <w:outlineLvl w:val="4"/>
        <w:rPr>
          <w:rFonts w:ascii="Times New Roman" w:hAnsi="Times New Roman"/>
          <w:iCs/>
          <w:lang w:eastAsia="cs-CZ"/>
        </w:rPr>
      </w:pPr>
      <w:r w:rsidRPr="005F4057">
        <w:rPr>
          <w:rFonts w:ascii="Times New Roman" w:hAnsi="Times New Roman"/>
        </w:rPr>
        <w:t>Prechodné ustanovenie ustanovuje termín kedy Slovenská republika prestáva byť riadiacim členským štátom pre prevádzkovateľa lietadla.</w:t>
      </w:r>
      <w:r w:rsidRPr="005F4057">
        <w:rPr>
          <w:rFonts w:ascii="Times New Roman" w:hAnsi="Times New Roman"/>
          <w:iCs/>
          <w:lang w:eastAsia="cs-CZ"/>
        </w:rPr>
        <w:t xml:space="preserve"> Je to v prípade, ak sa počas prvých dvoch rokov obdobia uvedeného v § 12 nepridelia Slovenskej republike žiadne zo započítaných emisií z leteckej prevádzky spôsobených letmi uskutočňovanými prevádzkovateľom lietadla podľa § 12 ods. 3 písm. b), ktorý patrí do jeho pôsobnosti. </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B13BAC" w:rsidP="0055349F">
      <w:pPr>
        <w:pStyle w:val="ListParagraph"/>
        <w:bidi w:val="0"/>
        <w:ind w:left="0"/>
        <w:jc w:val="both"/>
        <w:rPr>
          <w:rFonts w:ascii="Times New Roman" w:hAnsi="Times New Roman"/>
          <w:lang w:val="sk-SK"/>
        </w:rPr>
      </w:pPr>
      <w:r w:rsidRPr="005F4057">
        <w:rPr>
          <w:rFonts w:ascii="Times New Roman" w:hAnsi="Times New Roman"/>
        </w:rPr>
        <w:t>Prechodné ustanovenie ustanovuje termín - 30. apríla 2013, do ktorého môžu dobrovoľní účastníci schémy obchodovania použiť jednotky certifikovaného zníženia emisií (CER) a jednotky zníženia emisií (ERU) a priznané jednotky na pokrytie emisií skleníkových plynov.</w:t>
      </w:r>
      <w:r w:rsidR="00B13BAC">
        <w:rPr>
          <w:rFonts w:ascii="Times New Roman" w:hAnsi="Times New Roman"/>
          <w:lang w:val="sk-SK"/>
        </w:rPr>
        <w:t xml:space="preserve"> V odseku 2 sa upravuje platnosť kvót vydaných v druhom obchodovateľnom období.</w:t>
      </w:r>
    </w:p>
    <w:p w:rsidR="0055349F" w:rsidRPr="005F4057" w:rsidP="0055349F">
      <w:pPr>
        <w:pStyle w:val="ListParagraph"/>
        <w:bidi w:val="0"/>
        <w:ind w:left="0"/>
        <w:jc w:val="both"/>
        <w:rPr>
          <w:rFonts w:ascii="Times New Roman" w:hAnsi="Times New Roman"/>
        </w:rPr>
      </w:pPr>
    </w:p>
    <w:p w:rsidR="0055349F" w:rsidRPr="005F4057" w:rsidP="0055349F">
      <w:pPr>
        <w:pStyle w:val="ListParagraph"/>
        <w:widowControl/>
        <w:numPr>
          <w:numId w:val="6"/>
        </w:numPr>
        <w:autoSpaceDE/>
        <w:autoSpaceDN/>
        <w:bidi w:val="0"/>
        <w:adjustRightInd/>
        <w:ind w:hanging="1080"/>
        <w:contextualSpacing/>
        <w:jc w:val="both"/>
        <w:rPr>
          <w:rFonts w:ascii="Times New Roman" w:hAnsi="Times New Roman"/>
        </w:rPr>
      </w:pPr>
    </w:p>
    <w:p w:rsidR="0055349F" w:rsidRPr="005F4057" w:rsidP="0055349F">
      <w:pPr>
        <w:pStyle w:val="ListParagraph"/>
        <w:bidi w:val="0"/>
        <w:ind w:left="0"/>
        <w:rPr>
          <w:rFonts w:ascii="Times New Roman" w:hAnsi="Times New Roman"/>
        </w:rPr>
      </w:pPr>
      <w:r w:rsidRPr="005F4057">
        <w:rPr>
          <w:rFonts w:ascii="Times New Roman" w:hAnsi="Times New Roman"/>
          <w:iCs/>
          <w:lang w:eastAsia="cs-CZ"/>
        </w:rPr>
        <w:t>Uvedený je právne záväzný akt Európskej únie, ktorý sa návrhom zákona preberá.</w:t>
      </w:r>
      <w:r w:rsidRPr="005F4057">
        <w:rPr>
          <w:rFonts w:ascii="Times New Roman" w:hAnsi="Times New Roman"/>
        </w:rPr>
        <w:t xml:space="preserve"> </w:t>
      </w:r>
    </w:p>
    <w:p w:rsidR="0055349F" w:rsidRPr="005F4057" w:rsidP="0055349F">
      <w:pPr>
        <w:pStyle w:val="ListParagraph"/>
        <w:bidi w:val="0"/>
        <w:jc w:val="both"/>
        <w:rPr>
          <w:rFonts w:ascii="Times New Roman" w:hAnsi="Times New Roman"/>
          <w:b/>
        </w:rPr>
      </w:pPr>
    </w:p>
    <w:p w:rsidR="0055349F" w:rsidRPr="005F4057" w:rsidP="0055349F">
      <w:pPr>
        <w:pStyle w:val="ListParagraph"/>
        <w:bidi w:val="0"/>
        <w:ind w:left="0"/>
        <w:jc w:val="both"/>
        <w:rPr>
          <w:rFonts w:ascii="Times New Roman" w:hAnsi="Times New Roman"/>
          <w:b/>
        </w:rPr>
      </w:pPr>
      <w:r w:rsidRPr="005F4057">
        <w:rPr>
          <w:rFonts w:ascii="Times New Roman" w:hAnsi="Times New Roman"/>
          <w:b/>
        </w:rPr>
        <w:t>K § 40</w:t>
      </w:r>
    </w:p>
    <w:p w:rsidR="0055349F" w:rsidRPr="005F4057" w:rsidP="0055349F">
      <w:pPr>
        <w:widowControl/>
        <w:bidi w:val="0"/>
        <w:adjustRightInd/>
        <w:spacing w:after="240"/>
        <w:jc w:val="both"/>
        <w:rPr>
          <w:rFonts w:ascii="Times New Roman" w:hAnsi="Times New Roman"/>
        </w:rPr>
      </w:pPr>
      <w:r w:rsidRPr="005F4057">
        <w:rPr>
          <w:rFonts w:ascii="Times New Roman" w:hAnsi="Times New Roman"/>
        </w:rPr>
        <w:t>Zrušuje sa zákon č. 572/2004 Z. z. o obchodovaní s emisnými kvótami a o zmene a doplnení  niektorých zákonov  v znení neskorších predpisov a súvisiace vykonávacie predpisy</w:t>
      </w:r>
    </w:p>
    <w:p w:rsidR="0055349F" w:rsidRPr="005F4057" w:rsidP="0055349F">
      <w:pPr>
        <w:pStyle w:val="ListParagraph"/>
        <w:bidi w:val="0"/>
        <w:ind w:left="1080" w:hanging="1080"/>
        <w:jc w:val="both"/>
        <w:rPr>
          <w:rFonts w:ascii="Times New Roman" w:hAnsi="Times New Roman"/>
        </w:rPr>
      </w:pPr>
    </w:p>
    <w:p w:rsidR="0055349F" w:rsidRPr="005F4057" w:rsidP="0055349F">
      <w:pPr>
        <w:bidi w:val="0"/>
        <w:jc w:val="both"/>
        <w:rPr>
          <w:rFonts w:ascii="Times New Roman" w:hAnsi="Times New Roman"/>
          <w:b/>
        </w:rPr>
      </w:pPr>
      <w:r w:rsidRPr="005F4057">
        <w:rPr>
          <w:rFonts w:ascii="Times New Roman" w:hAnsi="Times New Roman"/>
          <w:b/>
        </w:rPr>
        <w:t>K Čl. II</w:t>
      </w:r>
    </w:p>
    <w:p w:rsidR="0055349F" w:rsidRPr="005F4057" w:rsidP="0055349F">
      <w:pPr>
        <w:bidi w:val="0"/>
        <w:jc w:val="both"/>
        <w:rPr>
          <w:rFonts w:ascii="Times New Roman" w:hAnsi="Times New Roman"/>
        </w:rPr>
      </w:pPr>
      <w:r w:rsidRPr="005F4057">
        <w:rPr>
          <w:rFonts w:ascii="Times New Roman" w:hAnsi="Times New Roman"/>
          <w:b/>
        </w:rPr>
        <w:tab/>
      </w:r>
      <w:r w:rsidRPr="005F4057">
        <w:rPr>
          <w:rFonts w:ascii="Times New Roman" w:hAnsi="Times New Roman"/>
        </w:rPr>
        <w:t>Upravuje sa zákon o Exportno-importnej banke Slovenskej republiky tak, aby mohla Exportno-importná banka Slovenska vykonávať funkciu aukcionára.</w:t>
      </w:r>
    </w:p>
    <w:p w:rsidR="0055349F" w:rsidRPr="005F4057" w:rsidP="0055349F">
      <w:pPr>
        <w:bidi w:val="0"/>
        <w:jc w:val="both"/>
        <w:rPr>
          <w:rFonts w:ascii="Times New Roman" w:hAnsi="Times New Roman"/>
        </w:rPr>
      </w:pPr>
    </w:p>
    <w:p w:rsidR="0055349F" w:rsidRPr="005F4057" w:rsidP="0055349F">
      <w:pPr>
        <w:bidi w:val="0"/>
        <w:jc w:val="both"/>
        <w:rPr>
          <w:rFonts w:ascii="Times New Roman" w:hAnsi="Times New Roman"/>
          <w:b/>
        </w:rPr>
      </w:pPr>
    </w:p>
    <w:p w:rsidR="0055349F" w:rsidRPr="005F4057" w:rsidP="0055349F">
      <w:pPr>
        <w:bidi w:val="0"/>
        <w:jc w:val="both"/>
        <w:rPr>
          <w:rFonts w:ascii="Times New Roman" w:hAnsi="Times New Roman"/>
          <w:b/>
        </w:rPr>
      </w:pPr>
      <w:r w:rsidRPr="005F4057">
        <w:rPr>
          <w:rFonts w:ascii="Times New Roman" w:hAnsi="Times New Roman"/>
          <w:b/>
        </w:rPr>
        <w:t>K Čl. III</w:t>
      </w:r>
    </w:p>
    <w:p w:rsidR="0055349F" w:rsidRPr="005F4057" w:rsidP="00B13BAC">
      <w:pPr>
        <w:bidi w:val="0"/>
        <w:ind w:firstLine="720"/>
        <w:jc w:val="both"/>
        <w:rPr>
          <w:rFonts w:ascii="Times New Roman" w:hAnsi="Times New Roman"/>
        </w:rPr>
      </w:pPr>
      <w:r w:rsidRPr="005F4057">
        <w:rPr>
          <w:rFonts w:ascii="Times New Roman" w:hAnsi="Times New Roman"/>
        </w:rPr>
        <w:t>Upravuje sa zákon o Environmentálnom fonde tak, aby prostredníctvom Environmentálneho fondu bolo možné podporovať projekty zamerané na účely reálne dosiahnuteľných a merateľných úspor emisií skleníkových plynov, financovanie výskumu a vývoja v oblasti energetickej účinnosti, čistých technológií a vývoja nízkouhlíkových technológií vrátane druhotných energetických zdrojov, modernizáciu zariadení s cieľom úspory energie na strane spotrebiteľa, zvyšovanie energetickej účinnosti existujúcich budov vrátane zatepľovania, pokrytie nákladov spojených s odborným a administratívnym zabezpečením plnenia záväzkov Slovenskej republiky v oblasti znižovania emisií skleníkových plynov a podporu prechodu k formám dopravy s nízkymi emisiami a prechodu z individuálnej k verejnej doprave.</w:t>
      </w:r>
    </w:p>
    <w:p w:rsidR="0055349F" w:rsidRPr="005F4057" w:rsidP="0055349F">
      <w:pPr>
        <w:bidi w:val="0"/>
        <w:jc w:val="both"/>
        <w:rPr>
          <w:rFonts w:ascii="Times New Roman" w:hAnsi="Times New Roman"/>
        </w:rPr>
      </w:pPr>
    </w:p>
    <w:p w:rsidR="0055349F" w:rsidP="0055349F">
      <w:pPr>
        <w:bidi w:val="0"/>
        <w:jc w:val="both"/>
        <w:rPr>
          <w:rFonts w:ascii="Times New Roman" w:hAnsi="Times New Roman"/>
          <w:b/>
        </w:rPr>
      </w:pPr>
      <w:r w:rsidRPr="005F4057">
        <w:rPr>
          <w:rFonts w:ascii="Times New Roman" w:hAnsi="Times New Roman"/>
          <w:b/>
        </w:rPr>
        <w:t>K Čl. IV</w:t>
      </w:r>
    </w:p>
    <w:p w:rsidR="0055349F" w:rsidRPr="005F4057" w:rsidP="0055349F">
      <w:pPr>
        <w:bidi w:val="0"/>
        <w:jc w:val="both"/>
        <w:rPr>
          <w:rFonts w:ascii="Times New Roman" w:hAnsi="Times New Roman"/>
          <w:b/>
        </w:rPr>
      </w:pPr>
    </w:p>
    <w:p w:rsidR="0055349F" w:rsidRPr="005F4057" w:rsidP="0055349F">
      <w:pPr>
        <w:bidi w:val="0"/>
        <w:jc w:val="both"/>
        <w:rPr>
          <w:rFonts w:ascii="Times New Roman" w:hAnsi="Times New Roman"/>
        </w:rPr>
      </w:pPr>
      <w:r w:rsidRPr="005F4057">
        <w:rPr>
          <w:rFonts w:ascii="Times New Roman" w:hAnsi="Times New Roman"/>
          <w:b/>
        </w:rPr>
        <w:tab/>
      </w:r>
      <w:r w:rsidRPr="005F4057">
        <w:rPr>
          <w:rFonts w:ascii="Times New Roman" w:hAnsi="Times New Roman"/>
        </w:rPr>
        <w:t xml:space="preserve">Upravuje sa účinnosť návrhu zákona. </w:t>
      </w:r>
    </w:p>
    <w:p w:rsidR="0055349F" w:rsidRPr="005F4057" w:rsidP="0055349F">
      <w:pPr>
        <w:bidi w:val="0"/>
        <w:rPr>
          <w:rFonts w:ascii="Times New Roman" w:hAnsi="Times New Roman"/>
        </w:rPr>
      </w:pPr>
    </w:p>
    <w:p w:rsidR="0055349F" w:rsidRPr="005F4057" w:rsidP="0055349F">
      <w:pPr>
        <w:tabs>
          <w:tab w:val="left" w:pos="0"/>
        </w:tabs>
        <w:bidi w:val="0"/>
        <w:rPr>
          <w:rFonts w:ascii="Times New Roman" w:hAnsi="Times New Roman"/>
          <w:b/>
        </w:rPr>
      </w:pPr>
      <w:r w:rsidRPr="005F4057">
        <w:rPr>
          <w:rFonts w:ascii="Times New Roman" w:hAnsi="Times New Roman"/>
          <w:b/>
        </w:rPr>
        <w:t>K prílohe č. 1</w:t>
      </w:r>
    </w:p>
    <w:p w:rsidR="0055349F" w:rsidRPr="005F4057" w:rsidP="0055349F">
      <w:pPr>
        <w:tabs>
          <w:tab w:val="left" w:pos="0"/>
        </w:tabs>
        <w:bidi w:val="0"/>
        <w:rPr>
          <w:rFonts w:ascii="Times New Roman" w:hAnsi="Times New Roman"/>
        </w:rPr>
      </w:pPr>
      <w:r w:rsidRPr="005F4057">
        <w:rPr>
          <w:rFonts w:ascii="Times New Roman" w:hAnsi="Times New Roman"/>
        </w:rPr>
        <w:t xml:space="preserve">Príloha č. 1 uvádza  zoznam činností, na ktoré sa tento zákon vzťahuje. </w:t>
      </w:r>
    </w:p>
    <w:p w:rsidR="0055349F" w:rsidP="0055349F">
      <w:pPr>
        <w:tabs>
          <w:tab w:val="left" w:pos="0"/>
        </w:tabs>
        <w:bidi w:val="0"/>
        <w:rPr>
          <w:rFonts w:ascii="Times New Roman" w:hAnsi="Times New Roman"/>
        </w:rPr>
      </w:pPr>
    </w:p>
    <w:p w:rsidR="00B13BAC" w:rsidRPr="005F4057" w:rsidP="0055349F">
      <w:pPr>
        <w:tabs>
          <w:tab w:val="left" w:pos="0"/>
        </w:tabs>
        <w:bidi w:val="0"/>
        <w:rPr>
          <w:rFonts w:ascii="Times New Roman" w:hAnsi="Times New Roman"/>
        </w:rPr>
      </w:pPr>
    </w:p>
    <w:p w:rsidR="0055349F" w:rsidRPr="005F4057" w:rsidP="0055349F">
      <w:pPr>
        <w:tabs>
          <w:tab w:val="left" w:pos="0"/>
        </w:tabs>
        <w:bidi w:val="0"/>
        <w:rPr>
          <w:rFonts w:ascii="Times New Roman" w:hAnsi="Times New Roman"/>
          <w:b/>
        </w:rPr>
      </w:pPr>
      <w:r w:rsidRPr="005F4057">
        <w:rPr>
          <w:rFonts w:ascii="Times New Roman" w:hAnsi="Times New Roman"/>
          <w:b/>
        </w:rPr>
        <w:t>K prílohe č. 2</w:t>
      </w:r>
    </w:p>
    <w:p w:rsidR="0055349F" w:rsidRPr="005F4057" w:rsidP="0055349F">
      <w:pPr>
        <w:bidi w:val="0"/>
        <w:rPr>
          <w:rFonts w:ascii="Times New Roman" w:hAnsi="Times New Roman"/>
          <w:b/>
        </w:rPr>
      </w:pPr>
      <w:r w:rsidRPr="005F4057">
        <w:rPr>
          <w:rFonts w:ascii="Times New Roman" w:hAnsi="Times New Roman"/>
        </w:rPr>
        <w:t>Príloha č. 2  obsahuje  zoznam sklenníkovývh plynov a znečisťujúch látok</w:t>
      </w:r>
      <w:r w:rsidRPr="005F4057">
        <w:rPr>
          <w:rFonts w:ascii="Times New Roman" w:hAnsi="Times New Roman"/>
          <w:b/>
        </w:rPr>
        <w:t>.</w:t>
      </w:r>
    </w:p>
    <w:p w:rsidR="0055349F" w:rsidRPr="005F4057" w:rsidP="0055349F">
      <w:pPr>
        <w:tabs>
          <w:tab w:val="left" w:pos="0"/>
        </w:tabs>
        <w:bidi w:val="0"/>
        <w:rPr>
          <w:rFonts w:ascii="Times New Roman" w:hAnsi="Times New Roman"/>
          <w:b/>
        </w:rPr>
      </w:pPr>
    </w:p>
    <w:p w:rsidR="0055349F" w:rsidRPr="005F4057" w:rsidP="0055349F">
      <w:pPr>
        <w:tabs>
          <w:tab w:val="left" w:pos="0"/>
        </w:tabs>
        <w:bidi w:val="0"/>
        <w:rPr>
          <w:rFonts w:ascii="Times New Roman" w:hAnsi="Times New Roman"/>
          <w:b/>
        </w:rPr>
      </w:pPr>
      <w:r w:rsidRPr="005F4057">
        <w:rPr>
          <w:rFonts w:ascii="Times New Roman" w:hAnsi="Times New Roman"/>
          <w:b/>
        </w:rPr>
        <w:t>K prílohe č. 3</w:t>
      </w:r>
    </w:p>
    <w:p w:rsidR="0055349F" w:rsidRPr="005F4057" w:rsidP="0055349F">
      <w:pPr>
        <w:tabs>
          <w:tab w:val="left" w:pos="0"/>
        </w:tabs>
        <w:bidi w:val="0"/>
        <w:jc w:val="both"/>
        <w:rPr>
          <w:rFonts w:ascii="Times New Roman" w:hAnsi="Times New Roman"/>
          <w:b/>
        </w:rPr>
      </w:pPr>
      <w:r w:rsidRPr="005F4057">
        <w:rPr>
          <w:rFonts w:ascii="Times New Roman" w:hAnsi="Times New Roman"/>
          <w:bCs/>
        </w:rPr>
        <w:t>Príloha č. 3  ustanovuje zásady monitorovania tonokilometrov z činností leteckej dopravy a podrobnosti podávania správ o tonokilometroch.</w:t>
      </w:r>
    </w:p>
    <w:p w:rsidR="0055349F" w:rsidP="0055349F">
      <w:pPr>
        <w:pStyle w:val="ListParagraph"/>
        <w:bidi w:val="0"/>
        <w:ind w:left="0"/>
        <w:jc w:val="both"/>
        <w:rPr>
          <w:rFonts w:ascii="Times New Roman" w:hAnsi="Times New Roman"/>
          <w:lang w:val="sk-SK"/>
        </w:rPr>
      </w:pPr>
    </w:p>
    <w:p w:rsidR="00FA7F14" w:rsidRPr="00FA7F14" w:rsidP="0055349F">
      <w:pPr>
        <w:pStyle w:val="ListParagraph"/>
        <w:bidi w:val="0"/>
        <w:ind w:left="0"/>
        <w:jc w:val="both"/>
        <w:rPr>
          <w:rFonts w:ascii="Times New Roman" w:hAnsi="Times New Roman"/>
          <w:lang w:val="sk-SK"/>
        </w:rPr>
      </w:pPr>
    </w:p>
    <w:p w:rsidR="00FA7F14" w:rsidP="00FA7F14">
      <w:pPr>
        <w:bidi w:val="0"/>
        <w:jc w:val="both"/>
        <w:rPr>
          <w:rStyle w:val="PlaceholderText"/>
          <w:color w:val="000000"/>
          <w:lang w:val="en-US"/>
        </w:rPr>
      </w:pPr>
      <w:r>
        <w:rPr>
          <w:rStyle w:val="PlaceholderText"/>
          <w:color w:val="000000"/>
          <w:lang w:val="en-US"/>
        </w:rPr>
        <w:t> </w:t>
      </w:r>
    </w:p>
    <w:p w:rsidR="00FA7F14" w:rsidP="00FA7F14">
      <w:pPr>
        <w:bidi w:val="0"/>
        <w:jc w:val="both"/>
        <w:rPr>
          <w:rStyle w:val="PlaceholderText"/>
          <w:color w:val="000000"/>
          <w:lang w:val="en-US"/>
        </w:rPr>
      </w:pPr>
      <w:r>
        <w:rPr>
          <w:rStyle w:val="PlaceholderText"/>
          <w:color w:val="000000"/>
          <w:lang w:val="en-US"/>
        </w:rPr>
        <w:t> </w:t>
      </w:r>
    </w:p>
    <w:p w:rsidR="00FA7F14" w:rsidP="00FA7F14">
      <w:pPr>
        <w:bidi w:val="0"/>
        <w:jc w:val="both"/>
        <w:rPr>
          <w:rStyle w:val="PlaceholderText"/>
          <w:color w:val="000000"/>
          <w:lang w:val="en-US"/>
        </w:rPr>
      </w:pPr>
    </w:p>
    <w:p w:rsidR="0066286B" w:rsidP="0066286B">
      <w:pPr>
        <w:bidi w:val="0"/>
        <w:jc w:val="both"/>
        <w:rPr>
          <w:rStyle w:val="PlaceholderText"/>
          <w:color w:val="000000"/>
          <w:lang w:val="en-US"/>
        </w:rPr>
      </w:pPr>
      <w:r>
        <w:rPr>
          <w:rFonts w:ascii="Times New Roman" w:hAnsi="Times New Roman"/>
        </w:rPr>
        <w:t xml:space="preserve"> V Bratislave dňa </w:t>
      </w:r>
      <w:r w:rsidR="0042555E">
        <w:rPr>
          <w:rFonts w:ascii="Times New Roman" w:hAnsi="Times New Roman"/>
        </w:rPr>
        <w:t>7</w:t>
      </w:r>
      <w:r>
        <w:rPr>
          <w:rFonts w:ascii="Times New Roman" w:hAnsi="Times New Roman"/>
        </w:rPr>
        <w:t xml:space="preserve">. </w:t>
      </w:r>
      <w:r w:rsidR="0042555E">
        <w:rPr>
          <w:rFonts w:ascii="Times New Roman" w:hAnsi="Times New Roman"/>
        </w:rPr>
        <w:t xml:space="preserve">novembra </w:t>
      </w:r>
      <w:r>
        <w:rPr>
          <w:rFonts w:ascii="Times New Roman" w:hAnsi="Times New Roman"/>
        </w:rPr>
        <w:t>2012.</w:t>
      </w:r>
      <w:r>
        <w:rPr>
          <w:rStyle w:val="PlaceholderText"/>
          <w:color w:val="000000"/>
          <w:lang w:val="en-US"/>
        </w:rPr>
        <w:t> </w:t>
      </w:r>
    </w:p>
    <w:p w:rsidR="0066286B" w:rsidP="0066286B">
      <w:pPr>
        <w:bidi w:val="0"/>
        <w:jc w:val="both"/>
        <w:rPr>
          <w:rStyle w:val="PlaceholderText"/>
          <w:color w:val="000000"/>
          <w:lang w:val="en-US"/>
        </w:rPr>
      </w:pPr>
      <w:r>
        <w:rPr>
          <w:rStyle w:val="PlaceholderText"/>
          <w:color w:val="000000"/>
          <w:lang w:val="en-US"/>
        </w:rPr>
        <w:t> </w:t>
      </w:r>
    </w:p>
    <w:p w:rsidR="0066286B" w:rsidP="0066286B">
      <w:pPr>
        <w:bidi w:val="0"/>
        <w:jc w:val="both"/>
        <w:rPr>
          <w:rStyle w:val="PlaceholderText"/>
          <w:color w:val="000000"/>
          <w:lang w:val="en-US"/>
        </w:rPr>
      </w:pPr>
      <w:r>
        <w:rPr>
          <w:rStyle w:val="PlaceholderText"/>
          <w:color w:val="000000"/>
          <w:lang w:val="en-US"/>
        </w:rPr>
        <w:t> </w:t>
      </w:r>
    </w:p>
    <w:p w:rsidR="0066286B" w:rsidP="0066286B">
      <w:pPr>
        <w:bidi w:val="0"/>
        <w:jc w:val="both"/>
        <w:rPr>
          <w:rStyle w:val="PlaceholderText"/>
          <w:color w:val="000000"/>
          <w:lang w:val="en-US"/>
        </w:rPr>
      </w:pPr>
    </w:p>
    <w:p w:rsidR="0066286B" w:rsidP="0066286B">
      <w:pPr>
        <w:bidi w:val="0"/>
        <w:jc w:val="both"/>
        <w:rPr>
          <w:rStyle w:val="PlaceholderText"/>
          <w:color w:val="000000"/>
          <w:lang w:val="en-US"/>
        </w:rPr>
      </w:pPr>
    </w:p>
    <w:p w:rsidR="0066286B" w:rsidP="0066286B">
      <w:pPr>
        <w:bidi w:val="0"/>
        <w:jc w:val="both"/>
        <w:rPr>
          <w:rStyle w:val="PlaceholderText"/>
          <w:color w:val="000000"/>
          <w:lang w:val="en-US"/>
        </w:rPr>
      </w:pPr>
    </w:p>
    <w:p w:rsidR="0066286B" w:rsidP="0066286B">
      <w:pPr>
        <w:tabs>
          <w:tab w:val="left" w:pos="57"/>
          <w:tab w:val="left" w:pos="6384"/>
        </w:tabs>
        <w:bidi w:val="0"/>
        <w:jc w:val="center"/>
        <w:rPr>
          <w:rStyle w:val="PlaceholderText"/>
          <w:color w:val="000000"/>
          <w:lang w:val="en-US"/>
        </w:rPr>
      </w:pPr>
      <w:r w:rsidR="006C1BC1">
        <w:rPr>
          <w:rStyle w:val="PlaceholderText"/>
          <w:color w:val="000000"/>
          <w:lang w:val="en-US"/>
        </w:rPr>
        <w:t>Robert Fico</w:t>
      </w:r>
      <w:r w:rsidR="001942D9">
        <w:rPr>
          <w:rStyle w:val="PlaceholderText"/>
          <w:color w:val="000000"/>
          <w:lang w:val="en-US"/>
        </w:rPr>
        <w:t>, v.r.</w:t>
      </w:r>
    </w:p>
    <w:p w:rsidR="0066286B" w:rsidP="0066286B">
      <w:pPr>
        <w:tabs>
          <w:tab w:val="left" w:pos="57"/>
          <w:tab w:val="left" w:pos="6384"/>
        </w:tabs>
        <w:bidi w:val="0"/>
        <w:jc w:val="center"/>
        <w:rPr>
          <w:rStyle w:val="PlaceholderText"/>
          <w:color w:val="000000"/>
          <w:lang w:val="en-US"/>
        </w:rPr>
      </w:pPr>
      <w:r>
        <w:rPr>
          <w:rStyle w:val="PlaceholderText"/>
          <w:color w:val="000000"/>
          <w:lang w:val="en-US"/>
        </w:rPr>
        <w:t>predseda vlády</w:t>
      </w:r>
    </w:p>
    <w:p w:rsidR="0066286B" w:rsidP="0066286B">
      <w:pPr>
        <w:tabs>
          <w:tab w:val="left" w:pos="57"/>
          <w:tab w:val="left" w:pos="6384"/>
        </w:tabs>
        <w:bidi w:val="0"/>
        <w:jc w:val="center"/>
        <w:rPr>
          <w:rStyle w:val="PlaceholderText"/>
          <w:color w:val="000000"/>
          <w:lang w:val="en-US"/>
        </w:rPr>
      </w:pPr>
      <w:r>
        <w:rPr>
          <w:rStyle w:val="PlaceholderText"/>
          <w:color w:val="000000"/>
          <w:lang w:val="en-US"/>
        </w:rPr>
        <w:t>Slovenskej republiky</w:t>
      </w:r>
    </w:p>
    <w:p w:rsidR="0066286B" w:rsidP="0066286B">
      <w:pPr>
        <w:tabs>
          <w:tab w:val="left" w:pos="57"/>
          <w:tab w:val="left" w:pos="6384"/>
        </w:tabs>
        <w:bidi w:val="0"/>
        <w:jc w:val="center"/>
        <w:rPr>
          <w:rStyle w:val="PlaceholderText"/>
          <w:color w:val="000000"/>
          <w:lang w:val="en-US"/>
        </w:rPr>
      </w:pPr>
    </w:p>
    <w:p w:rsidR="0066286B" w:rsidP="0066286B">
      <w:pPr>
        <w:tabs>
          <w:tab w:val="left" w:pos="57"/>
          <w:tab w:val="left" w:pos="6384"/>
        </w:tabs>
        <w:bidi w:val="0"/>
        <w:jc w:val="center"/>
        <w:rPr>
          <w:rStyle w:val="PlaceholderText"/>
          <w:color w:val="000000"/>
          <w:lang w:val="en-US"/>
        </w:rPr>
      </w:pPr>
    </w:p>
    <w:p w:rsidR="0066286B" w:rsidP="0066286B">
      <w:pPr>
        <w:tabs>
          <w:tab w:val="left" w:pos="57"/>
          <w:tab w:val="left" w:pos="6384"/>
        </w:tabs>
        <w:bidi w:val="0"/>
        <w:jc w:val="both"/>
        <w:rPr>
          <w:rStyle w:val="PlaceholderText"/>
          <w:color w:val="000000"/>
          <w:lang w:val="en-US"/>
        </w:rPr>
      </w:pPr>
      <w:r>
        <w:rPr>
          <w:rStyle w:val="PlaceholderText"/>
          <w:color w:val="000000"/>
          <w:lang w:val="en-US"/>
        </w:rPr>
        <w:t> </w:t>
      </w:r>
    </w:p>
    <w:p w:rsidR="0066286B" w:rsidP="0066286B">
      <w:pPr>
        <w:tabs>
          <w:tab w:val="left" w:pos="57"/>
          <w:tab w:val="left" w:pos="6384"/>
        </w:tabs>
        <w:bidi w:val="0"/>
        <w:jc w:val="both"/>
        <w:rPr>
          <w:rStyle w:val="PlaceholderText"/>
          <w:color w:val="000000"/>
          <w:lang w:val="en-US"/>
        </w:rPr>
      </w:pPr>
      <w:r>
        <w:rPr>
          <w:rStyle w:val="PlaceholderText"/>
          <w:color w:val="000000"/>
          <w:lang w:val="en-US"/>
        </w:rPr>
        <w:t> </w:t>
      </w:r>
    </w:p>
    <w:p w:rsidR="0066286B" w:rsidP="006C1BC1">
      <w:pPr>
        <w:tabs>
          <w:tab w:val="left" w:pos="57"/>
          <w:tab w:val="left" w:pos="6384"/>
        </w:tabs>
        <w:bidi w:val="0"/>
        <w:jc w:val="center"/>
        <w:rPr>
          <w:rStyle w:val="PlaceholderText"/>
          <w:color w:val="000000"/>
          <w:lang w:val="en-US"/>
        </w:rPr>
      </w:pPr>
      <w:r w:rsidR="006C1BC1">
        <w:rPr>
          <w:rStyle w:val="PlaceholderText"/>
          <w:color w:val="000000"/>
          <w:lang w:val="en-US"/>
        </w:rPr>
        <w:t>Peter Žiga</w:t>
      </w:r>
      <w:r w:rsidR="001942D9">
        <w:rPr>
          <w:rStyle w:val="PlaceholderText"/>
          <w:color w:val="000000"/>
          <w:lang w:val="en-US"/>
        </w:rPr>
        <w:t>, v.r.</w:t>
      </w:r>
    </w:p>
    <w:p w:rsidR="0066286B" w:rsidP="0066286B">
      <w:pPr>
        <w:tabs>
          <w:tab w:val="left" w:pos="57"/>
          <w:tab w:val="left" w:pos="6384"/>
        </w:tabs>
        <w:bidi w:val="0"/>
        <w:jc w:val="center"/>
        <w:rPr>
          <w:rStyle w:val="PlaceholderText"/>
          <w:color w:val="000000"/>
          <w:lang w:val="en-US"/>
        </w:rPr>
      </w:pPr>
      <w:r>
        <w:rPr>
          <w:rStyle w:val="PlaceholderText"/>
          <w:color w:val="000000"/>
          <w:lang w:val="en-US"/>
        </w:rPr>
        <w:t>minister životného prostredia</w:t>
      </w:r>
    </w:p>
    <w:p w:rsidR="0066286B" w:rsidP="0066286B">
      <w:pPr>
        <w:tabs>
          <w:tab w:val="left" w:pos="57"/>
          <w:tab w:val="left" w:pos="6384"/>
        </w:tabs>
        <w:bidi w:val="0"/>
        <w:jc w:val="center"/>
        <w:rPr>
          <w:rStyle w:val="PlaceholderText"/>
          <w:color w:val="000000"/>
          <w:lang w:val="en-US"/>
        </w:rPr>
      </w:pPr>
      <w:r>
        <w:rPr>
          <w:rStyle w:val="PlaceholderText"/>
          <w:color w:val="000000"/>
          <w:lang w:val="en-US"/>
        </w:rPr>
        <w:t>Slovenskej republiky</w:t>
      </w:r>
    </w:p>
    <w:p w:rsidR="00FA7F14" w:rsidP="00FA7F14">
      <w:pPr>
        <w:bidi w:val="0"/>
        <w:jc w:val="both"/>
        <w:rPr>
          <w:rStyle w:val="PlaceholderText"/>
          <w:color w:val="000000"/>
          <w:lang w:val="en-US"/>
        </w:rPr>
      </w:pPr>
    </w:p>
    <w:p w:rsidR="00FA7F14" w:rsidRPr="004C659F" w:rsidP="00FA7F14">
      <w:pPr>
        <w:widowControl/>
        <w:bidi w:val="0"/>
        <w:spacing w:line="276" w:lineRule="auto"/>
        <w:jc w:val="both"/>
        <w:rPr>
          <w:rStyle w:val="PlaceholderText"/>
          <w:color w:val="000000"/>
        </w:rPr>
      </w:pPr>
      <w:r>
        <w:rPr>
          <w:rFonts w:ascii="Times New Roman" w:hAnsi="Times New Roman"/>
          <w:b/>
          <w:caps/>
          <w:color w:val="000000"/>
          <w:spacing w:val="30"/>
          <w:highlight w:val="yellow"/>
          <w:lang w:eastAsia="cs-CZ"/>
        </w:rPr>
        <w:br w:type="page"/>
      </w:r>
    </w:p>
    <w:p w:rsidR="00F9065E" w:rsidRPr="00DC04BD" w:rsidP="00F9065E">
      <w:pPr>
        <w:bidi w:val="0"/>
        <w:jc w:val="both"/>
        <w:rPr>
          <w:rFonts w:ascii="Times New Roman" w:hAnsi="Times New Roman"/>
          <w:b/>
          <w:bCs/>
          <w:color w:val="000000"/>
        </w:rPr>
      </w:pPr>
    </w:p>
    <w:p w:rsidR="00F43FB7" w:rsidP="00F43FB7">
      <w:pPr>
        <w:pStyle w:val="BodyText"/>
        <w:bidi w:val="0"/>
        <w:ind w:firstLine="708"/>
        <w:rPr>
          <w:rFonts w:ascii="Times New Roman" w:hAnsi="Times New Roman"/>
        </w:rPr>
      </w:pPr>
    </w:p>
    <w:sectPr>
      <w:footerReference w:type="even" r:id="rId4"/>
      <w:footerReference w:type="default" r:id="rId5"/>
      <w:pgSz w:w="12240" w:h="15840"/>
      <w:pgMar w:top="1440" w:right="1440" w:bottom="1440" w:left="1440"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91" w:rsidP="00E428D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E709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91" w:rsidP="00E428D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942D9">
      <w:rPr>
        <w:rStyle w:val="PageNumber"/>
        <w:rFonts w:ascii="Times New Roman" w:hAnsi="Times New Roman"/>
        <w:noProof/>
      </w:rPr>
      <w:t>21</w:t>
    </w:r>
    <w:r>
      <w:rPr>
        <w:rStyle w:val="PageNumber"/>
        <w:rFonts w:ascii="Times New Roman" w:hAnsi="Times New Roman"/>
      </w:rPr>
      <w:fldChar w:fldCharType="end"/>
    </w:r>
  </w:p>
  <w:p w:rsidR="006E709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4325"/>
    <w:multiLevelType w:val="hybridMultilevel"/>
    <w:tmpl w:val="DB2A8F1A"/>
    <w:lvl w:ilvl="0">
      <w:start w:val="1"/>
      <w:numFmt w:val="decimal"/>
      <w:lvlText w:val="K § %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A667FE0"/>
    <w:multiLevelType w:val="hybridMultilevel"/>
    <w:tmpl w:val="83A4A49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97A6822"/>
    <w:multiLevelType w:val="hybridMultilevel"/>
    <w:tmpl w:val="4DFAE2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5540E57"/>
    <w:multiLevelType w:val="hybridMultilevel"/>
    <w:tmpl w:val="BBB0E1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49C3D4C"/>
    <w:multiLevelType w:val="hybridMultilevel"/>
    <w:tmpl w:val="31E68CE2"/>
    <w:lvl w:ilvl="0">
      <w:start w:val="3"/>
      <w:numFmt w:val="bullet"/>
      <w:lvlText w:val="-"/>
      <w:lvlJc w:val="left"/>
      <w:pPr>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04F5689"/>
    <w:multiLevelType w:val="hybridMultilevel"/>
    <w:tmpl w:val="7452D46E"/>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compat>
    <w:doNotUseIndentAsNumberingTabStop/>
    <w:allowSpaceOfSameStyleInTable/>
    <w:splitPgBreakAndParaMark/>
    <w:useAnsiKerningPairs/>
  </w:compat>
  <w:rsids>
    <w:rsidRoot w:val="004521DE"/>
    <w:rsid w:val="00030EBA"/>
    <w:rsid w:val="000F4512"/>
    <w:rsid w:val="00192AC9"/>
    <w:rsid w:val="001942D9"/>
    <w:rsid w:val="001A6D05"/>
    <w:rsid w:val="001B1FE6"/>
    <w:rsid w:val="001D40B9"/>
    <w:rsid w:val="00245ECF"/>
    <w:rsid w:val="00294557"/>
    <w:rsid w:val="0029780D"/>
    <w:rsid w:val="00302A49"/>
    <w:rsid w:val="00342DE8"/>
    <w:rsid w:val="003B05C5"/>
    <w:rsid w:val="003C5431"/>
    <w:rsid w:val="003D68C7"/>
    <w:rsid w:val="003F6A90"/>
    <w:rsid w:val="0042555E"/>
    <w:rsid w:val="004326A0"/>
    <w:rsid w:val="004521DE"/>
    <w:rsid w:val="00461F27"/>
    <w:rsid w:val="004A08FA"/>
    <w:rsid w:val="004C659F"/>
    <w:rsid w:val="004D2D40"/>
    <w:rsid w:val="0050706D"/>
    <w:rsid w:val="005077C7"/>
    <w:rsid w:val="0051019D"/>
    <w:rsid w:val="00524903"/>
    <w:rsid w:val="005251CE"/>
    <w:rsid w:val="0055349F"/>
    <w:rsid w:val="00576888"/>
    <w:rsid w:val="005D03BD"/>
    <w:rsid w:val="005F4057"/>
    <w:rsid w:val="0066286B"/>
    <w:rsid w:val="006C1BC1"/>
    <w:rsid w:val="006E7091"/>
    <w:rsid w:val="00750469"/>
    <w:rsid w:val="00831AC6"/>
    <w:rsid w:val="008B25A6"/>
    <w:rsid w:val="00947D09"/>
    <w:rsid w:val="0097622F"/>
    <w:rsid w:val="0099440F"/>
    <w:rsid w:val="009969AB"/>
    <w:rsid w:val="009E4378"/>
    <w:rsid w:val="00A10B51"/>
    <w:rsid w:val="00A64D2D"/>
    <w:rsid w:val="00A744C0"/>
    <w:rsid w:val="00A76A4E"/>
    <w:rsid w:val="00A91F0D"/>
    <w:rsid w:val="00AE160E"/>
    <w:rsid w:val="00AF0330"/>
    <w:rsid w:val="00B13BAC"/>
    <w:rsid w:val="00B969C9"/>
    <w:rsid w:val="00BB29E3"/>
    <w:rsid w:val="00C36CEC"/>
    <w:rsid w:val="00CD3080"/>
    <w:rsid w:val="00DA0D89"/>
    <w:rsid w:val="00DC04BD"/>
    <w:rsid w:val="00DC33C0"/>
    <w:rsid w:val="00DE0EEA"/>
    <w:rsid w:val="00E428D7"/>
    <w:rsid w:val="00E507B9"/>
    <w:rsid w:val="00E833B8"/>
    <w:rsid w:val="00F0791B"/>
    <w:rsid w:val="00F43FB7"/>
    <w:rsid w:val="00F765C7"/>
    <w:rsid w:val="00F9065E"/>
    <w:rsid w:val="00FA7F14"/>
    <w:rsid w:val="00FB78B0"/>
    <w:rsid w:val="00FE0BB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
    <w:name w:val="Body Text"/>
    <w:basedOn w:val="Normal"/>
    <w:link w:val="ZkladntextChar"/>
    <w:uiPriority w:val="99"/>
    <w:rsid w:val="00F43FB7"/>
    <w:pPr>
      <w:widowControl/>
      <w:adjustRightInd/>
      <w:jc w:val="both"/>
    </w:pPr>
    <w:rPr>
      <w:szCs w:val="20"/>
    </w:rPr>
  </w:style>
  <w:style w:type="character" w:customStyle="1" w:styleId="ZkladntextChar">
    <w:name w:val="Základný text Char"/>
    <w:basedOn w:val="DefaultParagraphFont"/>
    <w:link w:val="BodyText"/>
    <w:uiPriority w:val="99"/>
    <w:locked/>
    <w:rsid w:val="00F43FB7"/>
    <w:rPr>
      <w:rFonts w:ascii="Times New Roman" w:hAnsi="Times New Roman" w:cs="Times New Roman"/>
      <w:sz w:val="20"/>
      <w:szCs w:val="20"/>
      <w:rtl w:val="0"/>
      <w:cs w:val="0"/>
    </w:rPr>
  </w:style>
  <w:style w:type="paragraph" w:styleId="NormalWeb">
    <w:name w:val="Normal (Web)"/>
    <w:aliases w:val="webb"/>
    <w:basedOn w:val="Normal"/>
    <w:uiPriority w:val="99"/>
    <w:rsid w:val="00F9065E"/>
    <w:pPr>
      <w:widowControl/>
      <w:adjustRightInd/>
      <w:spacing w:before="100" w:beforeAutospacing="1" w:after="100" w:afterAutospacing="1"/>
      <w:jc w:val="left"/>
    </w:pPr>
  </w:style>
  <w:style w:type="paragraph" w:styleId="ListParagraph">
    <w:name w:val="List Paragraph"/>
    <w:basedOn w:val="Normal"/>
    <w:uiPriority w:val="99"/>
    <w:rsid w:val="006E7091"/>
    <w:pPr>
      <w:autoSpaceDE w:val="0"/>
      <w:autoSpaceDN w:val="0"/>
      <w:ind w:left="708"/>
      <w:jc w:val="left"/>
    </w:pPr>
    <w:rPr>
      <w:lang w:val="ru-RU"/>
    </w:rPr>
  </w:style>
  <w:style w:type="paragraph" w:styleId="FootnoteText">
    <w:name w:val="footnote text"/>
    <w:basedOn w:val="Normal"/>
    <w:link w:val="FootnoteTextChar"/>
    <w:uiPriority w:val="99"/>
    <w:semiHidden/>
    <w:rsid w:val="006E7091"/>
    <w:pPr>
      <w:widowControl/>
      <w:adjustRightInd/>
      <w:jc w:val="left"/>
    </w:pPr>
    <w:rPr>
      <w:rFonts w:ascii="Calibri" w:hAnsi="Calibri"/>
      <w:sz w:val="20"/>
      <w:szCs w:val="20"/>
      <w:lang w:eastAsia="en-US"/>
    </w:rPr>
  </w:style>
  <w:style w:type="character" w:customStyle="1" w:styleId="FootnoteTextChar">
    <w:name w:val="Footnote Text Char"/>
    <w:basedOn w:val="DefaultParagraphFont"/>
    <w:link w:val="FootnoteText"/>
    <w:uiPriority w:val="99"/>
    <w:semiHidden/>
    <w:locked/>
    <w:rsid w:val="006E7091"/>
    <w:rPr>
      <w:rFonts w:ascii="Calibri" w:hAnsi="Calibri" w:cs="Times New Roman"/>
      <w:rtl w:val="0"/>
      <w:cs w:val="0"/>
      <w:lang w:val="sk-SK" w:eastAsia="en-US" w:bidi="ar-SA"/>
    </w:rPr>
  </w:style>
  <w:style w:type="paragraph" w:styleId="Footer">
    <w:name w:val="footer"/>
    <w:basedOn w:val="Normal"/>
    <w:uiPriority w:val="99"/>
    <w:rsid w:val="006E7091"/>
    <w:pPr>
      <w:tabs>
        <w:tab w:val="center" w:pos="4536"/>
        <w:tab w:val="right" w:pos="9072"/>
      </w:tabs>
      <w:jc w:val="left"/>
    </w:pPr>
  </w:style>
  <w:style w:type="character" w:styleId="PageNumber">
    <w:name w:val="page number"/>
    <w:basedOn w:val="DefaultParagraphFont"/>
    <w:uiPriority w:val="99"/>
    <w:rsid w:val="006E7091"/>
    <w:rPr>
      <w:rFonts w:cs="Times New Roman"/>
      <w:rtl w:val="0"/>
      <w:cs w:val="0"/>
    </w:rPr>
  </w:style>
  <w:style w:type="paragraph" w:customStyle="1" w:styleId="Default">
    <w:name w:val="Default"/>
    <w:uiPriority w:val="99"/>
    <w:rsid w:val="0055349F"/>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22</Pages>
  <Words>7014</Words>
  <Characters>39983</Characters>
  <Application>Microsoft Office Word</Application>
  <DocSecurity>0</DocSecurity>
  <Lines>0</Lines>
  <Paragraphs>0</Paragraphs>
  <ScaleCrop>false</ScaleCrop>
  <Company>Abyss</Company>
  <LinksUpToDate>false</LinksUpToDate>
  <CharactersWithSpaces>46904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lichnerova</cp:lastModifiedBy>
  <cp:revision>7</cp:revision>
  <cp:lastPrinted>2012-11-08T11:09:00Z</cp:lastPrinted>
  <dcterms:created xsi:type="dcterms:W3CDTF">2012-11-05T10:25:00Z</dcterms:created>
  <dcterms:modified xsi:type="dcterms:W3CDTF">2012-11-09T08:38:00Z</dcterms:modified>
</cp:coreProperties>
</file>