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749E6" w:rsidP="001642D4">
      <w:pPr>
        <w:pStyle w:val="Heading1"/>
        <w:keepLines w:val="0"/>
      </w:pPr>
      <w:r>
        <w:t>Dôvodová správa</w:t>
      </w:r>
    </w:p>
    <w:p w:rsidR="00E749E6" w:rsidP="001642D4">
      <w:pPr>
        <w:pStyle w:val="Heading3"/>
        <w:keepLines w:val="0"/>
      </w:pPr>
      <w:r>
        <w:t>Všeobecná časť</w:t>
      </w:r>
    </w:p>
    <w:p w:rsidR="00AC2043" w:rsidP="00DA4DF5">
      <w:pPr>
        <w:pStyle w:val="odsek"/>
        <w:spacing w:before="60" w:after="60"/>
      </w:pPr>
      <w:r w:rsidR="00E749E6">
        <w:t>Návrh zákona, ktorým sa mení a dopĺňa zákon č. 220/2004 Z. z. o ochrane a využívaní poľnohospodárskej pôdy a o zmene zákona č. 245/2003 Z. z. o integrovanej prevencii a kontrole znečisťovania životného prostredia a o zmene a </w:t>
      </w:r>
      <w:r w:rsidR="00E749E6">
        <w:t>doplnení niektorých zákonov v znení neskorších predpisov a o zmene a doplnení niektorých zákonov</w:t>
      </w:r>
      <w:r w:rsidR="00E749E6">
        <w:rPr>
          <w:b/>
        </w:rPr>
        <w:t xml:space="preserve"> </w:t>
      </w:r>
      <w:r w:rsidR="00E749E6">
        <w:t xml:space="preserve">bol vypracovaný </w:t>
      </w:r>
      <w:r w:rsidR="00EF510B">
        <w:t xml:space="preserve">na základe </w:t>
      </w:r>
      <w:r w:rsidR="00E749E6">
        <w:t>Plánu legislatívnych úloh vlády Slovenskej republiky na rok 2012.</w:t>
      </w:r>
    </w:p>
    <w:p w:rsidR="00E749E6" w:rsidP="00DA4DF5">
      <w:pPr>
        <w:pStyle w:val="odsek"/>
        <w:spacing w:before="60" w:after="60"/>
      </w:pPr>
      <w:r>
        <w:t>Cieľom predloženého návrhu zákona je zjednodušiť niektoré administratívne postupy v konaní štátnej správy na úseku ochrany poľnohospodárskej pôdy, upraviť smero</w:t>
      </w:r>
      <w:r w:rsidR="00A0737A">
        <w:t>vanie a rozsah inštitútu odvodu za odňatie najkvalitnejšej poľnohospodárskej</w:t>
      </w:r>
      <w:r>
        <w:t xml:space="preserve"> pôd</w:t>
      </w:r>
      <w:r w:rsidR="00A0737A">
        <w:t>y</w:t>
      </w:r>
      <w:r>
        <w:t xml:space="preserve"> v príslušnom katastrálnom území, ustanoviť postup pri pestovaní rýchlorastúcich energetických drevín na poľnohospodárskej pôde. Návrh zákona rieši niektoré problémy aplikačnej praxe pri rozhodovaní o zmenách druhov pozemkov v konaniach s veľkým počtom účastníkov.</w:t>
      </w:r>
    </w:p>
    <w:p w:rsidR="00E749E6" w:rsidP="00DA4DF5">
      <w:pPr>
        <w:pStyle w:val="odsek"/>
        <w:spacing w:before="60" w:after="60"/>
      </w:pPr>
      <w:r>
        <w:t>Návrh zákona bude mať pozitívny vplyv na rozpočet verejnej správy a nebude mať vplyv na podnikateľské prostredie, sociálne vplyvy, životné prostredie a na informatizáciu spoločnosti.</w:t>
      </w:r>
    </w:p>
    <w:p w:rsidR="00E749E6" w:rsidP="00DA4DF5">
      <w:pPr>
        <w:pStyle w:val="odsek"/>
        <w:spacing w:before="60" w:after="60"/>
      </w:pPr>
      <w:r>
        <w:t>Návrh zákona je v súlade s Ústavou Slovenskej republiky a súvisiacimi všeobecne záväznými právnymi predpismi a medzinárodnými zmluvami, ktorými j</w:t>
      </w:r>
      <w:r>
        <w:t>e Slovenská republika viazaná.</w:t>
      </w:r>
    </w:p>
    <w:p w:rsidR="00E749E6" w:rsidP="00DA4DF5">
      <w:pPr>
        <w:jc w:val="center"/>
        <w:outlineLvl w:val="0"/>
        <w:rPr>
          <w:b/>
          <w:bCs/>
        </w:rPr>
      </w:pPr>
      <w:r>
        <w:rPr>
          <w:b/>
          <w:bCs/>
        </w:rPr>
        <w:t>DOLOŽKA ZLUČITEĽNOSTI</w:t>
      </w:r>
    </w:p>
    <w:p w:rsidR="00E749E6" w:rsidP="001642D4">
      <w:pPr>
        <w:autoSpaceDE w:val="0"/>
        <w:autoSpaceDN w:val="0"/>
        <w:adjustRightInd w:val="0"/>
        <w:jc w:val="center"/>
        <w:rPr>
          <w:b/>
          <w:bCs/>
        </w:rPr>
      </w:pPr>
      <w:r>
        <w:rPr>
          <w:b/>
          <w:bCs/>
        </w:rPr>
        <w:t>právneho predpisu</w:t>
      </w:r>
    </w:p>
    <w:p w:rsidR="00E749E6" w:rsidP="001642D4">
      <w:pPr>
        <w:autoSpaceDE w:val="0"/>
        <w:autoSpaceDN w:val="0"/>
        <w:adjustRightInd w:val="0"/>
        <w:jc w:val="center"/>
        <w:rPr>
          <w:b/>
          <w:bCs/>
        </w:rPr>
      </w:pPr>
      <w:r>
        <w:rPr>
          <w:b/>
          <w:bCs/>
        </w:rPr>
        <w:t>s právom Európskej únie</w:t>
      </w:r>
    </w:p>
    <w:p w:rsidR="00E749E6" w:rsidP="001642D4">
      <w:pPr>
        <w:autoSpaceDE w:val="0"/>
        <w:autoSpaceDN w:val="0"/>
        <w:adjustRightInd w:val="0"/>
        <w:jc w:val="center"/>
        <w:rPr>
          <w:b/>
          <w:bCs/>
        </w:rPr>
      </w:pPr>
    </w:p>
    <w:p w:rsidR="00E749E6" w:rsidP="001642D4">
      <w:pPr>
        <w:tabs>
          <w:tab w:val="left" w:pos="360"/>
        </w:tabs>
        <w:autoSpaceDE w:val="0"/>
        <w:autoSpaceDN w:val="0"/>
        <w:adjustRightInd w:val="0"/>
        <w:ind w:left="340" w:hanging="340"/>
      </w:pPr>
      <w:r>
        <w:rPr>
          <w:b/>
          <w:bCs/>
        </w:rPr>
        <w:t>1.</w:t>
        <w:tab/>
        <w:t>Predkladateľ právneho predpisu:</w:t>
      </w:r>
      <w:r>
        <w:t xml:space="preserve"> </w:t>
      </w:r>
      <w:r w:rsidR="0069712F">
        <w:t xml:space="preserve">vláda Slovenskej republiky </w:t>
      </w:r>
    </w:p>
    <w:p w:rsidR="00E749E6" w:rsidP="001642D4">
      <w:pPr>
        <w:tabs>
          <w:tab w:val="left" w:pos="360"/>
        </w:tabs>
        <w:autoSpaceDE w:val="0"/>
        <w:autoSpaceDN w:val="0"/>
        <w:adjustRightInd w:val="0"/>
        <w:ind w:left="340" w:hanging="340"/>
      </w:pPr>
    </w:p>
    <w:p w:rsidR="00E749E6" w:rsidP="001642D4">
      <w:pPr>
        <w:tabs>
          <w:tab w:val="left" w:pos="360"/>
        </w:tabs>
        <w:autoSpaceDE w:val="0"/>
        <w:autoSpaceDN w:val="0"/>
        <w:adjustRightInd w:val="0"/>
        <w:ind w:left="340" w:hanging="340"/>
      </w:pPr>
      <w:r>
        <w:rPr>
          <w:b/>
          <w:bCs/>
        </w:rPr>
        <w:t>2.</w:t>
      </w:r>
      <w:r w:rsidR="008134D6">
        <w:rPr>
          <w:b/>
          <w:bCs/>
        </w:rPr>
        <w:t xml:space="preserve"> Názov návrhu právneho predpisu</w:t>
      </w:r>
      <w:r>
        <w:rPr>
          <w:b/>
          <w:bCs/>
        </w:rPr>
        <w:t xml:space="preserve">: </w:t>
      </w:r>
      <w:r>
        <w:t>Návrh zákona, ktorým sa mení a dopĺňa zákon č. 220/2004 Z. z. o ochrane a využívaní poľnohospodárskej pôdy a o zmene zákona č. 245/2003 Z. z. o integrovanej prevencii a kontrole znečisťovania životného prostredia a o zmene a doplnení niektorých zákonov v znení neskorších predpisov a o zmene a doplnení niektorých zák</w:t>
      </w:r>
      <w:r>
        <w:t>onov</w:t>
      </w:r>
    </w:p>
    <w:p w:rsidR="00E749E6" w:rsidP="001642D4">
      <w:pPr>
        <w:tabs>
          <w:tab w:val="left" w:pos="360"/>
        </w:tabs>
        <w:autoSpaceDE w:val="0"/>
        <w:autoSpaceDN w:val="0"/>
        <w:adjustRightInd w:val="0"/>
        <w:ind w:left="340" w:hanging="340"/>
      </w:pPr>
    </w:p>
    <w:p w:rsidR="00E749E6" w:rsidP="001642D4">
      <w:pPr>
        <w:tabs>
          <w:tab w:val="left" w:pos="360"/>
        </w:tabs>
        <w:autoSpaceDE w:val="0"/>
        <w:autoSpaceDN w:val="0"/>
        <w:adjustRightInd w:val="0"/>
        <w:ind w:left="340" w:hanging="340"/>
        <w:rPr>
          <w:b/>
          <w:bCs/>
        </w:rPr>
      </w:pPr>
      <w:r>
        <w:rPr>
          <w:b/>
          <w:bCs/>
        </w:rPr>
        <w:t>3.</w:t>
        <w:tab/>
        <w:t>Problematika návrhu právneho predpisu:</w:t>
      </w:r>
    </w:p>
    <w:p w:rsidR="00E749E6" w:rsidP="001642D4">
      <w:pPr>
        <w:tabs>
          <w:tab w:val="left" w:pos="720"/>
        </w:tabs>
        <w:autoSpaceDE w:val="0"/>
        <w:autoSpaceDN w:val="0"/>
        <w:adjustRightInd w:val="0"/>
        <w:ind w:left="720" w:hanging="360"/>
      </w:pPr>
      <w:r>
        <w:t>a)</w:t>
        <w:tab/>
        <w:t xml:space="preserve">nie je </w:t>
      </w:r>
      <w:r w:rsidR="008134D6">
        <w:t>upravená v práve Európskej únie</w:t>
      </w:r>
      <w:r>
        <w:t>:</w:t>
      </w:r>
    </w:p>
    <w:p w:rsidR="00E749E6" w:rsidP="001642D4">
      <w:pPr>
        <w:autoSpaceDE w:val="0"/>
        <w:autoSpaceDN w:val="0"/>
        <w:adjustRightInd w:val="0"/>
        <w:ind w:left="357"/>
      </w:pPr>
      <w:r>
        <w:t xml:space="preserve">      - v primárnom </w:t>
      </w:r>
    </w:p>
    <w:p w:rsidR="00E749E6" w:rsidP="00DA4DF5">
      <w:pPr>
        <w:ind w:left="357"/>
      </w:pPr>
      <w:r>
        <w:t xml:space="preserve">      - v sekundárnom (prijatom po nadobudnutí platnosti Lisabonskej zmluvy, ktorou sa mení a dopĺňa Zmluva o Európskom Spoločenstve a Zmluva o Európskej únie – po 30. novembri 2009):</w:t>
      </w:r>
    </w:p>
    <w:p w:rsidR="00E749E6" w:rsidP="00DA4DF5">
      <w:pPr>
        <w:adjustRightInd w:val="0"/>
        <w:ind w:left="720"/>
        <w:rPr>
          <w:color w:val="000000"/>
        </w:rPr>
      </w:pPr>
      <w:r>
        <w:rPr>
          <w:color w:val="000000"/>
        </w:rPr>
        <w:t>1. legislatívne akty</w:t>
      </w:r>
    </w:p>
    <w:p w:rsidR="00E749E6" w:rsidP="00DA4DF5">
      <w:pPr>
        <w:adjustRightInd w:val="0"/>
        <w:ind w:left="720"/>
        <w:rPr>
          <w:color w:val="000000"/>
        </w:rPr>
      </w:pPr>
    </w:p>
    <w:p w:rsidR="00E749E6" w:rsidP="00DA4DF5">
      <w:pPr>
        <w:adjustRightInd w:val="0"/>
        <w:ind w:left="720"/>
        <w:rPr>
          <w:color w:val="000000"/>
        </w:rPr>
      </w:pPr>
      <w:r>
        <w:rPr>
          <w:color w:val="000000"/>
        </w:rPr>
        <w:t>2. nelegislatívne akty</w:t>
      </w:r>
    </w:p>
    <w:p w:rsidR="00E749E6" w:rsidP="00DA4DF5">
      <w:pPr>
        <w:spacing w:before="120" w:after="120"/>
        <w:jc w:val="left"/>
      </w:pPr>
      <w:r>
        <w:t>b)</w:t>
        <w:tab/>
        <w:t>nie je obsiahnutá v judikatúre Súdneho dvora Európskej únie</w:t>
      </w:r>
    </w:p>
    <w:p w:rsidR="00E749E6" w:rsidP="001642D4">
      <w:pPr>
        <w:autoSpaceDE w:val="0"/>
        <w:autoSpaceDN w:val="0"/>
        <w:adjustRightInd w:val="0"/>
      </w:pPr>
      <w:r w:rsidR="00EF510B">
        <w:rPr>
          <w:bCs/>
        </w:rPr>
        <w:tab/>
      </w:r>
      <w:r>
        <w:rPr>
          <w:bCs/>
        </w:rPr>
        <w:t>Vzhľadom k tomu, že problematika návrhu zákona nie je upravená v práve Európskej únie, je bezpredmetné vyjadrovať sa k bodom 4., 5. a 6.</w:t>
      </w:r>
    </w:p>
    <w:p w:rsidR="0069712F" w:rsidP="00DA4DF5">
      <w:pPr>
        <w:jc w:val="center"/>
        <w:outlineLvl w:val="0"/>
        <w:rPr>
          <w:b/>
          <w:bCs/>
        </w:rPr>
      </w:pPr>
    </w:p>
    <w:p w:rsidR="00BE732E" w:rsidP="00DA4DF5">
      <w:pPr>
        <w:jc w:val="center"/>
        <w:outlineLvl w:val="0"/>
        <w:rPr>
          <w:b/>
          <w:bCs/>
        </w:rPr>
      </w:pPr>
      <w:r>
        <w:rPr>
          <w:b/>
          <w:bCs/>
        </w:rPr>
        <w:t xml:space="preserve">Doložka </w:t>
      </w:r>
      <w:r w:rsidR="008134D6">
        <w:rPr>
          <w:b/>
          <w:bCs/>
        </w:rPr>
        <w:t>vybraných vplyvov</w:t>
      </w:r>
    </w:p>
    <w:p w:rsidR="00EF510B" w:rsidP="00DA4DF5">
      <w:pPr>
        <w:jc w:val="center"/>
        <w:outlineLvl w:val="0"/>
        <w:rPr>
          <w:b/>
          <w:bCs/>
        </w:rPr>
      </w:pPr>
    </w:p>
    <w:p w:rsidR="00BE732E" w:rsidP="001642D4">
      <w:pPr>
        <w:tabs>
          <w:tab w:val="left" w:pos="360"/>
        </w:tabs>
        <w:autoSpaceDE w:val="0"/>
        <w:autoSpaceDN w:val="0"/>
        <w:adjustRightInd w:val="0"/>
      </w:pPr>
      <w:r w:rsidR="008134D6">
        <w:rPr>
          <w:b/>
        </w:rPr>
        <w:t>A.1. Názov materiálu</w:t>
      </w:r>
      <w:r>
        <w:rPr>
          <w:b/>
        </w:rPr>
        <w:t xml:space="preserve">: </w:t>
      </w:r>
      <w:r>
        <w:t>Návrh zákona, ktorým sa mení a dopĺňa zákon č. 220/2004 Z. z. o ochrane a využívaní poľnohospodárskej pôdy a o zmene zákona č. 245/2003 Z. z. o integrovanej prevencii a kontrole znečisťovania životného prostredia a o zmene a doplnení niektorých zákonov v znení neskorších predpisov a o zmene a doplnení niektorých zákonov</w:t>
      </w:r>
    </w:p>
    <w:p w:rsidR="00BE732E" w:rsidP="001642D4">
      <w:pPr>
        <w:tabs>
          <w:tab w:val="left" w:pos="360"/>
        </w:tabs>
        <w:autoSpaceDE w:val="0"/>
        <w:autoSpaceDN w:val="0"/>
        <w:adjustRightInd w:val="0"/>
        <w:rPr>
          <w:b/>
        </w:rPr>
      </w:pPr>
    </w:p>
    <w:p w:rsidR="00BE732E" w:rsidP="00DA4DF5">
      <w:pPr>
        <w:tabs>
          <w:tab w:val="left" w:pos="284"/>
        </w:tabs>
        <w:rPr>
          <w:b/>
        </w:rPr>
      </w:pPr>
      <w:r w:rsidR="008134D6">
        <w:rPr>
          <w:b/>
        </w:rPr>
        <w:t>Termín začatia a ukončenia PPK:</w:t>
      </w:r>
    </w:p>
    <w:p w:rsidR="00BE732E" w:rsidP="00DA4DF5">
      <w:pPr>
        <w:tabs>
          <w:tab w:val="left" w:pos="284"/>
        </w:tabs>
        <w:rPr>
          <w:b/>
        </w:rPr>
      </w:pPr>
    </w:p>
    <w:p w:rsidR="00BE732E" w:rsidP="00DA4DF5">
      <w:pPr>
        <w:tabs>
          <w:tab w:val="left" w:pos="284"/>
        </w:tabs>
        <w:rPr>
          <w:b/>
        </w:rPr>
      </w:pPr>
      <w:r>
        <w:rPr>
          <w:b/>
        </w:rPr>
        <w:t>A.2. Vplyvy</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559"/>
        <w:gridCol w:w="1417"/>
        <w:gridCol w:w="1560"/>
      </w:tblGrid>
      <w:tr w:rsidTr="00EF510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2"/>
          <w:jc w:val="center"/>
        </w:trPr>
        <w:tc>
          <w:tcPr>
            <w:tcW w:w="3936" w:type="dxa"/>
            <w:tcBorders>
              <w:top w:val="single" w:sz="4" w:space="0" w:color="auto"/>
              <w:left w:val="single" w:sz="4" w:space="0" w:color="auto"/>
              <w:bottom w:val="single" w:sz="4" w:space="0" w:color="auto"/>
              <w:right w:val="single" w:sz="4" w:space="0" w:color="auto"/>
            </w:tcBorders>
          </w:tcPr>
          <w:p w:rsidR="00BE732E" w:rsidRPr="00EF510B" w:rsidP="00DA4DF5">
            <w:pPr>
              <w:tabs>
                <w:tab w:val="left" w:pos="284"/>
              </w:tabs>
              <w:rPr>
                <w:b/>
              </w:rPr>
            </w:pPr>
          </w:p>
        </w:tc>
        <w:tc>
          <w:tcPr>
            <w:tcW w:w="1559" w:type="dxa"/>
            <w:tcBorders>
              <w:top w:val="single" w:sz="4" w:space="0" w:color="auto"/>
              <w:left w:val="single" w:sz="4" w:space="0" w:color="auto"/>
              <w:bottom w:val="single" w:sz="4" w:space="0" w:color="auto"/>
              <w:right w:val="single" w:sz="4" w:space="0" w:color="auto"/>
            </w:tcBorders>
            <w:hideMark/>
          </w:tcPr>
          <w:p w:rsidR="00BE732E" w:rsidRPr="00EF510B" w:rsidP="00DA4DF5">
            <w:pPr>
              <w:tabs>
                <w:tab w:val="left" w:pos="284"/>
              </w:tabs>
              <w:jc w:val="center"/>
            </w:pPr>
            <w:r w:rsidRPr="00EF510B">
              <w:t>Pozitívne</w:t>
            </w:r>
          </w:p>
        </w:tc>
        <w:tc>
          <w:tcPr>
            <w:tcW w:w="1417" w:type="dxa"/>
            <w:tcBorders>
              <w:top w:val="single" w:sz="4" w:space="0" w:color="auto"/>
              <w:left w:val="single" w:sz="4" w:space="0" w:color="auto"/>
              <w:bottom w:val="single" w:sz="4" w:space="0" w:color="auto"/>
              <w:right w:val="single" w:sz="4" w:space="0" w:color="auto"/>
            </w:tcBorders>
            <w:hideMark/>
          </w:tcPr>
          <w:p w:rsidR="00BE732E" w:rsidRPr="00EF510B" w:rsidP="00DA4DF5">
            <w:pPr>
              <w:tabs>
                <w:tab w:val="left" w:pos="284"/>
              </w:tabs>
              <w:jc w:val="center"/>
            </w:pPr>
            <w:r w:rsidRPr="00EF510B">
              <w:t>Žiadne</w:t>
            </w:r>
          </w:p>
        </w:tc>
        <w:tc>
          <w:tcPr>
            <w:tcW w:w="1560" w:type="dxa"/>
            <w:tcBorders>
              <w:top w:val="single" w:sz="4" w:space="0" w:color="auto"/>
              <w:left w:val="single" w:sz="4" w:space="0" w:color="auto"/>
              <w:bottom w:val="single" w:sz="4" w:space="0" w:color="auto"/>
              <w:right w:val="single" w:sz="4" w:space="0" w:color="auto"/>
            </w:tcBorders>
            <w:hideMark/>
          </w:tcPr>
          <w:p w:rsidR="00BE732E" w:rsidRPr="00EF510B" w:rsidP="00DA4DF5">
            <w:pPr>
              <w:tabs>
                <w:tab w:val="left" w:pos="284"/>
              </w:tabs>
              <w:jc w:val="center"/>
            </w:pPr>
            <w:r w:rsidRPr="00EF510B">
              <w:t>Negatívne</w:t>
            </w:r>
          </w:p>
        </w:tc>
      </w:tr>
      <w:tr w:rsidTr="00EF510B">
        <w:tblPrEx>
          <w:tblW w:w="0" w:type="auto"/>
          <w:jc w:val="center"/>
          <w:tblLook w:val="04A0"/>
        </w:tblPrEx>
        <w:trPr>
          <w:trHeight w:val="260"/>
          <w:jc w:val="center"/>
        </w:trPr>
        <w:tc>
          <w:tcPr>
            <w:tcW w:w="3936" w:type="dxa"/>
            <w:tcBorders>
              <w:top w:val="single" w:sz="4" w:space="0" w:color="auto"/>
              <w:left w:val="single" w:sz="4" w:space="0" w:color="auto"/>
              <w:bottom w:val="single" w:sz="4" w:space="0" w:color="auto"/>
              <w:right w:val="single" w:sz="4" w:space="0" w:color="auto"/>
            </w:tcBorders>
            <w:hideMark/>
          </w:tcPr>
          <w:p w:rsidR="00BE732E" w:rsidRPr="00EF510B" w:rsidP="00DA4DF5">
            <w:pPr>
              <w:tabs>
                <w:tab w:val="left" w:pos="284"/>
              </w:tabs>
            </w:pPr>
            <w:r w:rsidRPr="00EF510B">
              <w:t>1. Vplyvy na rozpočet verejnej správy</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732E" w:rsidRPr="00EF510B" w:rsidP="00DA4DF5">
            <w:pPr>
              <w:tabs>
                <w:tab w:val="left" w:pos="284"/>
              </w:tabs>
              <w:jc w:val="center"/>
            </w:pPr>
            <w:r w:rsidRPr="00EF510B">
              <w:t>x</w:t>
            </w:r>
          </w:p>
        </w:tc>
        <w:tc>
          <w:tcPr>
            <w:tcW w:w="1417"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r>
      <w:tr w:rsidTr="00EF510B">
        <w:tblPrEx>
          <w:tblW w:w="0" w:type="auto"/>
          <w:jc w:val="center"/>
          <w:tblLook w:val="04A0"/>
        </w:tblPrEx>
        <w:trPr>
          <w:trHeight w:val="780"/>
          <w:jc w:val="center"/>
        </w:trPr>
        <w:tc>
          <w:tcPr>
            <w:tcW w:w="3936" w:type="dxa"/>
            <w:tcBorders>
              <w:top w:val="single" w:sz="4" w:space="0" w:color="auto"/>
              <w:left w:val="single" w:sz="4" w:space="0" w:color="auto"/>
              <w:bottom w:val="single" w:sz="4" w:space="0" w:color="auto"/>
              <w:right w:val="single" w:sz="4" w:space="0" w:color="auto"/>
            </w:tcBorders>
            <w:hideMark/>
          </w:tcPr>
          <w:p w:rsidR="00BE732E" w:rsidRPr="00EF510B" w:rsidP="00DA4DF5">
            <w:pPr>
              <w:tabs>
                <w:tab w:val="left" w:pos="284"/>
              </w:tabs>
            </w:pPr>
            <w:r w:rsidRPr="00EF510B">
              <w:t>2. Vplyvy na podnikateľské prostredie – dochádza k zvýšeniu regulačného zaťaženia ?</w:t>
            </w:r>
          </w:p>
        </w:tc>
        <w:tc>
          <w:tcPr>
            <w:tcW w:w="1559"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E732E" w:rsidRPr="00EF510B" w:rsidP="00DA4DF5">
            <w:pPr>
              <w:tabs>
                <w:tab w:val="left" w:pos="284"/>
              </w:tabs>
              <w:jc w:val="center"/>
            </w:pPr>
            <w:r w:rsidRPr="00EF510B">
              <w:t>x</w:t>
            </w:r>
          </w:p>
        </w:tc>
        <w:tc>
          <w:tcPr>
            <w:tcW w:w="1560"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r>
      <w:tr w:rsidTr="00EF510B">
        <w:tblPrEx>
          <w:tblW w:w="0" w:type="auto"/>
          <w:jc w:val="center"/>
          <w:tblLook w:val="04A0"/>
        </w:tblPrEx>
        <w:trPr>
          <w:trHeight w:val="260"/>
          <w:jc w:val="center"/>
        </w:trPr>
        <w:tc>
          <w:tcPr>
            <w:tcW w:w="3936" w:type="dxa"/>
            <w:tcBorders>
              <w:top w:val="single" w:sz="4" w:space="0" w:color="auto"/>
              <w:left w:val="single" w:sz="4" w:space="0" w:color="auto"/>
              <w:bottom w:val="single" w:sz="4" w:space="0" w:color="auto"/>
              <w:right w:val="single" w:sz="4" w:space="0" w:color="auto"/>
            </w:tcBorders>
            <w:hideMark/>
          </w:tcPr>
          <w:p w:rsidR="00BE732E" w:rsidRPr="00EF510B" w:rsidP="00DA4DF5">
            <w:pPr>
              <w:tabs>
                <w:tab w:val="left" w:pos="284"/>
              </w:tabs>
            </w:pPr>
            <w:r w:rsidRPr="00EF510B">
              <w:t>3. Sociálne vplyvy</w:t>
            </w:r>
          </w:p>
        </w:tc>
        <w:tc>
          <w:tcPr>
            <w:tcW w:w="1559"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E732E" w:rsidRPr="00EF510B" w:rsidP="00DA4DF5">
            <w:pPr>
              <w:tabs>
                <w:tab w:val="left" w:pos="284"/>
              </w:tabs>
              <w:jc w:val="center"/>
            </w:pPr>
            <w:r w:rsidRPr="00EF510B">
              <w:t>x</w:t>
            </w:r>
          </w:p>
        </w:tc>
        <w:tc>
          <w:tcPr>
            <w:tcW w:w="1560"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r>
      <w:tr w:rsidTr="00EF510B">
        <w:tblPrEx>
          <w:tblW w:w="0" w:type="auto"/>
          <w:jc w:val="center"/>
          <w:tblLook w:val="04A0"/>
        </w:tblPrEx>
        <w:trPr>
          <w:trHeight w:val="260"/>
          <w:jc w:val="center"/>
        </w:trPr>
        <w:tc>
          <w:tcPr>
            <w:tcW w:w="3936" w:type="dxa"/>
            <w:tcBorders>
              <w:top w:val="single" w:sz="4" w:space="0" w:color="auto"/>
              <w:left w:val="single" w:sz="4" w:space="0" w:color="auto"/>
              <w:bottom w:val="single" w:sz="4" w:space="0" w:color="auto"/>
              <w:right w:val="single" w:sz="4" w:space="0" w:color="auto"/>
            </w:tcBorders>
            <w:hideMark/>
          </w:tcPr>
          <w:p w:rsidR="00BE732E" w:rsidRPr="00EF510B" w:rsidP="00DA4DF5">
            <w:pPr>
              <w:tabs>
                <w:tab w:val="left" w:pos="284"/>
              </w:tabs>
            </w:pPr>
            <w:r w:rsidRPr="00EF510B">
              <w:t>- vplyvy na hospodárenie obyvateľstva,</w:t>
            </w:r>
          </w:p>
        </w:tc>
        <w:tc>
          <w:tcPr>
            <w:tcW w:w="1559"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r>
      <w:tr w:rsidTr="00EF510B">
        <w:tblPrEx>
          <w:tblW w:w="0" w:type="auto"/>
          <w:jc w:val="center"/>
          <w:tblLook w:val="04A0"/>
        </w:tblPrEx>
        <w:trPr>
          <w:trHeight w:val="260"/>
          <w:jc w:val="center"/>
        </w:trPr>
        <w:tc>
          <w:tcPr>
            <w:tcW w:w="3936" w:type="dxa"/>
            <w:tcBorders>
              <w:top w:val="single" w:sz="4" w:space="0" w:color="auto"/>
              <w:left w:val="single" w:sz="4" w:space="0" w:color="auto"/>
              <w:bottom w:val="single" w:sz="4" w:space="0" w:color="auto"/>
              <w:right w:val="single" w:sz="4" w:space="0" w:color="auto"/>
            </w:tcBorders>
            <w:hideMark/>
          </w:tcPr>
          <w:p w:rsidR="00BE732E" w:rsidRPr="00EF510B" w:rsidP="00DA4DF5">
            <w:pPr>
              <w:tabs>
                <w:tab w:val="left" w:pos="284"/>
              </w:tabs>
            </w:pPr>
            <w:r w:rsidRPr="00EF510B">
              <w:t>- vplyvy na sociálnu exklúziu</w:t>
            </w:r>
          </w:p>
        </w:tc>
        <w:tc>
          <w:tcPr>
            <w:tcW w:w="1559"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r>
      <w:tr w:rsidTr="00EF510B">
        <w:tblPrEx>
          <w:tblW w:w="0" w:type="auto"/>
          <w:jc w:val="center"/>
          <w:tblLook w:val="04A0"/>
        </w:tblPrEx>
        <w:trPr>
          <w:trHeight w:val="537"/>
          <w:jc w:val="center"/>
        </w:trPr>
        <w:tc>
          <w:tcPr>
            <w:tcW w:w="3936" w:type="dxa"/>
            <w:tcBorders>
              <w:top w:val="single" w:sz="4" w:space="0" w:color="auto"/>
              <w:left w:val="single" w:sz="4" w:space="0" w:color="auto"/>
              <w:bottom w:val="single" w:sz="4" w:space="0" w:color="auto"/>
              <w:right w:val="single" w:sz="4" w:space="0" w:color="auto"/>
            </w:tcBorders>
            <w:hideMark/>
          </w:tcPr>
          <w:p w:rsidR="00BE732E" w:rsidRPr="00EF510B" w:rsidP="00DA4DF5">
            <w:pPr>
              <w:tabs>
                <w:tab w:val="left" w:pos="284"/>
              </w:tabs>
            </w:pPr>
            <w:r w:rsidRPr="00EF510B">
              <w:t>- vplyvy na rovnosť príležitostí a rodovú rovnosť a vplyvy na zamestnanosť</w:t>
            </w:r>
          </w:p>
        </w:tc>
        <w:tc>
          <w:tcPr>
            <w:tcW w:w="1559"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r>
      <w:tr w:rsidTr="00EF510B">
        <w:tblPrEx>
          <w:tblW w:w="0" w:type="auto"/>
          <w:jc w:val="center"/>
          <w:tblLook w:val="04A0"/>
        </w:tblPrEx>
        <w:trPr>
          <w:trHeight w:val="260"/>
          <w:jc w:val="center"/>
        </w:trPr>
        <w:tc>
          <w:tcPr>
            <w:tcW w:w="3936" w:type="dxa"/>
            <w:tcBorders>
              <w:top w:val="single" w:sz="4" w:space="0" w:color="auto"/>
              <w:left w:val="single" w:sz="4" w:space="0" w:color="auto"/>
              <w:bottom w:val="single" w:sz="4" w:space="0" w:color="auto"/>
              <w:right w:val="single" w:sz="4" w:space="0" w:color="auto"/>
            </w:tcBorders>
            <w:hideMark/>
          </w:tcPr>
          <w:p w:rsidR="00BE732E" w:rsidRPr="00EF510B" w:rsidP="00DA4DF5">
            <w:pPr>
              <w:tabs>
                <w:tab w:val="left" w:pos="284"/>
              </w:tabs>
            </w:pPr>
            <w:r w:rsidRPr="00EF510B">
              <w:t>4. Vplyvy na životné prostredie</w:t>
            </w:r>
          </w:p>
        </w:tc>
        <w:tc>
          <w:tcPr>
            <w:tcW w:w="1559"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E732E" w:rsidRPr="00EF510B" w:rsidP="00DA4DF5">
            <w:pPr>
              <w:tabs>
                <w:tab w:val="left" w:pos="284"/>
              </w:tabs>
              <w:jc w:val="center"/>
            </w:pPr>
            <w:r w:rsidRPr="00EF510B">
              <w:t>x</w:t>
            </w:r>
          </w:p>
        </w:tc>
        <w:tc>
          <w:tcPr>
            <w:tcW w:w="1560"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r>
      <w:tr w:rsidTr="00EF510B">
        <w:tblPrEx>
          <w:tblW w:w="0" w:type="auto"/>
          <w:jc w:val="center"/>
          <w:tblLook w:val="04A0"/>
        </w:tblPrEx>
        <w:trPr>
          <w:trHeight w:val="260"/>
          <w:jc w:val="center"/>
        </w:trPr>
        <w:tc>
          <w:tcPr>
            <w:tcW w:w="3936" w:type="dxa"/>
            <w:tcBorders>
              <w:top w:val="single" w:sz="4" w:space="0" w:color="auto"/>
              <w:left w:val="single" w:sz="4" w:space="0" w:color="auto"/>
              <w:bottom w:val="single" w:sz="4" w:space="0" w:color="auto"/>
              <w:right w:val="single" w:sz="4" w:space="0" w:color="auto"/>
            </w:tcBorders>
            <w:hideMark/>
          </w:tcPr>
          <w:p w:rsidR="00BE732E" w:rsidRPr="00EF510B" w:rsidP="00DA4DF5">
            <w:pPr>
              <w:tabs>
                <w:tab w:val="left" w:pos="284"/>
              </w:tabs>
            </w:pPr>
            <w:r w:rsidRPr="00EF510B">
              <w:t>5. Vplyvy na informatizáciu spoločnosti</w:t>
            </w:r>
          </w:p>
        </w:tc>
        <w:tc>
          <w:tcPr>
            <w:tcW w:w="1559"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E732E" w:rsidRPr="00EF510B" w:rsidP="00DA4DF5">
            <w:pPr>
              <w:tabs>
                <w:tab w:val="left" w:pos="284"/>
              </w:tabs>
              <w:jc w:val="center"/>
            </w:pPr>
            <w:r w:rsidRPr="00EF510B">
              <w:t>x</w:t>
            </w:r>
          </w:p>
        </w:tc>
        <w:tc>
          <w:tcPr>
            <w:tcW w:w="1560" w:type="dxa"/>
            <w:tcBorders>
              <w:top w:val="single" w:sz="4" w:space="0" w:color="auto"/>
              <w:left w:val="single" w:sz="4" w:space="0" w:color="auto"/>
              <w:bottom w:val="single" w:sz="4" w:space="0" w:color="auto"/>
              <w:right w:val="single" w:sz="4" w:space="0" w:color="auto"/>
            </w:tcBorders>
            <w:vAlign w:val="center"/>
          </w:tcPr>
          <w:p w:rsidR="00BE732E" w:rsidRPr="00EF510B" w:rsidP="00DA4DF5">
            <w:pPr>
              <w:tabs>
                <w:tab w:val="left" w:pos="284"/>
              </w:tabs>
              <w:jc w:val="center"/>
            </w:pPr>
          </w:p>
        </w:tc>
      </w:tr>
    </w:tbl>
    <w:p w:rsidR="00BE732E" w:rsidP="00DA4DF5">
      <w:pPr>
        <w:tabs>
          <w:tab w:val="left" w:pos="284"/>
        </w:tabs>
        <w:rPr>
          <w:b/>
        </w:rPr>
      </w:pPr>
    </w:p>
    <w:p w:rsidR="00BE732E" w:rsidP="00DA4DF5">
      <w:pPr>
        <w:tabs>
          <w:tab w:val="left" w:pos="284"/>
        </w:tabs>
        <w:rPr>
          <w:b/>
        </w:rPr>
      </w:pPr>
    </w:p>
    <w:p w:rsidR="00BE732E" w:rsidP="00DA4DF5">
      <w:pPr>
        <w:tabs>
          <w:tab w:val="left" w:pos="284"/>
        </w:tabs>
        <w:rPr>
          <w:b/>
        </w:rPr>
      </w:pPr>
      <w:r>
        <w:rPr>
          <w:b/>
        </w:rPr>
        <w:t>A.3. Poznámky</w:t>
      </w:r>
    </w:p>
    <w:p w:rsidR="00BE732E" w:rsidP="00DA4DF5">
      <w:pPr>
        <w:pStyle w:val="odsek"/>
      </w:pPr>
      <w:r>
        <w:t>V súčasnosti sa nedá výška týchto príjmov presne kvantifikovať z dôvodu, že ich celkovú výšku ovplyvňujú viaceré faktory, napríklad počet žiadateľov o odňatie poľnohospodárskej pôdy, rozsah a kvalita pôdy, ktorá sa bude zaberať. V jednotlivých tabuľkách analýzy vplyvov je v rokoch 2013 až 2015 uvedený kvalifikovaný odhad výšky odvodov za odňatie poľnohospodárskej pôdy, vychádzajúci predovšetkým zo skutočného plnenia týchto príjmov v</w:t>
      </w:r>
      <w:r w:rsidR="008134D6">
        <w:t> </w:t>
      </w:r>
      <w:r>
        <w:t>predchádzajúcich</w:t>
      </w:r>
      <w:r w:rsidR="008134D6">
        <w:t xml:space="preserve"> </w:t>
      </w:r>
      <w:r>
        <w:t>rokoch. V návrhu rozpočtu na roky 2013 až 2015 sa tieto príjmy rozpočtujú v kapitole MPRV SR, v roku 2013 v sume 470 937 eur, v rokoch 2014 a 2015 identicky v sume 504 130 eur. Novelou zákona sa v zmysle odhadov predpokladá nárast týchto príjmov každoročne v rokoch 2013 až 2015 o 1 000 000 eur.</w:t>
      </w:r>
    </w:p>
    <w:p w:rsidR="00BE732E" w:rsidP="00DA4DF5">
      <w:pPr>
        <w:tabs>
          <w:tab w:val="left" w:pos="284"/>
        </w:tabs>
      </w:pPr>
    </w:p>
    <w:p w:rsidR="00BE732E" w:rsidP="00DA4DF5">
      <w:pPr>
        <w:tabs>
          <w:tab w:val="left" w:pos="284"/>
        </w:tabs>
        <w:rPr>
          <w:b/>
        </w:rPr>
      </w:pPr>
      <w:r>
        <w:rPr>
          <w:b/>
        </w:rPr>
        <w:t xml:space="preserve">A.4. Alternatívne riešenia </w:t>
      </w:r>
    </w:p>
    <w:p w:rsidR="00BE732E" w:rsidP="00DA4DF5">
      <w:pPr>
        <w:tabs>
          <w:tab w:val="left" w:pos="284"/>
        </w:tabs>
        <w:rPr>
          <w:b/>
        </w:rPr>
      </w:pPr>
    </w:p>
    <w:p w:rsidR="00BE732E" w:rsidP="00DA4DF5">
      <w:pPr>
        <w:tabs>
          <w:tab w:val="left" w:pos="284"/>
        </w:tabs>
        <w:rPr>
          <w:b/>
        </w:rPr>
      </w:pPr>
      <w:r>
        <w:rPr>
          <w:b/>
        </w:rPr>
        <w:t>A.5. Stanovisko gestorov</w:t>
      </w:r>
    </w:p>
    <w:p w:rsidR="00BE732E" w:rsidP="00DA4DF5">
      <w:pPr>
        <w:jc w:val="center"/>
      </w:pPr>
      <w:r w:rsidR="006D33B7">
        <w:rPr>
          <w:b/>
          <w:bCs/>
          <w:sz w:val="28"/>
          <w:szCs w:val="28"/>
        </w:rPr>
        <w:br w:type="page"/>
      </w:r>
      <w:r>
        <w:rPr>
          <w:b/>
          <w:bCs/>
          <w:sz w:val="28"/>
          <w:szCs w:val="28"/>
        </w:rPr>
        <w:t>Vplyvy na rozpočet verejnej správy,</w:t>
      </w:r>
    </w:p>
    <w:p w:rsidR="00BE732E" w:rsidP="00DA4DF5">
      <w:pPr>
        <w:jc w:val="center"/>
      </w:pPr>
      <w:r>
        <w:rPr>
          <w:b/>
          <w:bCs/>
          <w:sz w:val="28"/>
          <w:szCs w:val="28"/>
        </w:rPr>
        <w:t>na zamestnanosť vo verejnej správe a financovanie návrhu</w:t>
      </w:r>
    </w:p>
    <w:p w:rsidR="00BE732E" w:rsidP="00DA4DF5">
      <w:r>
        <w:t> </w:t>
      </w:r>
    </w:p>
    <w:p w:rsidR="00BE732E" w:rsidP="00DA4DF5">
      <w:r>
        <w:rPr>
          <w:b/>
          <w:bCs/>
        </w:rPr>
        <w:t>2.1. Zhrnutie vplyvov na rozpočet verejnej správy v návrhu</w:t>
      </w:r>
    </w:p>
    <w:p w:rsidR="00BE732E" w:rsidP="00DA4DF5">
      <w:pPr>
        <w:jc w:val="right"/>
      </w:pPr>
      <w:r>
        <w:rPr>
          <w:sz w:val="20"/>
          <w:szCs w:val="20"/>
        </w:rPr>
        <w:t xml:space="preserve">Tabuľka č. 1 </w:t>
      </w:r>
    </w:p>
    <w:tbl>
      <w:tblPr>
        <w:tblStyle w:val="TableNormal"/>
        <w:tblW w:w="9729" w:type="dxa"/>
        <w:tblCellMar>
          <w:left w:w="0" w:type="dxa"/>
          <w:right w:w="0" w:type="dxa"/>
        </w:tblCellMar>
        <w:tblLook w:val="04A0"/>
      </w:tblPr>
      <w:tblGrid>
        <w:gridCol w:w="4661"/>
        <w:gridCol w:w="1267"/>
        <w:gridCol w:w="1267"/>
        <w:gridCol w:w="1267"/>
        <w:gridCol w:w="1267"/>
      </w:tblGrid>
      <w:tr w:rsidTr="00BE732E">
        <w:tblPrEx>
          <w:tblW w:w="9729" w:type="dxa"/>
          <w:tblCellMar>
            <w:left w:w="0" w:type="dxa"/>
            <w:right w:w="0" w:type="dxa"/>
          </w:tblCellMar>
          <w:tblLook w:val="04A0"/>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194" w:lineRule="atLeast"/>
              <w:jc w:val="center"/>
            </w:pPr>
            <w:bookmarkStart w:id="0" w:name="OLE_LINK1"/>
            <w:bookmarkEnd w:id="0"/>
            <w:r>
              <w:rPr>
                <w:b/>
                <w:bCs/>
                <w:color w:val="FFFFFF"/>
              </w:rPr>
              <w:t xml:space="preserve">Vplyvy na </w:t>
            </w:r>
            <w:r>
              <w:rPr>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194" w:lineRule="atLeast"/>
              <w:jc w:val="center"/>
            </w:pPr>
            <w:r>
              <w:rPr>
                <w:b/>
                <w:bCs/>
                <w:color w:val="FFFFFF"/>
              </w:rPr>
              <w:t xml:space="preserve">Vplyv na rozpočet verejnej správy </w:t>
            </w:r>
            <w:r>
              <w:rPr>
                <w:b/>
                <w:bCs/>
              </w:rPr>
              <w:t>(v eurách)</w:t>
            </w:r>
          </w:p>
        </w:tc>
      </w:tr>
      <w:tr w:rsidTr="00BE732E">
        <w:tblPrEx>
          <w:tblW w:w="9729" w:type="dxa"/>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32E" w:rsidP="00DA4DF5"/>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70" w:lineRule="atLeast"/>
              <w:jc w:val="center"/>
            </w:pPr>
            <w:r>
              <w:rPr>
                <w:b/>
                <w:bCs/>
                <w:color w:val="FFFFFF"/>
              </w:rPr>
              <w:t>2012</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70" w:lineRule="atLeast"/>
              <w:jc w:val="center"/>
            </w:pPr>
            <w:r>
              <w:rPr>
                <w:b/>
                <w:bCs/>
                <w:color w:val="FFFFFF"/>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70" w:lineRule="atLeast"/>
              <w:jc w:val="center"/>
            </w:pPr>
            <w:r>
              <w:rPr>
                <w:b/>
                <w:bCs/>
                <w:color w:val="FFFFFF"/>
              </w:rPr>
              <w:t>2014</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70" w:lineRule="atLeast"/>
              <w:jc w:val="center"/>
            </w:pPr>
            <w:r>
              <w:rPr>
                <w:b/>
                <w:bCs/>
                <w:color w:val="FFFFFF"/>
              </w:rPr>
              <w:t>2015</w:t>
            </w:r>
          </w:p>
        </w:tc>
      </w:tr>
      <w:tr w:rsidTr="00BE732E">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pPr>
            <w:r>
              <w:rPr>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400 000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 xml:space="preserve"> 1 470 937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 xml:space="preserve"> 1 504 130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1 504 130</w:t>
            </w:r>
          </w:p>
        </w:tc>
      </w:tr>
      <w:tr w:rsidTr="00BE732E">
        <w:tblPrEx>
          <w:tblW w:w="9729" w:type="dxa"/>
          <w:tblCellMar>
            <w:left w:w="0" w:type="dxa"/>
            <w:right w:w="0" w:type="dxa"/>
          </w:tblCellMar>
          <w:tblLook w:val="04A0"/>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32" w:lineRule="atLeast"/>
            </w:pPr>
            <w: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32"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32"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32"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32" w:lineRule="atLeast"/>
              <w:jc w:val="right"/>
            </w:pPr>
            <w:r>
              <w:t>0</w:t>
            </w:r>
          </w:p>
        </w:tc>
      </w:tr>
      <w:tr w:rsidTr="00BE732E">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pPr>
            <w:r>
              <w:rPr>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i/>
                <w:iCs/>
              </w:rPr>
              <w:t> </w:t>
            </w:r>
          </w:p>
        </w:tc>
      </w:tr>
      <w:tr w:rsidTr="00BE732E">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pPr>
            <w:r>
              <w:rPr>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400 000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1 470 937</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 xml:space="preserve"> 1 504 130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 xml:space="preserve"> 1 504 130</w:t>
            </w:r>
          </w:p>
        </w:tc>
      </w:tr>
      <w:tr w:rsidTr="00BE732E">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pPr>
            <w:r>
              <w:rPr>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0</w:t>
            </w:r>
          </w:p>
        </w:tc>
      </w:tr>
      <w:tr w:rsidTr="00BE732E">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125" w:lineRule="atLeast"/>
            </w:pPr>
            <w:r>
              <w:rPr>
                <w:b/>
                <w:bCs/>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125"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125"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125"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125" w:lineRule="atLeast"/>
              <w:jc w:val="right"/>
            </w:pPr>
            <w:r>
              <w:rPr>
                <w:b/>
                <w:bCs/>
              </w:rPr>
              <w:t xml:space="preserve">  0 </w:t>
            </w:r>
          </w:p>
        </w:tc>
      </w:tr>
      <w:tr w:rsidTr="00BE732E">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pPr>
            <w: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0</w:t>
            </w:r>
          </w:p>
        </w:tc>
      </w:tr>
      <w:tr w:rsidTr="00BE732E">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pPr>
            <w:r>
              <w:rPr>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i/>
                <w:iCs/>
              </w:rPr>
              <w:t> </w:t>
            </w:r>
          </w:p>
        </w:tc>
      </w:tr>
      <w:tr w:rsidTr="00BE732E">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pPr>
            <w:r>
              <w:rPr>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rPr>
              <w:t>0</w:t>
            </w:r>
          </w:p>
        </w:tc>
      </w:tr>
      <w:tr w:rsidTr="00BE732E">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pPr>
            <w:r>
              <w:rPr>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25" w:lineRule="atLeast"/>
              <w:jc w:val="right"/>
            </w:pPr>
            <w:r>
              <w:rPr>
                <w:b/>
                <w:bCs/>
              </w:rPr>
              <w:t>0</w:t>
            </w:r>
          </w:p>
        </w:tc>
      </w:tr>
      <w:tr w:rsidTr="00BE732E">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pPr>
            <w:r>
              <w:rPr>
                <w:b/>
                <w:bCs/>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0</w:t>
            </w:r>
          </w:p>
        </w:tc>
      </w:tr>
      <w:tr w:rsidTr="00BE732E">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pPr>
            <w:r>
              <w:rPr>
                <w:b/>
                <w:bCs/>
                <w:i/>
                <w:iCs/>
              </w:rPr>
              <w:t>- z toho vplyv na ŠR</w:t>
            </w:r>
            <w: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0</w:t>
            </w:r>
          </w:p>
        </w:tc>
      </w:tr>
      <w:tr w:rsidTr="00BE732E">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pPr>
            <w:r>
              <w:rPr>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400 000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470 937</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504 130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hideMark/>
          </w:tcPr>
          <w:p w:rsidR="00BE732E" w:rsidP="00DA4DF5">
            <w:pPr>
              <w:spacing w:line="70" w:lineRule="atLeast"/>
              <w:jc w:val="right"/>
            </w:pPr>
            <w:r>
              <w:rPr>
                <w:b/>
                <w:bCs/>
              </w:rPr>
              <w:t>504 130</w:t>
            </w:r>
          </w:p>
        </w:tc>
      </w:tr>
      <w:tr w:rsidTr="00BE732E">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pPr>
            <w:r>
              <w:t>v tom: za každý subjekt verejnej správy / program zvlášť</w:t>
            </w:r>
          </w:p>
          <w:p w:rsidR="00BE732E" w:rsidP="00DA4DF5">
            <w:pPr>
              <w:spacing w:line="70" w:lineRule="atLeast"/>
            </w:pPr>
            <w:r>
              <w:t>MPRV SR (EK 290)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E732E" w:rsidP="00DA4DF5">
            <w:pPr>
              <w:spacing w:line="70" w:lineRule="atLeast"/>
              <w:jc w:val="right"/>
            </w:pPr>
          </w:p>
          <w:p w:rsidR="00BE732E" w:rsidP="00DA4DF5">
            <w:pPr>
              <w:spacing w:line="70" w:lineRule="atLeast"/>
              <w:jc w:val="right"/>
            </w:pPr>
          </w:p>
          <w:p w:rsidR="00BE732E" w:rsidP="00DA4DF5">
            <w:pPr>
              <w:spacing w:line="70" w:lineRule="atLeast"/>
              <w:jc w:val="right"/>
            </w:pPr>
            <w:r>
              <w:t>400 000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E732E" w:rsidP="00DA4DF5">
            <w:pPr>
              <w:spacing w:line="70" w:lineRule="atLeast"/>
              <w:jc w:val="right"/>
            </w:pPr>
          </w:p>
          <w:p w:rsidR="00BE732E" w:rsidP="00DA4DF5">
            <w:pPr>
              <w:spacing w:line="70" w:lineRule="atLeast"/>
              <w:jc w:val="right"/>
            </w:pPr>
          </w:p>
          <w:p w:rsidR="00BE732E" w:rsidP="00DA4DF5">
            <w:pPr>
              <w:spacing w:line="70" w:lineRule="atLeast"/>
              <w:jc w:val="right"/>
            </w:pPr>
            <w:r>
              <w:t>470 937</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E732E" w:rsidP="00DA4DF5">
            <w:pPr>
              <w:spacing w:line="70" w:lineRule="atLeast"/>
              <w:jc w:val="right"/>
            </w:pPr>
          </w:p>
          <w:p w:rsidR="00BE732E" w:rsidP="00DA4DF5">
            <w:pPr>
              <w:spacing w:line="70" w:lineRule="atLeast"/>
              <w:jc w:val="right"/>
            </w:pPr>
          </w:p>
          <w:p w:rsidR="00BE732E" w:rsidP="00DA4DF5">
            <w:pPr>
              <w:spacing w:line="70" w:lineRule="atLeast"/>
              <w:jc w:val="right"/>
            </w:pPr>
            <w:r>
              <w:t>504 130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E732E" w:rsidP="00DA4DF5">
            <w:pPr>
              <w:spacing w:line="70" w:lineRule="atLeast"/>
              <w:jc w:val="right"/>
            </w:pPr>
          </w:p>
          <w:p w:rsidR="00BE732E" w:rsidP="00DA4DF5">
            <w:pPr>
              <w:spacing w:line="70" w:lineRule="atLeast"/>
              <w:jc w:val="right"/>
            </w:pPr>
          </w:p>
          <w:p w:rsidR="00BE732E" w:rsidP="00DA4DF5">
            <w:pPr>
              <w:spacing w:line="70" w:lineRule="atLeast"/>
              <w:jc w:val="right"/>
            </w:pPr>
            <w:r>
              <w:t>504 130</w:t>
            </w:r>
          </w:p>
        </w:tc>
      </w:tr>
      <w:tr w:rsidTr="00BE732E">
        <w:tblPrEx>
          <w:tblW w:w="9729" w:type="dxa"/>
          <w:tblCellMar>
            <w:left w:w="0" w:type="dxa"/>
            <w:right w:w="0" w:type="dxa"/>
          </w:tblCellMar>
          <w:tblLook w:val="04A0"/>
        </w:tblPrEx>
        <w:tc>
          <w:tcPr>
            <w:tcW w:w="4661" w:type="dxa"/>
            <w:vAlign w:val="center"/>
          </w:tcPr>
          <w:p w:rsidR="00BE732E" w:rsidP="00DA4DF5">
            <w:pPr>
              <w:rPr>
                <w:sz w:val="2"/>
                <w:szCs w:val="2"/>
              </w:rPr>
            </w:pPr>
          </w:p>
        </w:tc>
        <w:tc>
          <w:tcPr>
            <w:tcW w:w="1267" w:type="dxa"/>
            <w:vAlign w:val="center"/>
          </w:tcPr>
          <w:p w:rsidR="00BE732E" w:rsidP="00DA4DF5">
            <w:pPr>
              <w:rPr>
                <w:sz w:val="2"/>
                <w:szCs w:val="2"/>
              </w:rPr>
            </w:pPr>
          </w:p>
        </w:tc>
        <w:tc>
          <w:tcPr>
            <w:tcW w:w="1267" w:type="dxa"/>
            <w:vAlign w:val="center"/>
          </w:tcPr>
          <w:p w:rsidR="00BE732E" w:rsidP="00DA4DF5">
            <w:pPr>
              <w:rPr>
                <w:sz w:val="2"/>
                <w:szCs w:val="2"/>
              </w:rPr>
            </w:pPr>
          </w:p>
        </w:tc>
        <w:tc>
          <w:tcPr>
            <w:tcW w:w="1267" w:type="dxa"/>
            <w:vAlign w:val="center"/>
          </w:tcPr>
          <w:p w:rsidR="00BE732E" w:rsidP="00DA4DF5">
            <w:pPr>
              <w:rPr>
                <w:sz w:val="2"/>
                <w:szCs w:val="2"/>
              </w:rPr>
            </w:pPr>
          </w:p>
        </w:tc>
        <w:tc>
          <w:tcPr>
            <w:tcW w:w="1267" w:type="dxa"/>
            <w:vAlign w:val="center"/>
          </w:tcPr>
          <w:p w:rsidR="00BE732E" w:rsidP="00DA4DF5">
            <w:pPr>
              <w:rPr>
                <w:sz w:val="2"/>
                <w:szCs w:val="2"/>
              </w:rPr>
            </w:pPr>
          </w:p>
        </w:tc>
      </w:tr>
    </w:tbl>
    <w:p w:rsidR="00BE732E" w:rsidP="00DA4DF5">
      <w:r>
        <w:t> </w:t>
      </w:r>
    </w:p>
    <w:p w:rsidR="00BE732E" w:rsidP="00DA4DF5">
      <w:r>
        <w:rPr>
          <w:b/>
          <w:bCs/>
        </w:rPr>
        <w:t>2.2. Financovanie návrhu</w:t>
      </w:r>
    </w:p>
    <w:p w:rsidR="00BE732E" w:rsidP="00DA4DF5">
      <w:pPr>
        <w:jc w:val="right"/>
      </w:pPr>
      <w:r>
        <w:rPr>
          <w:sz w:val="20"/>
          <w:szCs w:val="20"/>
        </w:rPr>
        <w:t>Tabuľka č. 2</w:t>
      </w:r>
    </w:p>
    <w:tbl>
      <w:tblPr>
        <w:tblStyle w:val="TableNormal"/>
        <w:tblW w:w="9360" w:type="dxa"/>
        <w:tblCellMar>
          <w:left w:w="0" w:type="dxa"/>
          <w:right w:w="0" w:type="dxa"/>
        </w:tblCellMar>
        <w:tblLook w:val="04A0"/>
      </w:tblPr>
      <w:tblGrid>
        <w:gridCol w:w="4304"/>
        <w:gridCol w:w="1264"/>
        <w:gridCol w:w="1264"/>
        <w:gridCol w:w="1264"/>
        <w:gridCol w:w="1264"/>
      </w:tblGrid>
      <w:tr w:rsidTr="00BE732E">
        <w:tblPrEx>
          <w:tblW w:w="9360" w:type="dxa"/>
          <w:tblCellMar>
            <w:left w:w="0" w:type="dxa"/>
            <w:right w:w="0" w:type="dxa"/>
          </w:tblCellMar>
          <w:tblLook w:val="04A0"/>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70" w:lineRule="atLeast"/>
              <w:jc w:val="center"/>
            </w:pPr>
            <w:r>
              <w:rPr>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70" w:lineRule="atLeast"/>
              <w:jc w:val="center"/>
            </w:pPr>
            <w:r>
              <w:rPr>
                <w:b/>
                <w:bCs/>
                <w:color w:val="FFFFFF"/>
              </w:rPr>
              <w:t xml:space="preserve">Vplyv na rozpočet verejnej správy </w:t>
            </w:r>
            <w:r>
              <w:rPr>
                <w:b/>
                <w:bCs/>
              </w:rPr>
              <w:t>(v eurách)</w:t>
            </w:r>
          </w:p>
        </w:tc>
      </w:tr>
      <w:tr w:rsidTr="00BE732E">
        <w:tblPrEx>
          <w:tblW w:w="9360" w:type="dxa"/>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32E" w:rsidP="00DA4DF5"/>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70" w:lineRule="atLeast"/>
              <w:jc w:val="center"/>
            </w:pPr>
            <w:r>
              <w:rPr>
                <w:b/>
                <w:bCs/>
                <w:color w:val="FFFFFF"/>
              </w:rPr>
              <w:t>2012</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70" w:lineRule="atLeast"/>
              <w:jc w:val="center"/>
            </w:pPr>
            <w:r>
              <w:rPr>
                <w:b/>
                <w:bCs/>
                <w:color w:val="FFFFFF"/>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70" w:lineRule="atLeast"/>
              <w:jc w:val="center"/>
            </w:pPr>
            <w:r>
              <w:rPr>
                <w:b/>
                <w:bCs/>
                <w:color w:val="FFFFFF"/>
              </w:rPr>
              <w:t>2014</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spacing w:line="70" w:lineRule="atLeast"/>
              <w:jc w:val="center"/>
            </w:pPr>
            <w:r>
              <w:rPr>
                <w:b/>
                <w:bCs/>
                <w:color w:val="FFFFFF"/>
              </w:rPr>
              <w:t>2015</w:t>
            </w:r>
          </w:p>
        </w:tc>
      </w:tr>
      <w:tr w:rsidTr="00BE732E">
        <w:tblPrEx>
          <w:tblW w:w="9360" w:type="dxa"/>
          <w:tblCellMar>
            <w:left w:w="0" w:type="dxa"/>
            <w:right w:w="0" w:type="dxa"/>
          </w:tblCellMar>
          <w:tblLook w:val="04A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pPr>
            <w:r>
              <w:rPr>
                <w:b/>
                <w:bCs/>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rPr>
              <w:t>-400 000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rPr>
              <w:t>- 1 470 937</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rPr>
              <w:t>- 1 504 130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rPr>
              <w:t>- 1 504 130</w:t>
            </w:r>
          </w:p>
        </w:tc>
      </w:tr>
      <w:tr w:rsidTr="00BE732E">
        <w:tblPrEx>
          <w:tblW w:w="9360" w:type="dxa"/>
          <w:tblCellMar>
            <w:left w:w="0" w:type="dxa"/>
            <w:right w:w="0" w:type="dxa"/>
          </w:tblCellMar>
          <w:tblLook w:val="04A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pPr>
            <w: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- 400 000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- 1 470 937</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- 1 504 130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t xml:space="preserve"> -1 504 130</w:t>
            </w:r>
          </w:p>
        </w:tc>
      </w:tr>
      <w:tr w:rsidTr="00BE732E">
        <w:tblPrEx>
          <w:tblW w:w="9360" w:type="dxa"/>
          <w:tblCellMar>
            <w:left w:w="0" w:type="dxa"/>
            <w:right w:w="0" w:type="dxa"/>
          </w:tblCellMar>
          <w:tblLook w:val="04A0"/>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51" w:lineRule="atLeast"/>
            </w:pPr>
            <w: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51" w:lineRule="atLeast"/>
              <w:jc w:val="right"/>
            </w:pPr>
            <w:r>
              <w:t>400 000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51" w:lineRule="atLeast"/>
              <w:jc w:val="right"/>
            </w:pPr>
            <w:r>
              <w:t>470 937</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51" w:lineRule="atLeast"/>
              <w:jc w:val="right"/>
            </w:pPr>
            <w:r>
              <w:t>504 130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51" w:lineRule="atLeast"/>
              <w:jc w:val="right"/>
            </w:pPr>
            <w:r>
              <w:t>504 130</w:t>
            </w:r>
          </w:p>
        </w:tc>
      </w:tr>
      <w:tr w:rsidTr="00BE732E">
        <w:tblPrEx>
          <w:tblW w:w="9360" w:type="dxa"/>
          <w:tblCellMar>
            <w:left w:w="0" w:type="dxa"/>
            <w:right w:w="0" w:type="dxa"/>
          </w:tblCellMar>
          <w:tblLook w:val="04A0"/>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35" w:lineRule="atLeast"/>
            </w:pPr>
            <w: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35"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35"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35"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135" w:lineRule="atLeast"/>
              <w:jc w:val="right"/>
            </w:pPr>
            <w:r>
              <w:t>0</w:t>
            </w:r>
          </w:p>
        </w:tc>
      </w:tr>
      <w:tr w:rsidTr="00BE732E">
        <w:tblPrEx>
          <w:tblW w:w="9360" w:type="dxa"/>
          <w:tblCellMar>
            <w:left w:w="0" w:type="dxa"/>
            <w:right w:w="0" w:type="dxa"/>
          </w:tblCellMar>
          <w:tblLook w:val="04A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pPr>
            <w:r>
              <w:rPr>
                <w:b/>
                <w:bCs/>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rPr>
              <w:t>-1 000 000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pPr>
            <w:r>
              <w:rPr>
                <w:b/>
                <w:bCs/>
              </w:rPr>
              <w:t>- 1 000 000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pPr>
              <w:spacing w:line="70" w:lineRule="atLeast"/>
              <w:jc w:val="right"/>
              <w:rPr>
                <w:b/>
              </w:rPr>
            </w:pPr>
            <w:r>
              <w:rPr>
                <w:b/>
              </w:rPr>
              <w:t>- 1 000 000</w:t>
            </w:r>
          </w:p>
        </w:tc>
      </w:tr>
      <w:tr w:rsidTr="00BE732E">
        <w:tblPrEx>
          <w:tblW w:w="9360" w:type="dxa"/>
          <w:tblCellMar>
            <w:left w:w="0" w:type="dxa"/>
            <w:right w:w="0" w:type="dxa"/>
          </w:tblCellMar>
          <w:tblLook w:val="04A0"/>
        </w:tblPrEx>
        <w:tc>
          <w:tcPr>
            <w:tcW w:w="4304" w:type="dxa"/>
            <w:vAlign w:val="center"/>
          </w:tcPr>
          <w:p w:rsidR="00BE732E" w:rsidP="00DA4DF5">
            <w:pPr>
              <w:rPr>
                <w:sz w:val="2"/>
                <w:szCs w:val="2"/>
              </w:rPr>
            </w:pPr>
          </w:p>
        </w:tc>
        <w:tc>
          <w:tcPr>
            <w:tcW w:w="1264" w:type="dxa"/>
            <w:vAlign w:val="center"/>
          </w:tcPr>
          <w:p w:rsidR="00BE732E" w:rsidP="00DA4DF5">
            <w:pPr>
              <w:rPr>
                <w:sz w:val="2"/>
                <w:szCs w:val="2"/>
              </w:rPr>
            </w:pPr>
          </w:p>
        </w:tc>
        <w:tc>
          <w:tcPr>
            <w:tcW w:w="1264" w:type="dxa"/>
            <w:vAlign w:val="center"/>
          </w:tcPr>
          <w:p w:rsidR="00BE732E" w:rsidP="00DA4DF5">
            <w:pPr>
              <w:rPr>
                <w:sz w:val="2"/>
                <w:szCs w:val="2"/>
              </w:rPr>
            </w:pPr>
          </w:p>
        </w:tc>
        <w:tc>
          <w:tcPr>
            <w:tcW w:w="1264" w:type="dxa"/>
            <w:vAlign w:val="center"/>
          </w:tcPr>
          <w:p w:rsidR="00BE732E" w:rsidP="00DA4DF5">
            <w:pPr>
              <w:rPr>
                <w:sz w:val="2"/>
                <w:szCs w:val="2"/>
              </w:rPr>
            </w:pPr>
          </w:p>
        </w:tc>
        <w:tc>
          <w:tcPr>
            <w:tcW w:w="1264" w:type="dxa"/>
            <w:vAlign w:val="center"/>
          </w:tcPr>
          <w:p w:rsidR="00BE732E" w:rsidP="00DA4DF5">
            <w:pPr>
              <w:rPr>
                <w:sz w:val="2"/>
                <w:szCs w:val="2"/>
              </w:rPr>
            </w:pPr>
          </w:p>
        </w:tc>
      </w:tr>
    </w:tbl>
    <w:p w:rsidR="00BE732E" w:rsidP="00DA4DF5">
      <w:pPr>
        <w:rPr>
          <w:sz w:val="20"/>
          <w:szCs w:val="20"/>
        </w:rPr>
      </w:pPr>
      <w:r>
        <w:rPr>
          <w:sz w:val="20"/>
          <w:szCs w:val="20"/>
        </w:rPr>
        <w:t xml:space="preserve">* Rozpočtovo nekrytý vplyv/úspora predstavuje predpokladaný nárast príjmov z odvodov za odňatie poľnohospodárskej pôdy (v dôsledku zrušenia značného rozsahu výnimiek oslobodenia od platenia odvodov) o 1 000 000 eur v rokoch 2013 až 2015 v porovnaní s výškou týchto príjmov rozpočtovaných v návrhu rozpočtu verejnej správy na roky 2013 – 2015. </w:t>
      </w:r>
    </w:p>
    <w:p w:rsidR="00BE732E" w:rsidP="00DA4DF5"/>
    <w:p w:rsidR="00BE732E" w:rsidP="00DA4DF5">
      <w:r w:rsidR="00EF510B">
        <w:rPr>
          <w:b/>
          <w:bCs/>
        </w:rPr>
        <w:br w:type="page"/>
      </w:r>
      <w:r>
        <w:rPr>
          <w:b/>
          <w:bCs/>
        </w:rPr>
        <w:t>Návrh na riešenie úbytku príjmov alebo zvýšených výdavkov podľa § 33 ods. 1 zákona č. 523/2004 Z. z. o rozpočtových pravidlách verejnej správy:</w:t>
      </w:r>
    </w:p>
    <w:p w:rsidR="00BE732E" w:rsidP="00DA4DF5">
      <w:pPr>
        <w:rPr>
          <w:b/>
          <w:bCs/>
        </w:rPr>
      </w:pPr>
    </w:p>
    <w:p w:rsidR="00BE732E" w:rsidP="00DA4DF5">
      <w:r>
        <w:rPr>
          <w:b/>
          <w:bCs/>
        </w:rPr>
        <w:t>2.3. Popis a charakteristika návrhu</w:t>
      </w:r>
    </w:p>
    <w:p w:rsidR="00BE732E" w:rsidP="00DA4DF5">
      <w:r>
        <w:t> </w:t>
      </w:r>
    </w:p>
    <w:p w:rsidR="00BE732E" w:rsidP="00DA4DF5">
      <w:r>
        <w:rPr>
          <w:b/>
          <w:bCs/>
        </w:rPr>
        <w:t>2.3.1. Popis návrhu:</w:t>
      </w:r>
    </w:p>
    <w:p w:rsidR="00BE732E" w:rsidP="00DA4DF5">
      <w:r>
        <w:rPr>
          <w:b/>
          <w:bCs/>
        </w:rPr>
        <w:t> </w:t>
      </w:r>
    </w:p>
    <w:p w:rsidR="00BE732E" w:rsidP="00DA4DF5">
      <w:pPr>
        <w:ind w:firstLine="708"/>
      </w:pPr>
      <w:r>
        <w:t>Akú problematiku návrhu rieši? Kto bude návrh implementovať? Kde sa budú služby poskytovať?</w:t>
      </w:r>
    </w:p>
    <w:p w:rsidR="00BE732E" w:rsidP="00DA4DF5">
      <w:r>
        <w:t> </w:t>
      </w:r>
    </w:p>
    <w:p w:rsidR="00BE732E" w:rsidP="00DA4DF5">
      <w:r>
        <w:t> </w:t>
      </w:r>
    </w:p>
    <w:p w:rsidR="00BE732E" w:rsidP="00DA4DF5">
      <w:r>
        <w:rPr>
          <w:b/>
          <w:bCs/>
        </w:rPr>
        <w:t>2.3.2. Charakteristika návrhu podľa bodu  2.3.2. Metodiky :</w:t>
      </w:r>
    </w:p>
    <w:p w:rsidR="00BE732E" w:rsidP="00DA4DF5">
      <w:r>
        <w:t> </w:t>
      </w:r>
    </w:p>
    <w:p w:rsidR="00BE732E" w:rsidP="00DA4DF5">
      <w:r>
        <w:rPr>
          <w:b/>
          <w:bCs/>
          <w:bdr w:val="single" w:sz="4" w:space="0" w:color="000000" w:frame="1"/>
        </w:rPr>
        <w:t xml:space="preserve">     </w:t>
      </w:r>
      <w:r>
        <w:rPr>
          <w:b/>
          <w:bCs/>
        </w:rPr>
        <w:t xml:space="preserve">  </w:t>
      </w:r>
      <w:r>
        <w:t>zmena sadzby</w:t>
      </w:r>
    </w:p>
    <w:p w:rsidR="00BE732E" w:rsidP="00DA4DF5">
      <w:r>
        <w:rPr>
          <w:bdr w:val="single" w:sz="4" w:space="0" w:color="000000" w:frame="1"/>
        </w:rPr>
        <w:t xml:space="preserve">     </w:t>
      </w:r>
      <w:r>
        <w:t>  zmena v nároku</w:t>
      </w:r>
    </w:p>
    <w:p w:rsidR="00BE732E" w:rsidP="00DA4DF5">
      <w:r>
        <w:rPr>
          <w:bdr w:val="single" w:sz="4" w:space="0" w:color="000000" w:frame="1"/>
        </w:rPr>
        <w:t xml:space="preserve">     </w:t>
      </w:r>
      <w:r>
        <w:t>  nová služba alebo nariadenie (alebo ich zrušenie)</w:t>
      </w:r>
    </w:p>
    <w:p w:rsidR="00BE732E" w:rsidP="00DA4DF5">
      <w:r>
        <w:rPr>
          <w:bdr w:val="single" w:sz="4" w:space="0" w:color="000000" w:frame="1"/>
        </w:rPr>
        <w:t xml:space="preserve">     </w:t>
      </w:r>
      <w:r>
        <w:t>  kombinovaný návrh</w:t>
      </w:r>
    </w:p>
    <w:p w:rsidR="00BE732E" w:rsidP="00DA4DF5">
      <w:r>
        <w:rPr>
          <w:bdr w:val="single" w:sz="4" w:space="0" w:color="000000" w:frame="1"/>
        </w:rPr>
        <w:t xml:space="preserve">  x </w:t>
      </w:r>
      <w:r>
        <w:t xml:space="preserve">  iné </w:t>
      </w:r>
    </w:p>
    <w:p w:rsidR="00BE732E" w:rsidP="00DA4DF5">
      <w:r>
        <w:t> </w:t>
      </w:r>
    </w:p>
    <w:p w:rsidR="00BE732E" w:rsidP="00DA4DF5">
      <w:r>
        <w:t> </w:t>
      </w:r>
    </w:p>
    <w:p w:rsidR="00BE732E" w:rsidP="00DA4DF5">
      <w:r>
        <w:rPr>
          <w:b/>
          <w:bCs/>
        </w:rPr>
        <w:t>2.3.3. Predpoklady vývoja objemu aktivít:</w:t>
      </w:r>
    </w:p>
    <w:p w:rsidR="00BE732E" w:rsidP="00DA4DF5">
      <w:r>
        <w:t> </w:t>
      </w:r>
    </w:p>
    <w:p w:rsidR="00BE732E" w:rsidP="00DA4DF5">
      <w:pPr>
        <w:ind w:firstLine="708"/>
      </w:pPr>
      <w:r>
        <w:t>Jasne popíšte, v prípade potreby použite nižšie uvedenú tabuľku. Uveďte aj odhady základov daní a/alebo poplatkov, ak sa ich táto zmena týka.</w:t>
      </w:r>
    </w:p>
    <w:p w:rsidR="00BE732E" w:rsidP="00DA4DF5">
      <w:pPr>
        <w:jc w:val="right"/>
      </w:pPr>
      <w:r>
        <w:rPr>
          <w:sz w:val="20"/>
          <w:szCs w:val="20"/>
        </w:rPr>
        <w:t xml:space="preserve">Tabuľka č. 3 </w:t>
      </w:r>
    </w:p>
    <w:tbl>
      <w:tblPr>
        <w:tblStyle w:val="TableNormal"/>
        <w:tblW w:w="0" w:type="auto"/>
        <w:tblCellMar>
          <w:left w:w="0" w:type="dxa"/>
          <w:right w:w="0" w:type="dxa"/>
        </w:tblCellMar>
        <w:tblLook w:val="04A0"/>
      </w:tblPr>
      <w:tblGrid>
        <w:gridCol w:w="4530"/>
        <w:gridCol w:w="1134"/>
        <w:gridCol w:w="1134"/>
        <w:gridCol w:w="1134"/>
        <w:gridCol w:w="1134"/>
      </w:tblGrid>
      <w:tr w:rsidTr="00BE732E">
        <w:tblPrEx>
          <w:tblW w:w="0" w:type="auto"/>
          <w:tblCellMar>
            <w:left w:w="0" w:type="dxa"/>
            <w:right w:w="0" w:type="dxa"/>
          </w:tblCellMar>
          <w:tblLook w:val="04A0"/>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rsidR="00BE732E" w:rsidP="00DA4DF5">
            <w:pPr>
              <w:spacing w:line="70" w:lineRule="atLeast"/>
              <w:jc w:val="center"/>
            </w:pPr>
            <w:r>
              <w:rPr>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rsidR="00BE732E" w:rsidP="00DA4DF5">
            <w:pPr>
              <w:spacing w:line="70" w:lineRule="atLeast"/>
              <w:jc w:val="center"/>
            </w:pPr>
            <w:r>
              <w:rPr>
                <w:b/>
                <w:bCs/>
                <w:color w:val="FFFFFF"/>
              </w:rPr>
              <w:t>Odhadované objemy</w:t>
            </w:r>
          </w:p>
        </w:tc>
      </w:tr>
      <w:tr w:rsidTr="00BE732E">
        <w:tblPrEx>
          <w:tblW w:w="0" w:type="auto"/>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32E" w:rsidP="00DA4DF5"/>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rsidR="00BE732E" w:rsidP="00DA4DF5">
            <w:pPr>
              <w:spacing w:line="70" w:lineRule="atLeast"/>
              <w:jc w:val="center"/>
            </w:pPr>
            <w:r>
              <w:rPr>
                <w:b/>
                <w:bCs/>
                <w:color w:val="FFFFFF"/>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rsidR="00BE732E" w:rsidP="00DA4DF5">
            <w:pPr>
              <w:spacing w:line="70" w:lineRule="atLeast"/>
              <w:jc w:val="center"/>
            </w:pPr>
            <w:r>
              <w:rPr>
                <w:b/>
                <w:bCs/>
                <w:color w:val="FFFFFF"/>
              </w:rPr>
              <w:t>r + 1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rsidR="00BE732E" w:rsidP="00DA4DF5">
            <w:pPr>
              <w:spacing w:line="70" w:lineRule="atLeast"/>
              <w:jc w:val="center"/>
            </w:pPr>
            <w:r>
              <w:rPr>
                <w:b/>
                <w:bCs/>
                <w:color w:val="FFFFFF"/>
              </w:rPr>
              <w:t>r + 2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rsidR="00BE732E" w:rsidP="00DA4DF5">
            <w:pPr>
              <w:spacing w:line="70" w:lineRule="atLeast"/>
              <w:jc w:val="center"/>
            </w:pPr>
            <w:r>
              <w:rPr>
                <w:b/>
                <w:bCs/>
                <w:color w:val="FFFFFF"/>
              </w:rPr>
              <w:t>r + 3</w:t>
            </w:r>
          </w:p>
        </w:tc>
      </w:tr>
      <w:tr w:rsidTr="00BE732E">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pPr>
            <w:r>
              <w:rPr>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r>
      <w:tr w:rsidTr="00BE732E">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pPr>
            <w:r>
              <w:rPr>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r>
      <w:tr w:rsidTr="00BE732E">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pPr>
            <w:r>
              <w:rPr>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732E" w:rsidP="00DA4DF5">
            <w:pPr>
              <w:spacing w:line="70" w:lineRule="atLeast"/>
              <w:jc w:val="right"/>
            </w:pPr>
            <w:r>
              <w:rPr>
                <w:color w:val="000000"/>
              </w:rPr>
              <w:t> </w:t>
            </w:r>
          </w:p>
        </w:tc>
      </w:tr>
      <w:tr w:rsidTr="00BE732E">
        <w:tblPrEx>
          <w:tblW w:w="0" w:type="auto"/>
          <w:tblCellMar>
            <w:left w:w="0" w:type="dxa"/>
            <w:right w:w="0" w:type="dxa"/>
          </w:tblCellMar>
          <w:tblLook w:val="04A0"/>
        </w:tblPrEx>
        <w:tc>
          <w:tcPr>
            <w:tcW w:w="4530" w:type="dxa"/>
            <w:vAlign w:val="center"/>
          </w:tcPr>
          <w:p w:rsidR="00BE732E" w:rsidP="00DA4DF5">
            <w:pPr>
              <w:rPr>
                <w:sz w:val="2"/>
                <w:szCs w:val="2"/>
              </w:rPr>
            </w:pPr>
          </w:p>
        </w:tc>
        <w:tc>
          <w:tcPr>
            <w:tcW w:w="1134" w:type="dxa"/>
            <w:vAlign w:val="center"/>
          </w:tcPr>
          <w:p w:rsidR="00BE732E" w:rsidP="00DA4DF5">
            <w:pPr>
              <w:rPr>
                <w:sz w:val="2"/>
                <w:szCs w:val="2"/>
              </w:rPr>
            </w:pPr>
          </w:p>
        </w:tc>
        <w:tc>
          <w:tcPr>
            <w:tcW w:w="1134" w:type="dxa"/>
            <w:vAlign w:val="center"/>
          </w:tcPr>
          <w:p w:rsidR="00BE732E" w:rsidP="00DA4DF5">
            <w:pPr>
              <w:rPr>
                <w:sz w:val="2"/>
                <w:szCs w:val="2"/>
              </w:rPr>
            </w:pPr>
          </w:p>
        </w:tc>
        <w:tc>
          <w:tcPr>
            <w:tcW w:w="1134" w:type="dxa"/>
            <w:vAlign w:val="center"/>
          </w:tcPr>
          <w:p w:rsidR="00BE732E" w:rsidP="00DA4DF5">
            <w:pPr>
              <w:rPr>
                <w:sz w:val="2"/>
                <w:szCs w:val="2"/>
              </w:rPr>
            </w:pPr>
          </w:p>
        </w:tc>
        <w:tc>
          <w:tcPr>
            <w:tcW w:w="1134" w:type="dxa"/>
            <w:vAlign w:val="center"/>
          </w:tcPr>
          <w:p w:rsidR="00BE732E" w:rsidP="00DA4DF5">
            <w:pPr>
              <w:rPr>
                <w:sz w:val="2"/>
                <w:szCs w:val="2"/>
              </w:rPr>
            </w:pPr>
          </w:p>
        </w:tc>
      </w:tr>
    </w:tbl>
    <w:p w:rsidR="00BE732E" w:rsidP="00DA4DF5">
      <w:r>
        <w:t> </w:t>
      </w:r>
    </w:p>
    <w:p w:rsidR="00BE732E" w:rsidP="00DA4DF5">
      <w:r>
        <w:t> </w:t>
      </w:r>
    </w:p>
    <w:p w:rsidR="00BE732E" w:rsidP="00DA4DF5">
      <w:r>
        <w:rPr>
          <w:b/>
          <w:bCs/>
        </w:rPr>
        <w:t>2.3.4. Výpočty vplyvov na verejné financie</w:t>
      </w:r>
    </w:p>
    <w:p w:rsidR="00BE732E" w:rsidP="00DA4DF5">
      <w:r>
        <w:t> </w:t>
      </w:r>
    </w:p>
    <w:p w:rsidR="00BE732E" w:rsidP="00DA4DF5">
      <w:pPr>
        <w:ind w:firstLine="708"/>
      </w:pPr>
      <w: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BE732E" w:rsidP="00DA4DF5">
      <w:r>
        <w:t> </w:t>
      </w:r>
    </w:p>
    <w:p w:rsidR="00BE732E" w:rsidP="00DA4DF5">
      <w:r>
        <w:t> </w:t>
      </w:r>
    </w:p>
    <w:p w:rsidR="00BE732E" w:rsidP="00DA4DF5">
      <w:pPr>
        <w:sectPr>
          <w:footerReference w:type="default" r:id="rId5"/>
          <w:pgSz w:w="12240" w:h="15840"/>
          <w:pgMar w:top="1417" w:right="1417" w:bottom="1417" w:left="1417" w:header="708" w:footer="708" w:gutter="0"/>
          <w:cols w:space="708"/>
          <w:rtlGutter/>
        </w:sectPr>
      </w:pPr>
    </w:p>
    <w:p w:rsidR="00BE732E" w:rsidP="00DA4DF5">
      <w:pPr>
        <w:jc w:val="right"/>
      </w:pPr>
      <w:r>
        <w:t xml:space="preserve">Tabuľka č. 4 </w:t>
      </w:r>
    </w:p>
    <w:tbl>
      <w:tblPr>
        <w:tblStyle w:val="TableNormal"/>
        <w:tblW w:w="13950" w:type="dxa"/>
        <w:tblInd w:w="-923" w:type="dxa"/>
        <w:tblCellMar>
          <w:left w:w="0" w:type="dxa"/>
          <w:right w:w="0" w:type="dxa"/>
        </w:tblCellMar>
        <w:tblLook w:val="04A0"/>
      </w:tblPr>
      <w:tblGrid>
        <w:gridCol w:w="4950"/>
        <w:gridCol w:w="1500"/>
        <w:gridCol w:w="1500"/>
        <w:gridCol w:w="1500"/>
        <w:gridCol w:w="1500"/>
        <w:gridCol w:w="3000"/>
      </w:tblGrid>
      <w:tr w:rsidTr="00BE732E">
        <w:tblPrEx>
          <w:tblW w:w="13950" w:type="dxa"/>
          <w:tblInd w:w="-923" w:type="dxa"/>
          <w:tblCellMar>
            <w:left w:w="0" w:type="dxa"/>
            <w:right w:w="0" w:type="dxa"/>
          </w:tblCellMar>
          <w:tblLook w:val="04A0"/>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jc w:val="center"/>
            </w:pPr>
            <w:r>
              <w:t> </w:t>
            </w:r>
            <w:r>
              <w:rPr>
                <w:b/>
                <w:bCs/>
                <w:color w:val="FFFFFF"/>
              </w:rPr>
              <w:t>Príjmy (v eurách)</w:t>
            </w:r>
          </w:p>
        </w:tc>
        <w:tc>
          <w:tcPr>
            <w:tcW w:w="0" w:type="auto"/>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jc w:val="center"/>
            </w:pPr>
            <w:r>
              <w:rPr>
                <w:b/>
                <w:bCs/>
                <w:color w:val="FFFFFF"/>
              </w:rPr>
              <w:t>poznámka</w:t>
            </w:r>
          </w:p>
        </w:tc>
      </w:tr>
      <w:tr w:rsidTr="00BE732E">
        <w:tblPrEx>
          <w:tblW w:w="13950" w:type="dxa"/>
          <w:tblInd w:w="-923" w:type="dxa"/>
          <w:tblCellMar>
            <w:left w:w="0" w:type="dxa"/>
            <w:right w:w="0" w:type="dxa"/>
          </w:tblCellMar>
          <w:tblLook w:val="04A0"/>
        </w:tblPrEx>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32E" w:rsidP="00DA4DF5"/>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2012</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2013</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2014</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2015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32E" w:rsidP="00DA4DF5"/>
        </w:tc>
      </w:tr>
      <w:tr w:rsidTr="00BE732E">
        <w:tblPrEx>
          <w:tblW w:w="13950" w:type="dxa"/>
          <w:tblInd w:w="-923"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b/>
                <w:bCs/>
              </w:rPr>
              <w:t>Daňové príjmy (100)</w:t>
            </w:r>
            <w:r>
              <w:rPr>
                <w:b/>
                <w:bCs/>
                <w:sz w:val="16"/>
                <w:szCs w:val="16"/>
                <w:vertAlign w:val="superscript"/>
              </w:rPr>
              <w:t>1</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300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3950" w:type="dxa"/>
          <w:tblInd w:w="-923"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pPr>
              <w:rPr>
                <w:b/>
                <w:bCs/>
                <w:sz w:val="16"/>
                <w:szCs w:val="16"/>
                <w:vertAlign w:val="superscript"/>
              </w:rPr>
            </w:pPr>
            <w:r>
              <w:rPr>
                <w:b/>
                <w:bCs/>
              </w:rPr>
              <w:t>Nedaňové príjmy (200)</w:t>
            </w:r>
            <w:r>
              <w:rPr>
                <w:b/>
                <w:bCs/>
                <w:sz w:val="16"/>
                <w:szCs w:val="16"/>
                <w:vertAlign w:val="superscript"/>
              </w:rPr>
              <w:t>1</w:t>
            </w:r>
          </w:p>
          <w:p w:rsidR="00BE732E" w:rsidP="00DA4DF5">
            <w:r>
              <w:t>EK: 292 027 (Iné)</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rPr>
                <w:b/>
                <w:bCs/>
              </w:rPr>
            </w:pPr>
            <w:r>
              <w:rPr>
                <w:b/>
                <w:bCs/>
              </w:rPr>
              <w:t>400 000 </w:t>
            </w:r>
          </w:p>
          <w:p w:rsidR="00BE732E" w:rsidP="00DA4DF5">
            <w:pPr>
              <w:rPr>
                <w:bCs/>
              </w:rPr>
            </w:pPr>
            <w:r>
              <w:rPr>
                <w:bCs/>
              </w:rPr>
              <w:t xml:space="preserve">     400 000</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rPr>
                <w:b/>
                <w:bCs/>
              </w:rPr>
            </w:pPr>
            <w:r>
              <w:rPr>
                <w:b/>
                <w:bCs/>
              </w:rPr>
              <w:t>1 470 937 </w:t>
            </w:r>
          </w:p>
          <w:p w:rsidR="00BE732E" w:rsidP="00DA4DF5">
            <w:pPr>
              <w:jc w:val="center"/>
            </w:pPr>
            <w:r>
              <w:rPr>
                <w:bCs/>
              </w:rPr>
              <w:t>1 470 937</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rPr>
                <w:b/>
                <w:bCs/>
              </w:rPr>
            </w:pPr>
            <w:r>
              <w:rPr>
                <w:b/>
                <w:bCs/>
              </w:rPr>
              <w:t>1 504 130 </w:t>
            </w:r>
          </w:p>
          <w:p w:rsidR="00BE732E" w:rsidP="00DA4DF5">
            <w:pPr>
              <w:jc w:val="center"/>
            </w:pPr>
            <w:r>
              <w:rPr>
                <w:bCs/>
              </w:rPr>
              <w:t>1 504 130</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rPr>
                <w:b/>
                <w:bCs/>
              </w:rPr>
            </w:pPr>
            <w:r>
              <w:rPr>
                <w:b/>
                <w:bCs/>
              </w:rPr>
              <w:t>1 50</w:t>
            </w:r>
            <w:r>
              <w:rPr>
                <w:b/>
                <w:bCs/>
              </w:rPr>
              <w:t>4 130</w:t>
            </w:r>
          </w:p>
          <w:p w:rsidR="00BE732E" w:rsidP="00DA4DF5">
            <w:pPr>
              <w:jc w:val="center"/>
            </w:pPr>
            <w:r>
              <w:rPr>
                <w:bCs/>
              </w:rPr>
              <w:t>1 504 130 </w:t>
            </w:r>
          </w:p>
        </w:tc>
        <w:tc>
          <w:tcPr>
            <w:tcW w:w="300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3950" w:type="dxa"/>
          <w:tblInd w:w="-923"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b/>
                <w:bCs/>
              </w:rPr>
              <w:t>Granty a transfery (300)</w:t>
            </w:r>
            <w:r>
              <w:rPr>
                <w:b/>
                <w:bCs/>
                <w:sz w:val="16"/>
                <w:szCs w:val="16"/>
                <w:vertAlign w:val="superscript"/>
              </w:rPr>
              <w:t>1</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300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3950" w:type="dxa"/>
          <w:tblInd w:w="-923"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b/>
                <w:bCs/>
              </w:rPr>
              <w:t>Príjmy z transakcií s finančnými aktívami a finančnými pasívami (400)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rPr>
              <w:t> </w:t>
            </w:r>
          </w:p>
        </w:tc>
        <w:tc>
          <w:tcPr>
            <w:tcW w:w="300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3950" w:type="dxa"/>
          <w:tblInd w:w="-923"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b/>
                <w:bCs/>
              </w:rPr>
              <w:t>Prijaté úvery, pôžičky a návratné finančné výpomoci (500)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rPr>
              <w:t> </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rPr>
              <w:t> </w:t>
            </w:r>
          </w:p>
        </w:tc>
        <w:tc>
          <w:tcPr>
            <w:tcW w:w="300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3950" w:type="dxa"/>
          <w:tblInd w:w="-923"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r>
              <w:rPr>
                <w:b/>
                <w:bCs/>
                <w:color w:val="FFFFFF"/>
              </w:rPr>
              <w:t>Dopad na príjmy verejnej správy celkom</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 </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 </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 </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 </w:t>
            </w:r>
          </w:p>
        </w:tc>
        <w:tc>
          <w:tcPr>
            <w:tcW w:w="30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vAlign w:val="bottom"/>
            <w:hideMark/>
          </w:tcPr>
          <w:p w:rsidR="00BE732E" w:rsidP="00DA4DF5">
            <w:r>
              <w:rPr>
                <w:color w:val="FFFFFF"/>
              </w:rPr>
              <w:t> </w:t>
            </w:r>
          </w:p>
        </w:tc>
      </w:tr>
      <w:tr w:rsidTr="00BE732E">
        <w:tblPrEx>
          <w:tblW w:w="13950" w:type="dxa"/>
          <w:tblInd w:w="-923" w:type="dxa"/>
          <w:tblCellMar>
            <w:left w:w="0" w:type="dxa"/>
            <w:right w:w="0" w:type="dxa"/>
          </w:tblCellMar>
          <w:tblLook w:val="04A0"/>
        </w:tblPrEx>
        <w:tc>
          <w:tcPr>
            <w:tcW w:w="4950" w:type="dxa"/>
            <w:vAlign w:val="center"/>
          </w:tcPr>
          <w:p w:rsidR="00BE732E" w:rsidP="00DA4DF5">
            <w:pPr>
              <w:rPr>
                <w:sz w:val="2"/>
                <w:szCs w:val="2"/>
              </w:rPr>
            </w:pPr>
          </w:p>
        </w:tc>
        <w:tc>
          <w:tcPr>
            <w:tcW w:w="1500" w:type="dxa"/>
            <w:vAlign w:val="center"/>
          </w:tcPr>
          <w:p w:rsidR="00BE732E" w:rsidP="00DA4DF5">
            <w:pPr>
              <w:rPr>
                <w:sz w:val="2"/>
                <w:szCs w:val="2"/>
              </w:rPr>
            </w:pPr>
          </w:p>
        </w:tc>
        <w:tc>
          <w:tcPr>
            <w:tcW w:w="1500" w:type="dxa"/>
            <w:vAlign w:val="center"/>
          </w:tcPr>
          <w:p w:rsidR="00BE732E" w:rsidP="00DA4DF5">
            <w:pPr>
              <w:rPr>
                <w:sz w:val="2"/>
                <w:szCs w:val="2"/>
              </w:rPr>
            </w:pPr>
          </w:p>
        </w:tc>
        <w:tc>
          <w:tcPr>
            <w:tcW w:w="1500" w:type="dxa"/>
            <w:vAlign w:val="center"/>
          </w:tcPr>
          <w:p w:rsidR="00BE732E" w:rsidP="00DA4DF5">
            <w:pPr>
              <w:rPr>
                <w:sz w:val="2"/>
                <w:szCs w:val="2"/>
              </w:rPr>
            </w:pPr>
          </w:p>
        </w:tc>
        <w:tc>
          <w:tcPr>
            <w:tcW w:w="1500" w:type="dxa"/>
            <w:vAlign w:val="center"/>
          </w:tcPr>
          <w:p w:rsidR="00BE732E" w:rsidP="00DA4DF5">
            <w:pPr>
              <w:rPr>
                <w:sz w:val="2"/>
                <w:szCs w:val="2"/>
              </w:rPr>
            </w:pPr>
          </w:p>
        </w:tc>
        <w:tc>
          <w:tcPr>
            <w:tcW w:w="3000" w:type="dxa"/>
            <w:vAlign w:val="center"/>
          </w:tcPr>
          <w:p w:rsidR="00BE732E" w:rsidP="00DA4DF5">
            <w:pPr>
              <w:rPr>
                <w:sz w:val="2"/>
                <w:szCs w:val="2"/>
              </w:rPr>
            </w:pPr>
          </w:p>
        </w:tc>
      </w:tr>
    </w:tbl>
    <w:p w:rsidR="00BE732E" w:rsidP="00DA4DF5">
      <w:pPr>
        <w:rPr>
          <w:sz w:val="20"/>
          <w:szCs w:val="20"/>
        </w:rPr>
      </w:pPr>
      <w:r>
        <w:rPr>
          <w:sz w:val="20"/>
          <w:szCs w:val="20"/>
        </w:rPr>
        <w:t xml:space="preserve">1 –  príjmy rozpísať až do položiek platnej ekonomickej klasifikácie    </w:t>
      </w:r>
    </w:p>
    <w:p w:rsidR="00BE732E" w:rsidP="00DA4DF5">
      <w:pPr>
        <w:rPr>
          <w:sz w:val="20"/>
          <w:szCs w:val="20"/>
        </w:rPr>
      </w:pPr>
    </w:p>
    <w:p w:rsidR="00BE732E" w:rsidP="00DA4DF5">
      <w:r>
        <w:rPr>
          <w:sz w:val="20"/>
          <w:szCs w:val="20"/>
        </w:rPr>
        <w:t xml:space="preserve">                                                                                                                                                                              </w:t>
      </w:r>
      <w:r>
        <w:rPr>
          <w:sz w:val="20"/>
          <w:szCs w:val="20"/>
        </w:rPr>
        <w:t xml:space="preserve">                                                             </w:t>
      </w:r>
      <w:r>
        <w:t xml:space="preserve">Tabuľka č. 5 </w:t>
      </w:r>
    </w:p>
    <w:tbl>
      <w:tblPr>
        <w:tblStyle w:val="TableNormal"/>
        <w:tblW w:w="15450" w:type="dxa"/>
        <w:tblInd w:w="-1223" w:type="dxa"/>
        <w:tblCellMar>
          <w:left w:w="0" w:type="dxa"/>
          <w:right w:w="0" w:type="dxa"/>
        </w:tblCellMar>
        <w:tblLook w:val="04A0"/>
      </w:tblPr>
      <w:tblGrid>
        <w:gridCol w:w="7070"/>
        <w:gridCol w:w="1540"/>
        <w:gridCol w:w="1540"/>
        <w:gridCol w:w="1540"/>
        <w:gridCol w:w="1540"/>
        <w:gridCol w:w="2220"/>
      </w:tblGrid>
      <w:tr w:rsidTr="00BE732E">
        <w:tblPrEx>
          <w:tblW w:w="15450" w:type="dxa"/>
          <w:tblInd w:w="-1223" w:type="dxa"/>
          <w:tblCellMar>
            <w:left w:w="0" w:type="dxa"/>
            <w:right w:w="0" w:type="dxa"/>
          </w:tblCellMar>
          <w:tblLook w:val="04A0"/>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jc w:val="center"/>
            </w:pPr>
            <w:r>
              <w:rPr>
                <w:b/>
                <w:bCs/>
                <w:color w:val="FFFFFF"/>
                <w:sz w:val="20"/>
                <w:szCs w:val="20"/>
              </w:rPr>
              <w:t>Výdavky (v eurách)</w:t>
            </w:r>
          </w:p>
        </w:tc>
        <w:tc>
          <w:tcPr>
            <w:tcW w:w="0" w:type="auto"/>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jc w:val="center"/>
            </w:pPr>
            <w:r>
              <w:rPr>
                <w:b/>
                <w:bCs/>
                <w:color w:val="FFFFFF"/>
              </w:rPr>
              <w:t>poznámka</w:t>
            </w:r>
          </w:p>
        </w:tc>
      </w:tr>
      <w:tr w:rsidTr="00BE732E">
        <w:tblPrEx>
          <w:tblW w:w="15450" w:type="dxa"/>
          <w:tblInd w:w="-1223" w:type="dxa"/>
          <w:tblCellMar>
            <w:left w:w="0" w:type="dxa"/>
            <w:right w:w="0" w:type="dxa"/>
          </w:tblCellMar>
          <w:tblLook w:val="04A0"/>
        </w:tblPrEx>
        <w:trPr>
          <w:trHeight w:val="1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32E" w:rsidP="00DA4DF5"/>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sz w:val="20"/>
                <w:szCs w:val="20"/>
              </w:rPr>
              <w:t>r</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sz w:val="20"/>
                <w:szCs w:val="20"/>
              </w:rPr>
              <w:t>r + 1</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sz w:val="20"/>
                <w:szCs w:val="20"/>
              </w:rPr>
              <w:t>r + 2</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r + 3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32E" w:rsidP="00DA4DF5"/>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b/>
                <w:bCs/>
                <w:sz w:val="20"/>
                <w:szCs w:val="20"/>
              </w:rPr>
              <w:t>Bežné výdavky (600)</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sz w:val="20"/>
                <w:szCs w:val="20"/>
              </w:rPr>
              <w:t>  Mzdy, platy, služobné príjmy a ostatné osobné vyrovnania (610)</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sz w:val="20"/>
                <w:szCs w:val="20"/>
              </w:rPr>
              <w:t>  Poistné a príspevok do poisťovní (620)</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sz w:val="20"/>
                <w:szCs w:val="20"/>
              </w:rPr>
              <w:t>  Tovary a služby (630)</w:t>
            </w:r>
            <w:r>
              <w:rPr>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sz w:val="20"/>
                <w:szCs w:val="20"/>
              </w:rPr>
              <w:t>  Bežné transfery (640)</w:t>
            </w:r>
            <w:r>
              <w:rPr>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E732E" w:rsidP="00DA4DF5">
            <w:r>
              <w:rPr>
                <w:sz w:val="20"/>
                <w:szCs w:val="20"/>
              </w:rPr>
              <w:t>  Splácanie úrokov a ostatné platby súvisiace s úvermi, pôžičkami a NFV (650)</w:t>
            </w:r>
            <w:r>
              <w:rPr>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b/>
                <w:bCs/>
                <w:sz w:val="20"/>
                <w:szCs w:val="20"/>
              </w:rPr>
              <w:t>Kapitálové výdavky (700)</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sz w:val="20"/>
                <w:szCs w:val="20"/>
              </w:rPr>
              <w:t>  Obstarávanie kapitálových aktív (710)</w:t>
            </w:r>
            <w:r>
              <w:rPr>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sz w:val="20"/>
                <w:szCs w:val="20"/>
              </w:rPr>
              <w:t>  Kapitálové transfery (720)</w:t>
            </w:r>
            <w:r>
              <w:rPr>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b/>
                <w:bCs/>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hideMark/>
          </w:tcPr>
          <w:p w:rsidR="00BE732E" w:rsidP="00DA4DF5">
            <w:pPr>
              <w:jc w:val="center"/>
            </w:pPr>
            <w:r>
              <w:rPr>
                <w:b/>
                <w:bCs/>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nil"/>
              <w:right w:val="single" w:sz="4" w:space="0" w:color="000000"/>
            </w:tcBorders>
            <w:shd w:val="clear" w:color="auto" w:fill="000000"/>
            <w:tcMar>
              <w:top w:w="0" w:type="dxa"/>
              <w:left w:w="70" w:type="dxa"/>
              <w:bottom w:w="0" w:type="dxa"/>
              <w:right w:w="70" w:type="dxa"/>
            </w:tcMar>
            <w:hideMark/>
          </w:tcPr>
          <w:p w:rsidR="00BE732E" w:rsidP="00DA4DF5">
            <w:r>
              <w:rPr>
                <w:b/>
                <w:bCs/>
                <w:color w:val="FFFFFF"/>
                <w:sz w:val="20"/>
                <w:szCs w:val="20"/>
              </w:rPr>
              <w:t>Dopad na výdavky verejnej správy celkom</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 </w:t>
            </w:r>
          </w:p>
        </w:tc>
        <w:tc>
          <w:tcPr>
            <w:tcW w:w="2220" w:type="dxa"/>
            <w:tcBorders>
              <w:top w:val="nil"/>
              <w:left w:val="nil"/>
              <w:bottom w:val="nil"/>
              <w:right w:val="single" w:sz="4" w:space="0" w:color="000000"/>
            </w:tcBorders>
            <w:shd w:val="clear" w:color="auto" w:fill="000000"/>
            <w:tcMar>
              <w:top w:w="0" w:type="dxa"/>
              <w:left w:w="70" w:type="dxa"/>
              <w:bottom w:w="0" w:type="dxa"/>
              <w:right w:w="70" w:type="dxa"/>
            </w:tcMar>
            <w:vAlign w:val="bottom"/>
            <w:hideMark/>
          </w:tcPr>
          <w:p w:rsidR="00BE732E" w:rsidP="00DA4DF5">
            <w:r>
              <w:rPr>
                <w:color w:val="FFFFFF"/>
              </w:rPr>
              <w:t> </w:t>
            </w:r>
          </w:p>
        </w:tc>
      </w:tr>
      <w:tr w:rsidTr="00BE732E">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b/>
                <w:bCs/>
                <w:sz w:val="20"/>
                <w:szCs w:val="20"/>
              </w:rPr>
              <w:t>  z toho výdavky na ŠR</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sz w:val="20"/>
                <w:szCs w:val="20"/>
              </w:rPr>
              <w:t>   Bežné výdavky</w:t>
            </w:r>
            <w:r>
              <w:rPr>
                <w:b/>
                <w:bCs/>
                <w:sz w:val="20"/>
                <w:szCs w:val="20"/>
              </w:rPr>
              <w:t xml:space="preserve"> </w:t>
            </w:r>
            <w:r>
              <w:rPr>
                <w:sz w:val="20"/>
                <w:szCs w:val="20"/>
              </w:rPr>
              <w:t>(600)</w:t>
            </w:r>
            <w:r>
              <w:rPr>
                <w:b/>
                <w:bCs/>
                <w:sz w:val="20"/>
                <w:szCs w:val="20"/>
              </w:rPr>
              <w:t xml:space="preserve">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b/>
                <w:bCs/>
                <w:sz w:val="20"/>
                <w:szCs w:val="20"/>
              </w:rPr>
              <w:t>    </w:t>
            </w:r>
            <w:r>
              <w:rPr>
                <w:sz w:val="20"/>
                <w:szCs w:val="20"/>
              </w:rPr>
              <w:t>Mzdy, platy, služobné príjmy a ostatné osobné vyrovnania (610)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sz w:val="20"/>
                <w:szCs w:val="20"/>
              </w:rPr>
              <w:t>    Kapitálové výdavky (700)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E732E" w:rsidP="00DA4DF5">
            <w:r>
              <w:rPr>
                <w:sz w:val="20"/>
                <w:szCs w:val="20"/>
              </w:rPr>
              <w:t>    Výdavky z transakcií s finančnými aktívami a finančnými pasívami (800)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450" w:type="dxa"/>
          <w:tblInd w:w="-1223" w:type="dxa"/>
          <w:tblCellMar>
            <w:left w:w="0" w:type="dxa"/>
            <w:right w:w="0" w:type="dxa"/>
          </w:tblCellMar>
          <w:tblLook w:val="04A0"/>
        </w:tblPrEx>
        <w:tc>
          <w:tcPr>
            <w:tcW w:w="7070" w:type="dxa"/>
            <w:vAlign w:val="center"/>
          </w:tcPr>
          <w:p w:rsidR="00BE732E" w:rsidP="00DA4DF5">
            <w:pPr>
              <w:rPr>
                <w:sz w:val="2"/>
                <w:szCs w:val="2"/>
              </w:rPr>
            </w:pPr>
          </w:p>
        </w:tc>
        <w:tc>
          <w:tcPr>
            <w:tcW w:w="1540" w:type="dxa"/>
            <w:vAlign w:val="center"/>
          </w:tcPr>
          <w:p w:rsidR="00BE732E" w:rsidP="00DA4DF5">
            <w:pPr>
              <w:rPr>
                <w:sz w:val="2"/>
                <w:szCs w:val="2"/>
              </w:rPr>
            </w:pPr>
          </w:p>
        </w:tc>
        <w:tc>
          <w:tcPr>
            <w:tcW w:w="1540" w:type="dxa"/>
            <w:vAlign w:val="center"/>
          </w:tcPr>
          <w:p w:rsidR="00BE732E" w:rsidP="00DA4DF5">
            <w:pPr>
              <w:rPr>
                <w:sz w:val="2"/>
                <w:szCs w:val="2"/>
              </w:rPr>
            </w:pPr>
          </w:p>
        </w:tc>
        <w:tc>
          <w:tcPr>
            <w:tcW w:w="1540" w:type="dxa"/>
            <w:vAlign w:val="center"/>
          </w:tcPr>
          <w:p w:rsidR="00BE732E" w:rsidP="00DA4DF5">
            <w:pPr>
              <w:rPr>
                <w:sz w:val="2"/>
                <w:szCs w:val="2"/>
              </w:rPr>
            </w:pPr>
          </w:p>
        </w:tc>
        <w:tc>
          <w:tcPr>
            <w:tcW w:w="1540" w:type="dxa"/>
            <w:vAlign w:val="center"/>
          </w:tcPr>
          <w:p w:rsidR="00BE732E" w:rsidP="00DA4DF5">
            <w:pPr>
              <w:rPr>
                <w:sz w:val="2"/>
                <w:szCs w:val="2"/>
              </w:rPr>
            </w:pPr>
          </w:p>
        </w:tc>
        <w:tc>
          <w:tcPr>
            <w:tcW w:w="2220" w:type="dxa"/>
            <w:vAlign w:val="center"/>
          </w:tcPr>
          <w:p w:rsidR="00BE732E" w:rsidP="00DA4DF5">
            <w:pPr>
              <w:rPr>
                <w:sz w:val="2"/>
                <w:szCs w:val="2"/>
              </w:rPr>
            </w:pPr>
          </w:p>
        </w:tc>
      </w:tr>
    </w:tbl>
    <w:p w:rsidR="00BE732E" w:rsidP="00DA4DF5">
      <w:r>
        <w:rPr>
          <w:sz w:val="20"/>
          <w:szCs w:val="20"/>
        </w:rPr>
        <w:t>2 –  výdavky rozpísať až do položiek platnej ekonomickej klasifikácie</w:t>
      </w:r>
    </w:p>
    <w:p w:rsidR="00BE732E" w:rsidP="00DA4DF5">
      <w:r>
        <w:rPr>
          <w:sz w:val="20"/>
          <w:szCs w:val="20"/>
        </w:rPr>
        <w:t xml:space="preserve">                                                                                                                                                                                          </w:t>
      </w:r>
      <w:r>
        <w:rPr>
          <w:sz w:val="20"/>
          <w:szCs w:val="20"/>
        </w:rPr>
        <w:t xml:space="preserve">                             </w:t>
      </w:r>
      <w:r>
        <w:t xml:space="preserve">                 Tabuľka č. 6 </w:t>
      </w:r>
    </w:p>
    <w:tbl>
      <w:tblPr>
        <w:tblStyle w:val="TableNormal"/>
        <w:tblpPr w:leftFromText="141" w:rightFromText="141" w:vertAnchor="text" w:horzAnchor="margin" w:tblpXSpec="center" w:tblpX="1" w:tblpY="170"/>
        <w:tblW w:w="15114" w:type="dxa"/>
        <w:tblCellMar>
          <w:left w:w="0" w:type="dxa"/>
          <w:right w:w="0" w:type="dxa"/>
        </w:tblCellMar>
        <w:tblLook w:val="04A0"/>
      </w:tblPr>
      <w:tblGrid>
        <w:gridCol w:w="5932"/>
        <w:gridCol w:w="1500"/>
        <w:gridCol w:w="1598"/>
        <w:gridCol w:w="564"/>
        <w:gridCol w:w="1491"/>
        <w:gridCol w:w="1550"/>
        <w:gridCol w:w="933"/>
        <w:gridCol w:w="1546"/>
      </w:tblGrid>
      <w:tr w:rsidTr="00BE732E">
        <w:tblPrEx>
          <w:tblW w:w="15114" w:type="dxa"/>
          <w:tblCellMar>
            <w:left w:w="0" w:type="dxa"/>
            <w:right w:w="0" w:type="dxa"/>
          </w:tblCellMar>
          <w:tblLook w:val="04A0"/>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jc w:val="center"/>
            </w:pPr>
            <w:r>
              <w:rPr>
                <w:b/>
                <w:bCs/>
                <w:color w:val="FFFFFF"/>
              </w:rPr>
              <w:t>Zamestnanosť</w:t>
            </w:r>
          </w:p>
        </w:tc>
        <w:tc>
          <w:tcPr>
            <w:tcW w:w="0" w:type="auto"/>
            <w:gridSpan w:val="5"/>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hideMark/>
          </w:tcPr>
          <w:p w:rsidR="00BE732E" w:rsidP="00DA4DF5">
            <w:pPr>
              <w:jc w:val="center"/>
            </w:pPr>
            <w:r>
              <w:rPr>
                <w:b/>
                <w:bCs/>
                <w:color w:val="FFFFFF"/>
              </w:rPr>
              <w:t>poznámka</w:t>
            </w:r>
          </w:p>
        </w:tc>
      </w:tr>
      <w:tr w:rsidTr="00BE732E">
        <w:tblPrEx>
          <w:tblW w:w="15114" w:type="dxa"/>
          <w:tblCellMar>
            <w:left w:w="0" w:type="dxa"/>
            <w:right w:w="0" w:type="dxa"/>
          </w:tblCellMar>
          <w:tblLook w:val="04A0"/>
        </w:tblPrEx>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32E" w:rsidP="00DA4DF5"/>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r</w:t>
            </w:r>
          </w:p>
        </w:tc>
        <w:tc>
          <w:tcPr>
            <w:tcW w:w="1598"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r + 1</w:t>
            </w:r>
          </w:p>
        </w:tc>
        <w:tc>
          <w:tcPr>
            <w:tcW w:w="0" w:type="auto"/>
            <w:gridSpan w:val="2"/>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r + 2</w:t>
            </w:r>
          </w:p>
        </w:tc>
        <w:tc>
          <w:tcPr>
            <w:tcW w:w="155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r + 3</w:t>
            </w:r>
          </w:p>
        </w:tc>
        <w:tc>
          <w:tcPr>
            <w:tcW w:w="0" w:type="auto"/>
            <w:gridSpan w:val="2"/>
            <w:vMerge/>
            <w:tcBorders>
              <w:top w:val="nil"/>
              <w:left w:val="nil"/>
              <w:bottom w:val="single" w:sz="4" w:space="0" w:color="000000"/>
              <w:right w:val="single" w:sz="4" w:space="0" w:color="000000"/>
            </w:tcBorders>
            <w:vAlign w:val="center"/>
            <w:hideMark/>
          </w:tcPr>
          <w:p w:rsidR="00BE732E" w:rsidP="00DA4DF5"/>
        </w:tc>
      </w:tr>
      <w:tr w:rsidTr="00BE732E">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hideMark/>
          </w:tcPr>
          <w:p w:rsidR="00BE732E" w:rsidP="00DA4DF5">
            <w:r>
              <w:rPr>
                <w:b/>
                <w:bCs/>
              </w:rPr>
              <w:t>Počet zamestnancov celkom*</w:t>
            </w:r>
          </w:p>
        </w:tc>
        <w:tc>
          <w:tcPr>
            <w:tcW w:w="1500" w:type="dxa"/>
            <w:tcBorders>
              <w:top w:val="nil"/>
              <w:left w:val="nil"/>
              <w:bottom w:val="single" w:sz="4" w:space="0" w:color="000000"/>
              <w:right w:val="single" w:sz="4" w:space="0" w:color="000000"/>
            </w:tcBorders>
            <w:hideMark/>
          </w:tcPr>
          <w:p w:rsidR="00BE732E" w:rsidP="00DA4DF5">
            <w:pPr>
              <w:jc w:val="center"/>
            </w:pPr>
            <w:r>
              <w:rPr>
                <w:b/>
                <w:bCs/>
              </w:rPr>
              <w:t> </w:t>
            </w:r>
          </w:p>
        </w:tc>
        <w:tc>
          <w:tcPr>
            <w:tcW w:w="1598" w:type="dxa"/>
            <w:tcBorders>
              <w:top w:val="nil"/>
              <w:left w:val="nil"/>
              <w:bottom w:val="single" w:sz="4" w:space="0" w:color="000000"/>
              <w:right w:val="single" w:sz="4" w:space="0" w:color="000000"/>
            </w:tcBorders>
            <w:hideMark/>
          </w:tcPr>
          <w:p w:rsidR="00BE732E" w:rsidP="00DA4DF5">
            <w:pPr>
              <w:jc w:val="center"/>
            </w:pPr>
            <w:r>
              <w:rPr>
                <w:b/>
                <w:bCs/>
              </w:rPr>
              <w:t> </w:t>
            </w:r>
          </w:p>
        </w:tc>
        <w:tc>
          <w:tcPr>
            <w:tcW w:w="0" w:type="auto"/>
            <w:gridSpan w:val="2"/>
            <w:tcBorders>
              <w:top w:val="nil"/>
              <w:left w:val="nil"/>
              <w:bottom w:val="single" w:sz="4" w:space="0" w:color="000000"/>
              <w:right w:val="single" w:sz="4" w:space="0" w:color="000000"/>
            </w:tcBorders>
            <w:hideMark/>
          </w:tcPr>
          <w:p w:rsidR="00BE732E" w:rsidP="00DA4DF5">
            <w:pPr>
              <w:jc w:val="center"/>
            </w:pPr>
            <w:r>
              <w:rPr>
                <w:b/>
                <w:bCs/>
              </w:rPr>
              <w:t> </w:t>
            </w:r>
          </w:p>
        </w:tc>
        <w:tc>
          <w:tcPr>
            <w:tcW w:w="155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hideMark/>
          </w:tcPr>
          <w:p w:rsidR="00BE732E" w:rsidP="00DA4DF5">
            <w:r>
              <w:rPr>
                <w:b/>
                <w:bCs/>
              </w:rPr>
              <w:t>   z toho vplyv na ŠR</w:t>
            </w:r>
          </w:p>
        </w:tc>
        <w:tc>
          <w:tcPr>
            <w:tcW w:w="1500" w:type="dxa"/>
            <w:tcBorders>
              <w:top w:val="single" w:sz="4" w:space="0" w:color="000000"/>
              <w:left w:val="nil"/>
              <w:bottom w:val="single" w:sz="4" w:space="0" w:color="000000"/>
              <w:right w:val="single" w:sz="4" w:space="0" w:color="000000"/>
            </w:tcBorders>
            <w:hideMark/>
          </w:tcPr>
          <w:p w:rsidR="00BE732E" w:rsidP="00DA4DF5">
            <w:pPr>
              <w:jc w:val="center"/>
            </w:pPr>
            <w:r>
              <w:rPr>
                <w:b/>
                <w:bCs/>
              </w:rPr>
              <w:t> </w:t>
            </w:r>
          </w:p>
        </w:tc>
        <w:tc>
          <w:tcPr>
            <w:tcW w:w="1598" w:type="dxa"/>
            <w:tcBorders>
              <w:top w:val="single" w:sz="4" w:space="0" w:color="000000"/>
              <w:left w:val="nil"/>
              <w:bottom w:val="single" w:sz="4" w:space="0" w:color="000000"/>
              <w:right w:val="single" w:sz="4" w:space="0" w:color="000000"/>
            </w:tcBorders>
            <w:hideMark/>
          </w:tcPr>
          <w:p w:rsidR="00BE732E" w:rsidP="00DA4DF5">
            <w:pPr>
              <w:jc w:val="center"/>
            </w:pPr>
            <w:r>
              <w:rPr>
                <w:b/>
                <w:bCs/>
              </w:rPr>
              <w:t> </w:t>
            </w:r>
          </w:p>
        </w:tc>
        <w:tc>
          <w:tcPr>
            <w:tcW w:w="0" w:type="auto"/>
            <w:gridSpan w:val="2"/>
            <w:tcBorders>
              <w:top w:val="single" w:sz="4" w:space="0" w:color="000000"/>
              <w:left w:val="nil"/>
              <w:bottom w:val="single" w:sz="4" w:space="0" w:color="000000"/>
              <w:right w:val="single" w:sz="4" w:space="0" w:color="000000"/>
            </w:tcBorders>
            <w:hideMark/>
          </w:tcPr>
          <w:p w:rsidR="00BE732E" w:rsidP="00DA4DF5">
            <w:pPr>
              <w:jc w:val="center"/>
            </w:pPr>
            <w:r>
              <w:rPr>
                <w:b/>
                <w:bCs/>
              </w:rPr>
              <w:t> </w:t>
            </w:r>
          </w:p>
        </w:tc>
        <w:tc>
          <w:tcPr>
            <w:tcW w:w="155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hideMark/>
          </w:tcPr>
          <w:p w:rsidR="00BE732E" w:rsidP="00DA4DF5">
            <w:r>
              <w:rPr>
                <w:b/>
                <w:bCs/>
              </w:rPr>
              <w:t>Priemerný mzdový výdavok (v eurách)*</w:t>
            </w:r>
          </w:p>
        </w:tc>
        <w:tc>
          <w:tcPr>
            <w:tcW w:w="1500" w:type="dxa"/>
            <w:tcBorders>
              <w:top w:val="single" w:sz="4" w:space="0" w:color="000000"/>
              <w:left w:val="nil"/>
              <w:bottom w:val="single" w:sz="4" w:space="0" w:color="000000"/>
              <w:right w:val="single" w:sz="4" w:space="0" w:color="000000"/>
            </w:tcBorders>
            <w:hideMark/>
          </w:tcPr>
          <w:p w:rsidR="00BE732E" w:rsidP="00DA4DF5">
            <w:pPr>
              <w:jc w:val="center"/>
            </w:pPr>
            <w:r>
              <w:rPr>
                <w:b/>
                <w:bCs/>
              </w:rPr>
              <w:t> </w:t>
            </w:r>
          </w:p>
        </w:tc>
        <w:tc>
          <w:tcPr>
            <w:tcW w:w="1598" w:type="dxa"/>
            <w:tcBorders>
              <w:top w:val="single" w:sz="4" w:space="0" w:color="000000"/>
              <w:left w:val="nil"/>
              <w:bottom w:val="single" w:sz="4" w:space="0" w:color="000000"/>
              <w:right w:val="single" w:sz="4" w:space="0" w:color="000000"/>
            </w:tcBorders>
            <w:hideMark/>
          </w:tcPr>
          <w:p w:rsidR="00BE732E" w:rsidP="00DA4DF5">
            <w:pPr>
              <w:jc w:val="center"/>
            </w:pPr>
            <w:r>
              <w:rPr>
                <w:b/>
                <w:bCs/>
              </w:rPr>
              <w:t> </w:t>
            </w:r>
          </w:p>
        </w:tc>
        <w:tc>
          <w:tcPr>
            <w:tcW w:w="0" w:type="auto"/>
            <w:gridSpan w:val="2"/>
            <w:tcBorders>
              <w:top w:val="single" w:sz="4" w:space="0" w:color="000000"/>
              <w:left w:val="nil"/>
              <w:bottom w:val="single" w:sz="4" w:space="0" w:color="000000"/>
              <w:right w:val="single" w:sz="4" w:space="0" w:color="000000"/>
            </w:tcBorders>
            <w:hideMark/>
          </w:tcPr>
          <w:p w:rsidR="00BE732E" w:rsidP="00DA4DF5">
            <w:pPr>
              <w:jc w:val="center"/>
            </w:pPr>
            <w:r>
              <w:rPr>
                <w:b/>
                <w:bCs/>
              </w:rPr>
              <w:t> </w:t>
            </w:r>
          </w:p>
        </w:tc>
        <w:tc>
          <w:tcPr>
            <w:tcW w:w="155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hideMark/>
          </w:tcPr>
          <w:p w:rsidR="00BE732E" w:rsidP="00DA4DF5">
            <w:r>
              <w:rPr>
                <w:b/>
                <w:bCs/>
              </w:rPr>
              <w:t>   z toho vplyv na ŠR</w:t>
            </w:r>
          </w:p>
        </w:tc>
        <w:tc>
          <w:tcPr>
            <w:tcW w:w="1500" w:type="dxa"/>
            <w:tcBorders>
              <w:top w:val="single" w:sz="4" w:space="0" w:color="000000"/>
              <w:left w:val="nil"/>
              <w:bottom w:val="single" w:sz="4" w:space="0" w:color="000000"/>
              <w:right w:val="single" w:sz="4" w:space="0" w:color="000000"/>
            </w:tcBorders>
            <w:hideMark/>
          </w:tcPr>
          <w:p w:rsidR="00BE732E" w:rsidP="00DA4DF5">
            <w:pPr>
              <w:jc w:val="center"/>
            </w:pPr>
            <w:r>
              <w:t> </w:t>
            </w:r>
          </w:p>
        </w:tc>
        <w:tc>
          <w:tcPr>
            <w:tcW w:w="1598" w:type="dxa"/>
            <w:tcBorders>
              <w:top w:val="single" w:sz="4" w:space="0" w:color="000000"/>
              <w:left w:val="nil"/>
              <w:bottom w:val="single" w:sz="4" w:space="0" w:color="000000"/>
              <w:right w:val="single" w:sz="4" w:space="0" w:color="000000"/>
            </w:tcBorders>
            <w:hideMark/>
          </w:tcPr>
          <w:p w:rsidR="00BE732E" w:rsidP="00DA4DF5">
            <w:pPr>
              <w:jc w:val="center"/>
            </w:pPr>
            <w:r>
              <w:t> </w:t>
            </w:r>
          </w:p>
        </w:tc>
        <w:tc>
          <w:tcPr>
            <w:tcW w:w="0" w:type="auto"/>
            <w:gridSpan w:val="2"/>
            <w:tcBorders>
              <w:top w:val="single" w:sz="4" w:space="0" w:color="000000"/>
              <w:left w:val="nil"/>
              <w:bottom w:val="single" w:sz="4" w:space="0" w:color="000000"/>
              <w:right w:val="single" w:sz="4" w:space="0" w:color="000000"/>
            </w:tcBorders>
            <w:hideMark/>
          </w:tcPr>
          <w:p w:rsidR="00BE732E" w:rsidP="00DA4DF5">
            <w:pPr>
              <w:jc w:val="center"/>
            </w:pPr>
            <w:r>
              <w:t> </w:t>
            </w:r>
          </w:p>
        </w:tc>
        <w:tc>
          <w:tcPr>
            <w:tcW w:w="1550"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t> </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shd w:val="clear" w:color="auto" w:fill="000000"/>
            <w:hideMark/>
          </w:tcPr>
          <w:p w:rsidR="00BE732E" w:rsidP="00DA4DF5">
            <w:r>
              <w:rPr>
                <w:b/>
                <w:bCs/>
                <w:color w:val="FFFFFF"/>
              </w:rPr>
              <w:t>Osobné výdavky celkom (v eurách)</w:t>
            </w:r>
          </w:p>
        </w:tc>
        <w:tc>
          <w:tcPr>
            <w:tcW w:w="1500" w:type="dxa"/>
            <w:tcBorders>
              <w:top w:val="nil"/>
              <w:left w:val="nil"/>
              <w:bottom w:val="single" w:sz="4" w:space="0" w:color="000000"/>
              <w:right w:val="single" w:sz="4" w:space="0" w:color="000000"/>
            </w:tcBorders>
            <w:shd w:val="clear" w:color="auto" w:fill="000000"/>
            <w:hideMark/>
          </w:tcPr>
          <w:p w:rsidR="00BE732E" w:rsidP="00DA4DF5">
            <w:pPr>
              <w:jc w:val="center"/>
            </w:pPr>
            <w:r>
              <w:rPr>
                <w:b/>
                <w:bCs/>
                <w:color w:val="FFFFFF"/>
              </w:rPr>
              <w:t> </w:t>
            </w:r>
          </w:p>
        </w:tc>
        <w:tc>
          <w:tcPr>
            <w:tcW w:w="1598" w:type="dxa"/>
            <w:tcBorders>
              <w:top w:val="nil"/>
              <w:left w:val="nil"/>
              <w:bottom w:val="single" w:sz="4" w:space="0" w:color="000000"/>
              <w:right w:val="single" w:sz="4" w:space="0" w:color="000000"/>
            </w:tcBorders>
            <w:shd w:val="clear" w:color="auto" w:fill="000000"/>
            <w:hideMark/>
          </w:tcPr>
          <w:p w:rsidR="00BE732E" w:rsidP="00DA4DF5">
            <w:pPr>
              <w:jc w:val="center"/>
            </w:pPr>
            <w:r>
              <w:rPr>
                <w:b/>
                <w:bCs/>
                <w:color w:val="FFFFFF"/>
              </w:rPr>
              <w:t> </w:t>
            </w:r>
          </w:p>
        </w:tc>
        <w:tc>
          <w:tcPr>
            <w:tcW w:w="0" w:type="auto"/>
            <w:gridSpan w:val="2"/>
            <w:tcBorders>
              <w:top w:val="nil"/>
              <w:left w:val="nil"/>
              <w:bottom w:val="single" w:sz="4" w:space="0" w:color="000000"/>
              <w:right w:val="single" w:sz="4" w:space="0" w:color="000000"/>
            </w:tcBorders>
            <w:shd w:val="clear" w:color="auto" w:fill="000000"/>
            <w:hideMark/>
          </w:tcPr>
          <w:p w:rsidR="00BE732E" w:rsidP="00DA4DF5">
            <w:pPr>
              <w:jc w:val="center"/>
            </w:pPr>
            <w:r>
              <w:rPr>
                <w:b/>
                <w:bCs/>
                <w:color w:val="FFFFFF"/>
              </w:rPr>
              <w:t> </w:t>
            </w:r>
          </w:p>
        </w:tc>
        <w:tc>
          <w:tcPr>
            <w:tcW w:w="155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hideMark/>
          </w:tcPr>
          <w:p w:rsidR="00BE732E" w:rsidP="00DA4DF5">
            <w:pPr>
              <w:jc w:val="center"/>
            </w:pPr>
            <w:r>
              <w:rPr>
                <w:b/>
                <w:bCs/>
                <w:color w:val="FFFFFF"/>
              </w:rPr>
              <w:t> </w:t>
            </w:r>
          </w:p>
        </w:tc>
        <w:tc>
          <w:tcPr>
            <w:tcW w:w="0" w:type="auto"/>
            <w:gridSpan w:val="2"/>
            <w:tcBorders>
              <w:top w:val="nil"/>
              <w:left w:val="nil"/>
              <w:bottom w:val="single" w:sz="4" w:space="0" w:color="000000"/>
              <w:right w:val="single" w:sz="4" w:space="0" w:color="000000"/>
            </w:tcBorders>
            <w:shd w:val="clear" w:color="auto" w:fill="000000"/>
            <w:tcMar>
              <w:top w:w="0" w:type="dxa"/>
              <w:left w:w="70" w:type="dxa"/>
              <w:bottom w:w="0" w:type="dxa"/>
              <w:right w:w="70" w:type="dxa"/>
            </w:tcMar>
            <w:vAlign w:val="bottom"/>
            <w:hideMark/>
          </w:tcPr>
          <w:p w:rsidR="00BE732E" w:rsidP="00DA4DF5">
            <w:r>
              <w:rPr>
                <w:b/>
                <w:bCs/>
                <w:color w:val="FFFFFF"/>
              </w:rPr>
              <w:t> </w:t>
            </w:r>
          </w:p>
        </w:tc>
      </w:tr>
      <w:tr w:rsidTr="00BE732E">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hideMark/>
          </w:tcPr>
          <w:p w:rsidR="00BE732E" w:rsidP="00DA4DF5">
            <w:r>
              <w:rPr>
                <w:b/>
                <w:bCs/>
              </w:rPr>
              <w:t xml:space="preserve">Mzdy, platy, služobné príjmy a ostatné osobné vyrovnania (610)* </w:t>
            </w:r>
          </w:p>
        </w:tc>
        <w:tc>
          <w:tcPr>
            <w:tcW w:w="1500" w:type="dxa"/>
            <w:tcBorders>
              <w:top w:val="nil"/>
              <w:left w:val="nil"/>
              <w:bottom w:val="single" w:sz="4" w:space="0" w:color="000000"/>
              <w:right w:val="single" w:sz="4" w:space="0" w:color="000000"/>
            </w:tcBorders>
            <w:hideMark/>
          </w:tcPr>
          <w:p w:rsidR="00BE732E" w:rsidP="00DA4DF5">
            <w:pPr>
              <w:jc w:val="center"/>
            </w:pPr>
            <w:r>
              <w:rPr>
                <w:b/>
                <w:bCs/>
              </w:rPr>
              <w:t> </w:t>
            </w:r>
          </w:p>
        </w:tc>
        <w:tc>
          <w:tcPr>
            <w:tcW w:w="1598" w:type="dxa"/>
            <w:tcBorders>
              <w:top w:val="nil"/>
              <w:left w:val="nil"/>
              <w:bottom w:val="single" w:sz="4" w:space="0" w:color="000000"/>
              <w:right w:val="single" w:sz="4" w:space="0" w:color="000000"/>
            </w:tcBorders>
            <w:hideMark/>
          </w:tcPr>
          <w:p w:rsidR="00BE732E" w:rsidP="00DA4DF5">
            <w:pPr>
              <w:jc w:val="center"/>
            </w:pPr>
            <w:r>
              <w:rPr>
                <w:b/>
                <w:bCs/>
              </w:rPr>
              <w:t> </w:t>
            </w:r>
          </w:p>
        </w:tc>
        <w:tc>
          <w:tcPr>
            <w:tcW w:w="0" w:type="auto"/>
            <w:gridSpan w:val="2"/>
            <w:tcBorders>
              <w:top w:val="nil"/>
              <w:left w:val="nil"/>
              <w:bottom w:val="single" w:sz="4" w:space="0" w:color="000000"/>
              <w:right w:val="single" w:sz="4" w:space="0" w:color="000000"/>
            </w:tcBorders>
            <w:hideMark/>
          </w:tcPr>
          <w:p w:rsidR="00BE732E" w:rsidP="00DA4DF5">
            <w:pPr>
              <w:jc w:val="center"/>
            </w:pPr>
            <w:r>
              <w:rPr>
                <w:b/>
                <w:bCs/>
              </w:rPr>
              <w:t> </w:t>
            </w:r>
          </w:p>
        </w:tc>
        <w:tc>
          <w:tcPr>
            <w:tcW w:w="155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rPr>
                <w:b/>
                <w:bCs/>
              </w:rPr>
              <w:t> </w:t>
            </w:r>
          </w:p>
        </w:tc>
      </w:tr>
      <w:tr w:rsidTr="00BE732E">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hideMark/>
          </w:tcPr>
          <w:p w:rsidR="00BE732E" w:rsidP="00DA4DF5">
            <w:r>
              <w:rPr>
                <w:b/>
                <w:bCs/>
              </w:rPr>
              <w:t>   z toho vplyv na ŠR</w:t>
            </w:r>
          </w:p>
        </w:tc>
        <w:tc>
          <w:tcPr>
            <w:tcW w:w="1500" w:type="dxa"/>
            <w:tcBorders>
              <w:top w:val="nil"/>
              <w:left w:val="nil"/>
              <w:bottom w:val="single" w:sz="4" w:space="0" w:color="000000"/>
              <w:right w:val="single" w:sz="4" w:space="0" w:color="000000"/>
            </w:tcBorders>
            <w:hideMark/>
          </w:tcPr>
          <w:p w:rsidR="00BE732E" w:rsidP="00DA4DF5">
            <w:pPr>
              <w:jc w:val="center"/>
            </w:pPr>
            <w:r>
              <w:t> </w:t>
            </w:r>
          </w:p>
        </w:tc>
        <w:tc>
          <w:tcPr>
            <w:tcW w:w="1598" w:type="dxa"/>
            <w:tcBorders>
              <w:top w:val="nil"/>
              <w:left w:val="nil"/>
              <w:bottom w:val="single" w:sz="4" w:space="0" w:color="000000"/>
              <w:right w:val="single" w:sz="4" w:space="0" w:color="000000"/>
            </w:tcBorders>
            <w:hideMark/>
          </w:tcPr>
          <w:p w:rsidR="00BE732E" w:rsidP="00DA4DF5">
            <w:pPr>
              <w:jc w:val="center"/>
            </w:pPr>
            <w:r>
              <w:t> </w:t>
            </w:r>
          </w:p>
        </w:tc>
        <w:tc>
          <w:tcPr>
            <w:tcW w:w="0" w:type="auto"/>
            <w:gridSpan w:val="2"/>
            <w:tcBorders>
              <w:top w:val="nil"/>
              <w:left w:val="nil"/>
              <w:bottom w:val="single" w:sz="4" w:space="0" w:color="000000"/>
              <w:right w:val="single" w:sz="4" w:space="0" w:color="000000"/>
            </w:tcBorders>
            <w:hideMark/>
          </w:tcPr>
          <w:p w:rsidR="00BE732E" w:rsidP="00DA4DF5">
            <w:pPr>
              <w:jc w:val="center"/>
            </w:pPr>
            <w:r>
              <w:t> </w:t>
            </w:r>
          </w:p>
        </w:tc>
        <w:tc>
          <w:tcPr>
            <w:tcW w:w="155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t> </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hideMark/>
          </w:tcPr>
          <w:p w:rsidR="00BE732E" w:rsidP="00DA4DF5">
            <w:r>
              <w:rPr>
                <w:b/>
                <w:bCs/>
              </w:rPr>
              <w:t>Poistné a príspevok do poisťovní (620)*</w:t>
            </w:r>
          </w:p>
        </w:tc>
        <w:tc>
          <w:tcPr>
            <w:tcW w:w="1500" w:type="dxa"/>
            <w:tcBorders>
              <w:top w:val="nil"/>
              <w:left w:val="nil"/>
              <w:bottom w:val="single" w:sz="4" w:space="0" w:color="000000"/>
              <w:right w:val="single" w:sz="4" w:space="0" w:color="000000"/>
            </w:tcBorders>
            <w:hideMark/>
          </w:tcPr>
          <w:p w:rsidR="00BE732E" w:rsidP="00DA4DF5">
            <w:pPr>
              <w:jc w:val="center"/>
            </w:pPr>
            <w:r>
              <w:rPr>
                <w:b/>
                <w:bCs/>
              </w:rPr>
              <w:t> </w:t>
            </w:r>
          </w:p>
        </w:tc>
        <w:tc>
          <w:tcPr>
            <w:tcW w:w="1598" w:type="dxa"/>
            <w:tcBorders>
              <w:top w:val="nil"/>
              <w:left w:val="nil"/>
              <w:bottom w:val="single" w:sz="4" w:space="0" w:color="000000"/>
              <w:right w:val="single" w:sz="4" w:space="0" w:color="000000"/>
            </w:tcBorders>
            <w:hideMark/>
          </w:tcPr>
          <w:p w:rsidR="00BE732E" w:rsidP="00DA4DF5">
            <w:pPr>
              <w:jc w:val="center"/>
            </w:pPr>
            <w:r>
              <w:rPr>
                <w:b/>
                <w:bCs/>
              </w:rPr>
              <w:t> </w:t>
            </w:r>
          </w:p>
        </w:tc>
        <w:tc>
          <w:tcPr>
            <w:tcW w:w="0" w:type="auto"/>
            <w:gridSpan w:val="2"/>
            <w:tcBorders>
              <w:top w:val="nil"/>
              <w:left w:val="nil"/>
              <w:bottom w:val="single" w:sz="4" w:space="0" w:color="000000"/>
              <w:right w:val="single" w:sz="4" w:space="0" w:color="000000"/>
            </w:tcBorders>
            <w:hideMark/>
          </w:tcPr>
          <w:p w:rsidR="00BE732E" w:rsidP="00DA4DF5">
            <w:pPr>
              <w:jc w:val="center"/>
            </w:pPr>
            <w:r>
              <w:rPr>
                <w:b/>
                <w:bCs/>
              </w:rPr>
              <w:t> </w:t>
            </w:r>
          </w:p>
        </w:tc>
        <w:tc>
          <w:tcPr>
            <w:tcW w:w="155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rPr>
                <w:b/>
                <w:bCs/>
              </w:rPr>
              <w:t> </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rPr>
                <w:b/>
                <w:bCs/>
              </w:rPr>
              <w:t> </w:t>
            </w:r>
          </w:p>
        </w:tc>
      </w:tr>
      <w:tr w:rsidTr="00BE732E">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hideMark/>
          </w:tcPr>
          <w:p w:rsidR="00BE732E" w:rsidP="00DA4DF5">
            <w:r>
              <w:rPr>
                <w:b/>
                <w:bCs/>
              </w:rPr>
              <w:t xml:space="preserve">   z toho vplyv </w:t>
            </w:r>
            <w:r>
              <w:rPr>
                <w:b/>
                <w:bCs/>
              </w:rPr>
              <w:t>na ŠR</w:t>
            </w:r>
          </w:p>
        </w:tc>
        <w:tc>
          <w:tcPr>
            <w:tcW w:w="1500" w:type="dxa"/>
            <w:tcBorders>
              <w:top w:val="nil"/>
              <w:left w:val="nil"/>
              <w:bottom w:val="single" w:sz="4" w:space="0" w:color="000000"/>
              <w:right w:val="single" w:sz="4" w:space="0" w:color="000000"/>
            </w:tcBorders>
            <w:hideMark/>
          </w:tcPr>
          <w:p w:rsidR="00BE732E" w:rsidP="00DA4DF5">
            <w:pPr>
              <w:jc w:val="center"/>
            </w:pPr>
            <w:r>
              <w:t> </w:t>
            </w:r>
          </w:p>
        </w:tc>
        <w:tc>
          <w:tcPr>
            <w:tcW w:w="1598" w:type="dxa"/>
            <w:tcBorders>
              <w:top w:val="nil"/>
              <w:left w:val="nil"/>
              <w:bottom w:val="single" w:sz="4" w:space="0" w:color="000000"/>
              <w:right w:val="single" w:sz="4" w:space="0" w:color="000000"/>
            </w:tcBorders>
            <w:hideMark/>
          </w:tcPr>
          <w:p w:rsidR="00BE732E" w:rsidP="00DA4DF5">
            <w:pPr>
              <w:jc w:val="center"/>
            </w:pPr>
            <w:r>
              <w:t> </w:t>
            </w:r>
          </w:p>
        </w:tc>
        <w:tc>
          <w:tcPr>
            <w:tcW w:w="0" w:type="auto"/>
            <w:gridSpan w:val="2"/>
            <w:tcBorders>
              <w:top w:val="nil"/>
              <w:left w:val="nil"/>
              <w:bottom w:val="single" w:sz="4" w:space="0" w:color="000000"/>
              <w:right w:val="single" w:sz="4" w:space="0" w:color="000000"/>
            </w:tcBorders>
            <w:hideMark/>
          </w:tcPr>
          <w:p w:rsidR="00BE732E" w:rsidP="00DA4DF5">
            <w:pPr>
              <w:jc w:val="center"/>
            </w:pPr>
            <w:r>
              <w:t> </w:t>
            </w:r>
          </w:p>
        </w:tc>
        <w:tc>
          <w:tcPr>
            <w:tcW w:w="1550" w:type="dxa"/>
            <w:tcBorders>
              <w:top w:val="nil"/>
              <w:left w:val="nil"/>
              <w:bottom w:val="single" w:sz="4" w:space="0" w:color="000000"/>
              <w:right w:val="single" w:sz="4" w:space="0" w:color="000000"/>
            </w:tcBorders>
            <w:tcMar>
              <w:top w:w="0" w:type="dxa"/>
              <w:left w:w="70" w:type="dxa"/>
              <w:bottom w:w="0" w:type="dxa"/>
              <w:right w:w="70" w:type="dxa"/>
            </w:tcMar>
            <w:hideMark/>
          </w:tcPr>
          <w:p w:rsidR="00BE732E" w:rsidP="00DA4DF5">
            <w:pPr>
              <w:jc w:val="center"/>
            </w:pPr>
            <w:r>
              <w:t> </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vAlign w:val="bottom"/>
            <w:hideMark/>
          </w:tcPr>
          <w:p w:rsidR="00BE732E" w:rsidP="00DA4DF5">
            <w:r>
              <w:t> </w:t>
            </w:r>
          </w:p>
        </w:tc>
      </w:tr>
      <w:tr w:rsidTr="00BE732E">
        <w:tblPrEx>
          <w:tblW w:w="15114" w:type="dxa"/>
          <w:tblCellMar>
            <w:left w:w="0" w:type="dxa"/>
            <w:right w:w="0" w:type="dxa"/>
          </w:tblCellMar>
          <w:tblLook w:val="04A0"/>
        </w:tblPrEx>
        <w:trPr>
          <w:trHeight w:val="255"/>
        </w:trPr>
        <w:tc>
          <w:tcPr>
            <w:tcW w:w="5932" w:type="dxa"/>
            <w:vAlign w:val="bottom"/>
            <w:hideMark/>
          </w:tcPr>
          <w:p w:rsidR="00BE732E" w:rsidP="00DA4DF5">
            <w:r>
              <w:t> </w:t>
            </w:r>
          </w:p>
        </w:tc>
        <w:tc>
          <w:tcPr>
            <w:tcW w:w="1500" w:type="dxa"/>
            <w:vAlign w:val="bottom"/>
            <w:hideMark/>
          </w:tcPr>
          <w:p w:rsidR="00BE732E" w:rsidP="00DA4DF5">
            <w:r>
              <w:t> </w:t>
            </w:r>
          </w:p>
        </w:tc>
        <w:tc>
          <w:tcPr>
            <w:tcW w:w="1598" w:type="dxa"/>
            <w:vAlign w:val="bottom"/>
            <w:hideMark/>
          </w:tcPr>
          <w:p w:rsidR="00BE732E" w:rsidP="00DA4DF5">
            <w:r>
              <w:t> </w:t>
            </w:r>
          </w:p>
        </w:tc>
        <w:tc>
          <w:tcPr>
            <w:tcW w:w="0" w:type="auto"/>
            <w:gridSpan w:val="2"/>
            <w:vAlign w:val="bottom"/>
            <w:hideMark/>
          </w:tcPr>
          <w:p w:rsidR="00BE732E" w:rsidP="00DA4DF5">
            <w:r>
              <w:t> </w:t>
            </w:r>
          </w:p>
        </w:tc>
        <w:tc>
          <w:tcPr>
            <w:tcW w:w="1550" w:type="dxa"/>
            <w:tcMar>
              <w:top w:w="0" w:type="dxa"/>
              <w:left w:w="70" w:type="dxa"/>
              <w:bottom w:w="0" w:type="dxa"/>
              <w:right w:w="70" w:type="dxa"/>
            </w:tcMar>
            <w:vAlign w:val="bottom"/>
            <w:hideMark/>
          </w:tcPr>
          <w:p w:rsidR="00BE732E" w:rsidP="00DA4DF5">
            <w:r>
              <w:t> </w:t>
            </w:r>
          </w:p>
        </w:tc>
        <w:tc>
          <w:tcPr>
            <w:tcW w:w="0" w:type="auto"/>
            <w:gridSpan w:val="2"/>
            <w:tcMar>
              <w:top w:w="0" w:type="dxa"/>
              <w:left w:w="70" w:type="dxa"/>
              <w:bottom w:w="0" w:type="dxa"/>
              <w:right w:w="70" w:type="dxa"/>
            </w:tcMar>
            <w:vAlign w:val="bottom"/>
            <w:hideMark/>
          </w:tcPr>
          <w:p w:rsidR="00BE732E" w:rsidP="00DA4DF5">
            <w:r>
              <w:t> </w:t>
            </w:r>
          </w:p>
        </w:tc>
      </w:tr>
      <w:tr w:rsidTr="00BE732E">
        <w:tblPrEx>
          <w:tblW w:w="15114" w:type="dxa"/>
          <w:tblCellMar>
            <w:left w:w="0" w:type="dxa"/>
            <w:right w:w="0" w:type="dxa"/>
          </w:tblCellMar>
          <w:tblLook w:val="04A0"/>
        </w:tblPrEx>
        <w:trPr>
          <w:trHeight w:val="255"/>
        </w:trPr>
        <w:tc>
          <w:tcPr>
            <w:tcW w:w="5932" w:type="dxa"/>
            <w:hideMark/>
          </w:tcPr>
          <w:p w:rsidR="00BE732E" w:rsidP="00DA4DF5">
            <w:r>
              <w:rPr>
                <w:b/>
                <w:bCs/>
              </w:rPr>
              <w:t>Poznámky:</w:t>
            </w:r>
          </w:p>
        </w:tc>
        <w:tc>
          <w:tcPr>
            <w:tcW w:w="1500" w:type="dxa"/>
            <w:vAlign w:val="bottom"/>
            <w:hideMark/>
          </w:tcPr>
          <w:p w:rsidR="00BE732E" w:rsidP="00DA4DF5">
            <w:r>
              <w:t> </w:t>
            </w:r>
          </w:p>
        </w:tc>
        <w:tc>
          <w:tcPr>
            <w:tcW w:w="1598" w:type="dxa"/>
            <w:vAlign w:val="bottom"/>
            <w:hideMark/>
          </w:tcPr>
          <w:p w:rsidR="00BE732E" w:rsidP="00DA4DF5">
            <w:r>
              <w:t> </w:t>
            </w:r>
          </w:p>
        </w:tc>
        <w:tc>
          <w:tcPr>
            <w:tcW w:w="0" w:type="auto"/>
            <w:gridSpan w:val="2"/>
            <w:vAlign w:val="bottom"/>
            <w:hideMark/>
          </w:tcPr>
          <w:p w:rsidR="00BE732E" w:rsidP="00DA4DF5">
            <w:r>
              <w:t> </w:t>
            </w:r>
          </w:p>
        </w:tc>
        <w:tc>
          <w:tcPr>
            <w:tcW w:w="1550" w:type="dxa"/>
            <w:tcMar>
              <w:top w:w="0" w:type="dxa"/>
              <w:left w:w="70" w:type="dxa"/>
              <w:bottom w:w="0" w:type="dxa"/>
              <w:right w:w="70" w:type="dxa"/>
            </w:tcMar>
            <w:vAlign w:val="bottom"/>
            <w:hideMark/>
          </w:tcPr>
          <w:p w:rsidR="00BE732E" w:rsidP="00DA4DF5">
            <w:r>
              <w:t> </w:t>
            </w:r>
          </w:p>
        </w:tc>
        <w:tc>
          <w:tcPr>
            <w:tcW w:w="0" w:type="auto"/>
            <w:gridSpan w:val="2"/>
            <w:tcMar>
              <w:top w:w="0" w:type="dxa"/>
              <w:left w:w="70" w:type="dxa"/>
              <w:bottom w:w="0" w:type="dxa"/>
              <w:right w:w="70" w:type="dxa"/>
            </w:tcMar>
            <w:vAlign w:val="bottom"/>
            <w:hideMark/>
          </w:tcPr>
          <w:p w:rsidR="00BE732E" w:rsidP="00DA4DF5">
            <w:r>
              <w:t> </w:t>
            </w:r>
          </w:p>
        </w:tc>
      </w:tr>
      <w:tr w:rsidTr="00BE732E">
        <w:tblPrEx>
          <w:tblW w:w="15114" w:type="dxa"/>
          <w:tblCellMar>
            <w:left w:w="0" w:type="dxa"/>
            <w:right w:w="0" w:type="dxa"/>
          </w:tblCellMar>
          <w:tblLook w:val="04A0"/>
        </w:tblPrEx>
        <w:trPr>
          <w:trHeight w:val="255"/>
        </w:trPr>
        <w:tc>
          <w:tcPr>
            <w:tcW w:w="12635" w:type="dxa"/>
            <w:gridSpan w:val="6"/>
            <w:tcMar>
              <w:top w:w="0" w:type="dxa"/>
              <w:left w:w="70" w:type="dxa"/>
              <w:bottom w:w="0" w:type="dxa"/>
              <w:right w:w="70" w:type="dxa"/>
            </w:tcMar>
            <w:hideMark/>
          </w:tcPr>
          <w:p w:rsidR="00BE732E" w:rsidP="00DA4DF5">
            <w:r>
              <w:t>Priemerný mzdový výdavok je tvorený podielom mzdových výdavkov na jedného zamestnanca na jeden kalendárny mesiac bežného roka</w:t>
            </w:r>
          </w:p>
        </w:tc>
        <w:tc>
          <w:tcPr>
            <w:tcW w:w="0" w:type="auto"/>
            <w:gridSpan w:val="2"/>
            <w:tcMar>
              <w:top w:w="0" w:type="dxa"/>
              <w:left w:w="70" w:type="dxa"/>
              <w:bottom w:w="0" w:type="dxa"/>
              <w:right w:w="70" w:type="dxa"/>
            </w:tcMar>
            <w:vAlign w:val="bottom"/>
            <w:hideMark/>
          </w:tcPr>
          <w:p w:rsidR="00BE732E" w:rsidP="00DA4DF5">
            <w:r>
              <w:t> </w:t>
            </w:r>
          </w:p>
        </w:tc>
      </w:tr>
      <w:tr w:rsidTr="00BE732E">
        <w:tblPrEx>
          <w:tblW w:w="15114" w:type="dxa"/>
          <w:tblCellMar>
            <w:left w:w="0" w:type="dxa"/>
            <w:right w:w="0" w:type="dxa"/>
          </w:tblCellMar>
          <w:tblLook w:val="04A0"/>
        </w:tblPrEx>
        <w:trPr>
          <w:trHeight w:val="255"/>
        </w:trPr>
        <w:tc>
          <w:tcPr>
            <w:tcW w:w="15114" w:type="dxa"/>
            <w:gridSpan w:val="8"/>
            <w:tcMar>
              <w:top w:w="0" w:type="dxa"/>
              <w:left w:w="70" w:type="dxa"/>
              <w:bottom w:w="0" w:type="dxa"/>
              <w:right w:w="70" w:type="dxa"/>
            </w:tcMar>
            <w:vAlign w:val="bottom"/>
            <w:hideMark/>
          </w:tcPr>
          <w:p w:rsidR="00BE732E" w:rsidP="00DA4DF5">
            <w: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rsidTr="00BE732E">
        <w:tblPrEx>
          <w:tblW w:w="15114" w:type="dxa"/>
          <w:tblCellMar>
            <w:left w:w="0" w:type="dxa"/>
            <w:right w:w="0" w:type="dxa"/>
          </w:tblCellMar>
          <w:tblLook w:val="04A0"/>
        </w:tblPrEx>
        <w:trPr>
          <w:trHeight w:val="255"/>
        </w:trPr>
        <w:tc>
          <w:tcPr>
            <w:tcW w:w="9594" w:type="dxa"/>
            <w:gridSpan w:val="4"/>
            <w:vAlign w:val="bottom"/>
            <w:hideMark/>
          </w:tcPr>
          <w:p w:rsidR="00BE732E" w:rsidP="00DA4DF5">
            <w:r>
              <w:t>Kategórie 610 a 620 sú z tejto prílohy automaticky prenášané do príslušný</w:t>
            </w:r>
            <w:r>
              <w:t>ch kategórií prílohy „výdavky“</w:t>
            </w:r>
          </w:p>
        </w:tc>
        <w:tc>
          <w:tcPr>
            <w:tcW w:w="1491" w:type="dxa"/>
            <w:tcMar>
              <w:top w:w="0" w:type="dxa"/>
              <w:left w:w="70" w:type="dxa"/>
              <w:bottom w:w="0" w:type="dxa"/>
              <w:right w:w="70" w:type="dxa"/>
            </w:tcMar>
            <w:vAlign w:val="bottom"/>
            <w:hideMark/>
          </w:tcPr>
          <w:p w:rsidR="00BE732E" w:rsidP="00DA4DF5">
            <w:r>
              <w:t> </w:t>
            </w:r>
          </w:p>
        </w:tc>
        <w:tc>
          <w:tcPr>
            <w:tcW w:w="0" w:type="auto"/>
            <w:gridSpan w:val="2"/>
            <w:tcMar>
              <w:top w:w="0" w:type="dxa"/>
              <w:left w:w="70" w:type="dxa"/>
              <w:bottom w:w="0" w:type="dxa"/>
              <w:right w:w="70" w:type="dxa"/>
            </w:tcMar>
            <w:vAlign w:val="bottom"/>
            <w:hideMark/>
          </w:tcPr>
          <w:p w:rsidR="00BE732E" w:rsidP="00DA4DF5">
            <w:r>
              <w:t> </w:t>
            </w:r>
          </w:p>
        </w:tc>
        <w:tc>
          <w:tcPr>
            <w:tcW w:w="1546" w:type="dxa"/>
            <w:tcMar>
              <w:top w:w="0" w:type="dxa"/>
              <w:left w:w="70" w:type="dxa"/>
              <w:bottom w:w="0" w:type="dxa"/>
              <w:right w:w="70" w:type="dxa"/>
            </w:tcMar>
            <w:vAlign w:val="bottom"/>
            <w:hideMark/>
          </w:tcPr>
          <w:p w:rsidR="00BE732E" w:rsidP="00DA4DF5">
            <w:r>
              <w:t> </w:t>
            </w:r>
          </w:p>
        </w:tc>
      </w:tr>
      <w:tr w:rsidTr="00BE732E">
        <w:tblPrEx>
          <w:tblW w:w="15114" w:type="dxa"/>
          <w:tblCellMar>
            <w:left w:w="0" w:type="dxa"/>
            <w:right w:w="0" w:type="dxa"/>
          </w:tblCellMar>
          <w:tblLook w:val="04A0"/>
        </w:tblPrEx>
        <w:tc>
          <w:tcPr>
            <w:tcW w:w="5932" w:type="dxa"/>
            <w:vAlign w:val="center"/>
          </w:tcPr>
          <w:p w:rsidR="00BE732E" w:rsidP="00DA4DF5">
            <w:pPr>
              <w:rPr>
                <w:sz w:val="2"/>
                <w:szCs w:val="2"/>
              </w:rPr>
            </w:pPr>
          </w:p>
        </w:tc>
        <w:tc>
          <w:tcPr>
            <w:tcW w:w="1500" w:type="dxa"/>
            <w:vAlign w:val="center"/>
          </w:tcPr>
          <w:p w:rsidR="00BE732E" w:rsidP="00DA4DF5">
            <w:pPr>
              <w:rPr>
                <w:sz w:val="2"/>
                <w:szCs w:val="2"/>
              </w:rPr>
            </w:pPr>
          </w:p>
        </w:tc>
        <w:tc>
          <w:tcPr>
            <w:tcW w:w="1598" w:type="dxa"/>
            <w:vAlign w:val="center"/>
          </w:tcPr>
          <w:p w:rsidR="00BE732E" w:rsidP="00DA4DF5">
            <w:pPr>
              <w:rPr>
                <w:sz w:val="2"/>
                <w:szCs w:val="2"/>
              </w:rPr>
            </w:pPr>
          </w:p>
        </w:tc>
        <w:tc>
          <w:tcPr>
            <w:tcW w:w="564" w:type="dxa"/>
            <w:vAlign w:val="center"/>
          </w:tcPr>
          <w:p w:rsidR="00BE732E" w:rsidP="00DA4DF5">
            <w:pPr>
              <w:rPr>
                <w:sz w:val="2"/>
                <w:szCs w:val="2"/>
              </w:rPr>
            </w:pPr>
          </w:p>
        </w:tc>
        <w:tc>
          <w:tcPr>
            <w:tcW w:w="1491" w:type="dxa"/>
            <w:vAlign w:val="center"/>
          </w:tcPr>
          <w:p w:rsidR="00BE732E" w:rsidP="00DA4DF5">
            <w:pPr>
              <w:rPr>
                <w:sz w:val="2"/>
                <w:szCs w:val="2"/>
              </w:rPr>
            </w:pPr>
          </w:p>
        </w:tc>
        <w:tc>
          <w:tcPr>
            <w:tcW w:w="1550" w:type="dxa"/>
            <w:vAlign w:val="center"/>
          </w:tcPr>
          <w:p w:rsidR="00BE732E" w:rsidP="00DA4DF5">
            <w:pPr>
              <w:rPr>
                <w:sz w:val="2"/>
                <w:szCs w:val="2"/>
              </w:rPr>
            </w:pPr>
          </w:p>
        </w:tc>
        <w:tc>
          <w:tcPr>
            <w:tcW w:w="933" w:type="dxa"/>
            <w:vAlign w:val="center"/>
          </w:tcPr>
          <w:p w:rsidR="00BE732E" w:rsidP="00DA4DF5">
            <w:pPr>
              <w:rPr>
                <w:sz w:val="2"/>
                <w:szCs w:val="2"/>
              </w:rPr>
            </w:pPr>
          </w:p>
        </w:tc>
        <w:tc>
          <w:tcPr>
            <w:tcW w:w="1546" w:type="dxa"/>
            <w:vAlign w:val="center"/>
          </w:tcPr>
          <w:p w:rsidR="00BE732E" w:rsidP="00DA4DF5">
            <w:pPr>
              <w:rPr>
                <w:sz w:val="2"/>
                <w:szCs w:val="2"/>
              </w:rPr>
            </w:pPr>
          </w:p>
        </w:tc>
      </w:tr>
    </w:tbl>
    <w:p w:rsidR="00BE732E" w:rsidP="00DA4DF5">
      <w:r>
        <w:t> </w:t>
      </w:r>
    </w:p>
    <w:p w:rsidR="00BE732E" w:rsidP="00DA4DF5">
      <w:r>
        <w:rPr>
          <w:b/>
          <w:bCs/>
        </w:rPr>
        <w:t>* počet zamestnancov,  mzdy a poistné rozpísať podľa spôsobu odmeňovania (napr. policajti, colníci ...)</w:t>
      </w:r>
    </w:p>
    <w:p w:rsidR="00BE732E" w:rsidP="00DA4DF5">
      <w:r>
        <w:rPr>
          <w:b/>
          <w:bCs/>
        </w:rPr>
        <w:t> </w:t>
      </w:r>
    </w:p>
    <w:p w:rsidR="00BE732E" w:rsidP="00DA4DF5">
      <w:pPr>
        <w:rPr>
          <w:rFonts w:ascii="Calibri" w:hAnsi="Calibri"/>
          <w:sz w:val="22"/>
          <w:szCs w:val="22"/>
          <w:lang w:eastAsia="en-US"/>
        </w:rPr>
      </w:pPr>
    </w:p>
    <w:p w:rsidR="00E749E6" w:rsidP="001642D4">
      <w:pPr>
        <w:jc w:val="left"/>
        <w:sectPr>
          <w:pgSz w:w="15840" w:h="12240" w:orient="landscape"/>
          <w:pgMar w:top="1418" w:right="1418" w:bottom="1418" w:left="1418" w:header="709" w:footer="709" w:gutter="0"/>
          <w:cols w:space="708"/>
        </w:sectPr>
      </w:pPr>
    </w:p>
    <w:p w:rsidR="00E749E6" w:rsidP="001642D4">
      <w:pPr>
        <w:spacing w:before="100" w:beforeAutospacing="1" w:after="100" w:afterAutospacing="1"/>
        <w:jc w:val="center"/>
        <w:rPr>
          <w:sz w:val="28"/>
          <w:szCs w:val="28"/>
        </w:rPr>
      </w:pPr>
      <w:r>
        <w:rPr>
          <w:sz w:val="28"/>
          <w:szCs w:val="28"/>
        </w:rPr>
        <w:t>Vplyvy na informatizáciu spoločnosti</w:t>
      </w:r>
    </w:p>
    <w:p w:rsidR="00E749E6" w:rsidP="001642D4">
      <w:pPr>
        <w:spacing w:before="100" w:beforeAutospacing="1" w:after="100" w:afterAutospacing="1"/>
        <w:rPr>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
      <w:tblGrid>
        <w:gridCol w:w="5235"/>
        <w:gridCol w:w="3780"/>
      </w:tblGrid>
      <w:tr w:rsidTr="00E749E6">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hideMark/>
          </w:tcPr>
          <w:p w:rsidR="00E749E6" w:rsidP="001642D4">
            <w:pPr>
              <w:spacing w:line="20" w:lineRule="atLeast"/>
              <w:rPr>
                <w:b/>
                <w:bCs/>
              </w:rPr>
            </w:pPr>
            <w:r>
              <w:rPr>
                <w:b/>
                <w:bCs/>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cPr>
          <w:p w:rsidR="00E749E6" w:rsidP="001642D4">
            <w:pPr>
              <w:jc w:val="left"/>
              <w:rPr>
                <w:b/>
                <w:bCs/>
                <w:i/>
                <w:iCs/>
                <w:sz w:val="2"/>
                <w:szCs w:val="2"/>
              </w:rPr>
            </w:pP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hideMark/>
          </w:tcPr>
          <w:p w:rsidR="00E749E6" w:rsidP="001642D4">
            <w:pPr>
              <w:spacing w:line="20" w:lineRule="atLeast"/>
              <w:rPr>
                <w:b/>
                <w:bCs/>
              </w:rPr>
            </w:pPr>
            <w:r>
              <w:rPr>
                <w:b/>
                <w:bCs/>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cPr>
          <w:p w:rsidR="00E749E6" w:rsidP="001642D4">
            <w:pPr>
              <w:jc w:val="left"/>
              <w:rPr>
                <w:i/>
                <w:iCs/>
                <w:sz w:val="2"/>
                <w:szCs w:val="2"/>
              </w:rPr>
            </w:pP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r>
              <w:rPr>
                <w:b/>
                <w:bCs/>
              </w:rPr>
              <w:t>6.1.</w:t>
            </w:r>
            <w:r>
              <w:t xml:space="preserve"> Rozširujú alebo inovujú  sa existujúce alebo vytvárajú sa či zavádzajú  sa nové elektronické služby?</w:t>
            </w:r>
          </w:p>
          <w:p w:rsidR="00E749E6" w:rsidP="001642D4">
            <w:pPr>
              <w:spacing w:line="20" w:lineRule="atLeast"/>
            </w:pPr>
            <w:r>
              <w:rPr>
                <w:i/>
                <w:iCs/>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cPr>
          <w:p w:rsidR="00E749E6" w:rsidP="001642D4">
            <w:pPr>
              <w:jc w:val="center"/>
            </w:pPr>
          </w:p>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r>
              <w:rPr>
                <w:b/>
                <w:bCs/>
              </w:rPr>
              <w:t>6.2.</w:t>
            </w:r>
            <w:r>
              <w:t xml:space="preserve"> Vytvárajú sa podmienky pre sémantickú interoperabilitu?</w:t>
            </w:r>
          </w:p>
          <w:p w:rsidR="00E749E6" w:rsidP="001642D4">
            <w:pPr>
              <w:spacing w:line="20" w:lineRule="atLeast"/>
            </w:pPr>
            <w:r>
              <w:rPr>
                <w:i/>
                <w:iCs/>
              </w:rPr>
              <w:t>(Popíšte spôsob jej zabezpečenia.)</w:t>
            </w:r>
          </w:p>
        </w:tc>
        <w:tc>
          <w:tcPr>
            <w:tcW w:w="3780" w:type="dxa"/>
            <w:tcBorders>
              <w:top w:val="single" w:sz="4" w:space="0" w:color="auto"/>
              <w:left w:val="single" w:sz="4" w:space="0" w:color="auto"/>
              <w:bottom w:val="single" w:sz="4" w:space="0" w:color="auto"/>
              <w:right w:val="single" w:sz="4" w:space="0" w:color="auto"/>
            </w:tcBorders>
          </w:tcPr>
          <w:p w:rsidR="00E749E6" w:rsidP="001642D4">
            <w:pPr>
              <w:jc w:val="center"/>
            </w:pPr>
          </w:p>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hideMark/>
          </w:tcPr>
          <w:p w:rsidR="00E749E6" w:rsidP="001642D4">
            <w:pPr>
              <w:spacing w:line="20" w:lineRule="atLeast"/>
              <w:rPr>
                <w:b/>
                <w:bCs/>
                <w:color w:val="FFFFFF"/>
              </w:rPr>
            </w:pPr>
            <w:r>
              <w:rPr>
                <w:b/>
                <w:bCs/>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vAlign w:val="center"/>
          </w:tcPr>
          <w:p w:rsidR="00E749E6" w:rsidP="001642D4">
            <w:pPr>
              <w:jc w:val="left"/>
              <w:rPr>
                <w:b/>
                <w:bCs/>
                <w:i/>
                <w:iCs/>
                <w:sz w:val="2"/>
                <w:szCs w:val="2"/>
              </w:rPr>
            </w:pP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r>
              <w:rPr>
                <w:b/>
                <w:bCs/>
              </w:rPr>
              <w:t>6.3.</w:t>
            </w:r>
            <w:r>
              <w:t xml:space="preserve"> Zabezpečuje sa vzdelávanie v oblasti počítačovej gramotnosti a rozširovanie vedomostí o IKT?</w:t>
            </w:r>
          </w:p>
          <w:p w:rsidR="00E749E6" w:rsidP="001642D4">
            <w:pPr>
              <w:spacing w:line="20" w:lineRule="atLeast"/>
            </w:pPr>
            <w:r>
              <w:rPr>
                <w:i/>
                <w:iCs/>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vAlign w:val="center"/>
            <w:hideMark/>
          </w:tcPr>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r>
              <w:rPr>
                <w:b/>
                <w:bCs/>
              </w:rPr>
              <w:t>6.4.</w:t>
            </w:r>
            <w:r>
              <w:t xml:space="preserve"> Zabezpečuje sa rozvoj elektronického vzdelávania?</w:t>
            </w:r>
          </w:p>
          <w:p w:rsidR="00E749E6" w:rsidP="001642D4">
            <w:pPr>
              <w:spacing w:line="20" w:lineRule="atLeast"/>
              <w:rPr>
                <w:color w:val="FFFFFF"/>
              </w:rPr>
            </w:pPr>
            <w:r>
              <w:rPr>
                <w:i/>
                <w:iCs/>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cPr>
          <w:p w:rsidR="00E749E6" w:rsidP="001642D4">
            <w:pPr>
              <w:jc w:val="center"/>
            </w:pPr>
          </w:p>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r>
              <w:rPr>
                <w:b/>
                <w:bCs/>
              </w:rPr>
              <w:t>6.5.</w:t>
            </w:r>
            <w:r>
              <w:t xml:space="preserve"> Zabezpečuje sa podporná a propagačná aktivita zameraná na zvyšovanie povedomia o informatizácii a IKT?</w:t>
            </w:r>
          </w:p>
          <w:p w:rsidR="00E749E6" w:rsidP="001642D4">
            <w:pPr>
              <w:spacing w:line="20" w:lineRule="atLeast"/>
              <w:rPr>
                <w:color w:val="FFFFFF"/>
              </w:rPr>
            </w:pPr>
            <w:r>
              <w:rPr>
                <w:i/>
                <w:iCs/>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cPr>
          <w:p w:rsidR="00E749E6" w:rsidP="001642D4">
            <w:pPr>
              <w:jc w:val="center"/>
            </w:pPr>
          </w:p>
          <w:p w:rsidR="00E749E6" w:rsidP="001642D4">
            <w:pPr>
              <w:jc w:val="center"/>
            </w:pPr>
          </w:p>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r>
              <w:rPr>
                <w:b/>
                <w:bCs/>
              </w:rPr>
              <w:t>6.6.</w:t>
            </w:r>
            <w:r>
              <w:t xml:space="preserve"> Zabezpečuje/zohľadňuje/zlepšuje sa prístup znevýhodnených osôb k službám informačnej spoločnosti?</w:t>
            </w:r>
          </w:p>
          <w:p w:rsidR="00E749E6" w:rsidP="001642D4">
            <w:pPr>
              <w:spacing w:line="20" w:lineRule="atLeast"/>
            </w:pPr>
            <w:r>
              <w:rPr>
                <w:i/>
                <w:iCs/>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cPr>
          <w:p w:rsidR="00E749E6" w:rsidP="001642D4">
            <w:pPr>
              <w:jc w:val="center"/>
            </w:pPr>
          </w:p>
          <w:p w:rsidR="00E749E6" w:rsidP="001642D4">
            <w:pPr>
              <w:jc w:val="center"/>
            </w:pPr>
          </w:p>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402"/>
        </w:trPr>
        <w:tc>
          <w:tcPr>
            <w:tcW w:w="5235" w:type="dxa"/>
            <w:tcBorders>
              <w:top w:val="single" w:sz="4" w:space="0" w:color="auto"/>
              <w:left w:val="single" w:sz="4" w:space="0" w:color="auto"/>
              <w:bottom w:val="single" w:sz="4" w:space="0" w:color="auto"/>
              <w:right w:val="single" w:sz="4" w:space="0" w:color="auto"/>
            </w:tcBorders>
            <w:shd w:val="clear" w:color="auto" w:fill="C0C0C0"/>
            <w:hideMark/>
          </w:tcPr>
          <w:p w:rsidR="00E749E6" w:rsidP="001642D4">
            <w:pPr>
              <w:spacing w:line="20" w:lineRule="atLeast"/>
              <w:rPr>
                <w:b/>
                <w:bCs/>
              </w:rPr>
            </w:pPr>
            <w:r>
              <w:rPr>
                <w:b/>
                <w:bCs/>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cPr>
          <w:p w:rsidR="00E749E6" w:rsidP="001642D4">
            <w:pPr>
              <w:jc w:val="left"/>
              <w:rPr>
                <w:b/>
                <w:bCs/>
                <w:i/>
                <w:iCs/>
                <w:sz w:val="2"/>
                <w:szCs w:val="2"/>
              </w:rPr>
            </w:pP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r>
              <w:rPr>
                <w:b/>
                <w:bCs/>
              </w:rPr>
              <w:t>6.7.</w:t>
            </w:r>
            <w:r>
              <w:t xml:space="preserve"> Rozširuje, inovuje, vytvára alebo zavádza sa nový informačný systém?</w:t>
            </w:r>
          </w:p>
          <w:p w:rsidR="00E749E6" w:rsidP="001642D4">
            <w:pPr>
              <w:spacing w:line="20" w:lineRule="atLeast"/>
            </w:pPr>
            <w:r>
              <w:rPr>
                <w:i/>
                <w:iCs/>
              </w:rPr>
              <w:t>(Uveďte jeho funkciu.)</w:t>
            </w:r>
          </w:p>
        </w:tc>
        <w:tc>
          <w:tcPr>
            <w:tcW w:w="3780" w:type="dxa"/>
            <w:tcBorders>
              <w:top w:val="single" w:sz="4" w:space="0" w:color="auto"/>
              <w:left w:val="single" w:sz="4" w:space="0" w:color="auto"/>
              <w:bottom w:val="single" w:sz="4" w:space="0" w:color="auto"/>
              <w:right w:val="single" w:sz="4" w:space="0" w:color="auto"/>
            </w:tcBorders>
            <w:hideMark/>
          </w:tcPr>
          <w:p w:rsidR="00E749E6" w:rsidP="001642D4">
            <w:pPr>
              <w:jc w:val="left"/>
              <w:rPr>
                <w:i/>
                <w:iCs/>
                <w:sz w:val="2"/>
                <w:szCs w:val="2"/>
              </w:rPr>
            </w:pPr>
            <w:r>
              <w:t>Áno, vytvára sa „Register plôch rýchlorastúcich drevín“ na poľnohospodárskej pôde, ktorý vedie a aktualizuje obvodný pozemkový úrad, so zámerom nutnosti vykonávania odborného dohľadu nad zásadami ochrany pôdy, vrátane dohľadu nad vykonaním spätnej rekultivácie poľnohospodárskej pôdy.</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r>
              <w:rPr>
                <w:b/>
                <w:bCs/>
              </w:rPr>
              <w:t>6.8.</w:t>
            </w:r>
            <w:r>
              <w:t xml:space="preserve"> Rozširuje sa prístupnosť k internetu?</w:t>
            </w:r>
          </w:p>
          <w:p w:rsidR="00E749E6" w:rsidP="001642D4">
            <w:pPr>
              <w:spacing w:line="20" w:lineRule="atLeast"/>
            </w:pPr>
            <w:r>
              <w:rPr>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hideMark/>
          </w:tcPr>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pPr>
              <w:jc w:val="left"/>
            </w:pPr>
            <w:r>
              <w:rPr>
                <w:b/>
                <w:bCs/>
              </w:rPr>
              <w:t>6.9.</w:t>
            </w:r>
            <w:r>
              <w:t xml:space="preserve"> Rozširuje sa prístupnosť k elektronickým službám?</w:t>
            </w:r>
          </w:p>
          <w:p w:rsidR="00E749E6" w:rsidP="001642D4">
            <w:pPr>
              <w:spacing w:line="20" w:lineRule="atLeast"/>
              <w:jc w:val="left"/>
            </w:pPr>
            <w:r>
              <w:rPr>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hideMark/>
          </w:tcPr>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r>
              <w:rPr>
                <w:b/>
                <w:bCs/>
              </w:rPr>
              <w:t>6.10.</w:t>
            </w:r>
            <w:r>
              <w:t xml:space="preserve"> Zabezpečuje sa technická interoperabilita?</w:t>
            </w:r>
          </w:p>
          <w:p w:rsidR="00E749E6" w:rsidP="001642D4">
            <w:pPr>
              <w:spacing w:line="20" w:lineRule="atLeast"/>
            </w:pPr>
            <w:r>
              <w:rPr>
                <w:i/>
                <w:iCs/>
              </w:rPr>
              <w:t>(Uveďte spôsob jej zabezpečenia.)</w:t>
            </w:r>
          </w:p>
        </w:tc>
        <w:tc>
          <w:tcPr>
            <w:tcW w:w="3780" w:type="dxa"/>
            <w:tcBorders>
              <w:top w:val="single" w:sz="4" w:space="0" w:color="auto"/>
              <w:left w:val="single" w:sz="4" w:space="0" w:color="auto"/>
              <w:bottom w:val="single" w:sz="4" w:space="0" w:color="auto"/>
              <w:right w:val="single" w:sz="4" w:space="0" w:color="auto"/>
            </w:tcBorders>
            <w:hideMark/>
          </w:tcPr>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r>
              <w:rPr>
                <w:b/>
                <w:bCs/>
              </w:rPr>
              <w:t>6.11.</w:t>
            </w:r>
            <w:r>
              <w:t xml:space="preserve"> Zvyšuje sa bezpečnosť IT?</w:t>
            </w:r>
          </w:p>
          <w:p w:rsidR="00E749E6" w:rsidP="001642D4">
            <w:pPr>
              <w:spacing w:line="20" w:lineRule="atLeast"/>
            </w:pPr>
            <w:r>
              <w:t>(</w:t>
            </w:r>
            <w:r>
              <w:rPr>
                <w:i/>
                <w:iCs/>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hideMark/>
          </w:tcPr>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tcPr>
          <w:p w:rsidR="00E749E6" w:rsidP="001642D4">
            <w:r>
              <w:rPr>
                <w:b/>
                <w:bCs/>
              </w:rPr>
              <w:t>6.12.</w:t>
            </w:r>
            <w:r>
              <w:t xml:space="preserve"> Rozširuje sa technická infraštruktúra?</w:t>
            </w:r>
          </w:p>
          <w:p w:rsidR="00E749E6" w:rsidP="001642D4">
            <w:pPr>
              <w:spacing w:line="20" w:lineRule="atLeast"/>
              <w:rPr>
                <w:i/>
                <w:iCs/>
              </w:rPr>
            </w:pPr>
            <w:r>
              <w:t>(</w:t>
            </w:r>
            <w:r>
              <w:rPr>
                <w:i/>
                <w:iCs/>
              </w:rPr>
              <w:t>Uveďte stručný popis zavádzanej infraštruktúry.)</w:t>
            </w:r>
          </w:p>
          <w:p w:rsidR="00E749E6" w:rsidP="001642D4">
            <w:pPr>
              <w:spacing w:line="20" w:lineRule="atLeast"/>
            </w:pPr>
          </w:p>
        </w:tc>
        <w:tc>
          <w:tcPr>
            <w:tcW w:w="3780" w:type="dxa"/>
            <w:tcBorders>
              <w:top w:val="single" w:sz="4" w:space="0" w:color="auto"/>
              <w:left w:val="single" w:sz="4" w:space="0" w:color="auto"/>
              <w:bottom w:val="single" w:sz="4" w:space="0" w:color="auto"/>
              <w:right w:val="single" w:sz="4" w:space="0" w:color="auto"/>
            </w:tcBorders>
            <w:hideMark/>
          </w:tcPr>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hideMark/>
          </w:tcPr>
          <w:p w:rsidR="00E749E6" w:rsidP="001642D4">
            <w:pPr>
              <w:spacing w:line="20" w:lineRule="atLeast"/>
              <w:jc w:val="left"/>
              <w:rPr>
                <w:b/>
                <w:bCs/>
              </w:rPr>
            </w:pPr>
            <w:r>
              <w:rPr>
                <w:b/>
                <w:bCs/>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cPr>
          <w:p w:rsidR="00E749E6" w:rsidP="001642D4">
            <w:pPr>
              <w:jc w:val="center"/>
              <w:rPr>
                <w:b/>
                <w:bCs/>
                <w:sz w:val="2"/>
                <w:szCs w:val="2"/>
              </w:rPr>
            </w:pP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r>
              <w:rPr>
                <w:b/>
                <w:bCs/>
              </w:rPr>
              <w:t>6.13.</w:t>
            </w:r>
            <w:r>
              <w:t xml:space="preserve"> Predpokla</w:t>
            </w:r>
            <w:r>
              <w:t>dajú sa zmeny v riadení procesu informatizácie?</w:t>
            </w:r>
          </w:p>
          <w:p w:rsidR="00E749E6" w:rsidP="001642D4">
            <w:pPr>
              <w:spacing w:line="20" w:lineRule="atLeast"/>
            </w:pPr>
            <w:r>
              <w:rPr>
                <w:i/>
                <w:iCs/>
              </w:rPr>
              <w:t>(Uveďte popis zmien.)</w:t>
            </w:r>
          </w:p>
        </w:tc>
        <w:tc>
          <w:tcPr>
            <w:tcW w:w="3780" w:type="dxa"/>
            <w:tcBorders>
              <w:top w:val="single" w:sz="4" w:space="0" w:color="auto"/>
              <w:left w:val="single" w:sz="4" w:space="0" w:color="auto"/>
              <w:bottom w:val="single" w:sz="4" w:space="0" w:color="auto"/>
              <w:right w:val="single" w:sz="4" w:space="0" w:color="auto"/>
            </w:tcBorders>
          </w:tcPr>
          <w:p w:rsidR="00E749E6" w:rsidP="001642D4">
            <w:pPr>
              <w:jc w:val="center"/>
            </w:pPr>
          </w:p>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hideMark/>
          </w:tcPr>
          <w:p w:rsidR="00E749E6" w:rsidP="001642D4">
            <w:pPr>
              <w:spacing w:line="20" w:lineRule="atLeast"/>
              <w:rPr>
                <w:b/>
                <w:bCs/>
              </w:rPr>
            </w:pPr>
            <w:r>
              <w:rPr>
                <w:b/>
                <w:bCs/>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cPr>
          <w:p w:rsidR="00E749E6" w:rsidP="001642D4">
            <w:pPr>
              <w:jc w:val="left"/>
              <w:rPr>
                <w:b/>
                <w:bCs/>
                <w:i/>
                <w:iCs/>
                <w:sz w:val="2"/>
                <w:szCs w:val="2"/>
              </w:rPr>
            </w:pP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pPr>
              <w:jc w:val="left"/>
            </w:pPr>
            <w:r>
              <w:rPr>
                <w:b/>
                <w:bCs/>
              </w:rPr>
              <w:t>6.14.</w:t>
            </w:r>
            <w:r>
              <w:t xml:space="preserve"> Vyžaduje si proces informatizácie  finančné investície?</w:t>
            </w:r>
          </w:p>
          <w:p w:rsidR="00E749E6" w:rsidP="001642D4">
            <w:pPr>
              <w:spacing w:line="20" w:lineRule="atLeast"/>
              <w:jc w:val="left"/>
            </w:pPr>
            <w:r>
              <w:rPr>
                <w:i/>
                <w:iCs/>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cPr>
          <w:p w:rsidR="00E749E6" w:rsidP="001642D4">
            <w:pPr>
              <w:jc w:val="center"/>
            </w:pPr>
          </w:p>
          <w:p w:rsidR="00E749E6" w:rsidP="001642D4">
            <w:pPr>
              <w:jc w:val="center"/>
              <w:rPr>
                <w:i/>
                <w:iCs/>
                <w:sz w:val="2"/>
                <w:szCs w:val="2"/>
              </w:rPr>
            </w:pPr>
            <w:r>
              <w:t>Nie.</w:t>
            </w: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hideMark/>
          </w:tcPr>
          <w:p w:rsidR="00E749E6" w:rsidP="001642D4">
            <w:pPr>
              <w:spacing w:line="20" w:lineRule="atLeast"/>
              <w:rPr>
                <w:b/>
                <w:bCs/>
              </w:rPr>
            </w:pPr>
            <w:r>
              <w:rPr>
                <w:b/>
                <w:bCs/>
              </w:rPr>
              <w:t>Legislatívne prostredie procesu</w:t>
            </w:r>
            <w:r>
              <w:rPr>
                <w:b/>
                <w:bCs/>
              </w:rPr>
              <w:t xml:space="preserve">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cPr>
          <w:p w:rsidR="00E749E6" w:rsidP="001642D4">
            <w:pPr>
              <w:jc w:val="left"/>
              <w:rPr>
                <w:b/>
                <w:bCs/>
                <w:i/>
                <w:iCs/>
                <w:sz w:val="2"/>
                <w:szCs w:val="2"/>
              </w:rPr>
            </w:pPr>
          </w:p>
        </w:tc>
      </w:tr>
      <w:tr w:rsidTr="00E749E6">
        <w:tblPrEx>
          <w:tblW w:w="9015" w:type="dxa"/>
          <w:tblInd w:w="55" w:type="dxa"/>
          <w:tblCellMar>
            <w:top w:w="28" w:type="dxa"/>
            <w:left w:w="70" w:type="dxa"/>
            <w:bottom w:w="28" w:type="dxa"/>
            <w:right w:w="70" w:type="dxa"/>
          </w:tblCellMar>
          <w:tblLook w:val="04A0"/>
        </w:tblPrEx>
        <w:trPr>
          <w:trHeight w:val="20"/>
        </w:trPr>
        <w:tc>
          <w:tcPr>
            <w:tcW w:w="5235" w:type="dxa"/>
            <w:tcBorders>
              <w:top w:val="single" w:sz="4" w:space="0" w:color="auto"/>
              <w:left w:val="single" w:sz="4" w:space="0" w:color="auto"/>
              <w:bottom w:val="single" w:sz="4" w:space="0" w:color="auto"/>
              <w:right w:val="single" w:sz="4" w:space="0" w:color="auto"/>
            </w:tcBorders>
            <w:hideMark/>
          </w:tcPr>
          <w:p w:rsidR="00E749E6" w:rsidP="001642D4">
            <w:pPr>
              <w:jc w:val="left"/>
            </w:pPr>
            <w:r>
              <w:rPr>
                <w:b/>
                <w:bCs/>
              </w:rPr>
              <w:t>6.15.</w:t>
            </w:r>
            <w:r>
              <w:t xml:space="preserve"> Predpokladá nelegislatívny materiál potrebu úpravy legislatívneho prostredia  procesu informatizácie?</w:t>
            </w:r>
          </w:p>
          <w:p w:rsidR="00E749E6" w:rsidP="001642D4">
            <w:pPr>
              <w:spacing w:line="20" w:lineRule="atLeast"/>
              <w:jc w:val="left"/>
            </w:pPr>
            <w:r>
              <w:rPr>
                <w:i/>
                <w:iCs/>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cPr>
          <w:p w:rsidR="00E749E6" w:rsidP="001642D4">
            <w:pPr>
              <w:jc w:val="center"/>
            </w:pPr>
          </w:p>
          <w:p w:rsidR="00E749E6" w:rsidP="001642D4">
            <w:pPr>
              <w:jc w:val="center"/>
              <w:rPr>
                <w:i/>
                <w:iCs/>
                <w:sz w:val="2"/>
                <w:szCs w:val="2"/>
              </w:rPr>
            </w:pPr>
            <w:r>
              <w:t>Nie.</w:t>
            </w:r>
          </w:p>
        </w:tc>
      </w:tr>
    </w:tbl>
    <w:p w:rsidR="00E749E6" w:rsidP="001642D4">
      <w:pPr>
        <w:tabs>
          <w:tab w:val="num" w:pos="1080"/>
        </w:tabs>
        <w:spacing w:after="120"/>
        <w:rPr>
          <w:b/>
          <w:bCs/>
        </w:rPr>
      </w:pPr>
    </w:p>
    <w:p w:rsidR="00E749E6" w:rsidP="001642D4">
      <w:pPr>
        <w:pStyle w:val="Heading3"/>
        <w:keepLines w:val="0"/>
      </w:pPr>
      <w:r>
        <w:t>Osobitná časť</w:t>
      </w:r>
    </w:p>
    <w:p w:rsidR="00E749E6" w:rsidRPr="006D33B7" w:rsidP="001642D4">
      <w:pPr>
        <w:pStyle w:val="Heading3"/>
        <w:keepLines w:val="0"/>
        <w:rPr>
          <w:rFonts w:cs="Times New Roman"/>
          <w:szCs w:val="24"/>
        </w:rPr>
      </w:pPr>
      <w:r w:rsidRPr="006D33B7">
        <w:rPr>
          <w:rFonts w:cs="Times New Roman"/>
          <w:szCs w:val="24"/>
        </w:rPr>
        <w:t>K článku I</w:t>
      </w:r>
    </w:p>
    <w:p w:rsidR="00E749E6" w:rsidRPr="006D33B7" w:rsidP="001642D4">
      <w:pPr>
        <w:pStyle w:val="Heading3"/>
        <w:keepLines w:val="0"/>
        <w:rPr>
          <w:rFonts w:cs="Times New Roman"/>
          <w:szCs w:val="24"/>
          <w:lang w:val="sk-SK"/>
        </w:rPr>
      </w:pPr>
      <w:r w:rsidRPr="006D33B7" w:rsidR="006D33B7">
        <w:rPr>
          <w:rFonts w:cs="Times New Roman"/>
          <w:szCs w:val="24"/>
        </w:rPr>
        <w:t>K bodu 1</w:t>
      </w:r>
    </w:p>
    <w:p w:rsidR="00E749E6" w:rsidRPr="006D33B7" w:rsidP="00DA4DF5">
      <w:pPr>
        <w:pStyle w:val="odsek"/>
      </w:pPr>
      <w:r w:rsidRPr="006D33B7">
        <w:t>Navrhuje sa vypustiť prílohu č. 3 zo zákona, ktorá bude predmetom úpravy vo vyhláške MPRV SR k</w:t>
      </w:r>
      <w:r w:rsidR="00A00F3F">
        <w:t> </w:t>
      </w:r>
      <w:r w:rsidRPr="006D33B7">
        <w:t>zákonu</w:t>
      </w:r>
      <w:r w:rsidR="00A00F3F">
        <w:t>.</w:t>
      </w:r>
    </w:p>
    <w:p w:rsidR="00E749E6" w:rsidRPr="006D33B7" w:rsidP="00DA4DF5">
      <w:pPr>
        <w:pStyle w:val="odsek"/>
        <w:ind w:firstLine="0"/>
        <w:rPr>
          <w:b/>
        </w:rPr>
      </w:pPr>
      <w:r w:rsidRPr="006D33B7">
        <w:rPr>
          <w:b/>
        </w:rPr>
        <w:t>K bodom 2 až 5</w:t>
      </w:r>
    </w:p>
    <w:p w:rsidR="00E749E6" w:rsidRPr="006D33B7" w:rsidP="00DA4DF5">
      <w:pPr>
        <w:pStyle w:val="odsek"/>
      </w:pPr>
      <w:r w:rsidRPr="006D33B7">
        <w:t>Navrhuje sa vypustiť príloha č. 1 zo zákona, ktorá bude predmetom úpravy vo vyhláške MPRV SR k zákonu.</w:t>
      </w:r>
    </w:p>
    <w:p w:rsidR="00E749E6" w:rsidRPr="006D33B7" w:rsidP="00DA4DF5">
      <w:pPr>
        <w:pStyle w:val="odsek"/>
        <w:ind w:firstLine="0"/>
        <w:rPr>
          <w:b/>
        </w:rPr>
      </w:pPr>
      <w:r w:rsidR="00A00F3F">
        <w:rPr>
          <w:b/>
        </w:rPr>
        <w:t>K bodu</w:t>
      </w:r>
      <w:r w:rsidRPr="006D33B7">
        <w:rPr>
          <w:b/>
        </w:rPr>
        <w:t xml:space="preserve"> 6 </w:t>
      </w:r>
    </w:p>
    <w:p w:rsidR="00E749E6" w:rsidRPr="006D33B7" w:rsidP="00DA4DF5">
      <w:pPr>
        <w:pStyle w:val="odsek"/>
      </w:pPr>
      <w:r w:rsidRPr="006D33B7">
        <w:t>Navrhuje sa vypustiť príloha č. 2 zo zákona, ktorá bude predmetom úpravy vo vyhláške MPRV SR k zákonu.</w:t>
      </w:r>
    </w:p>
    <w:p w:rsidR="00E749E6" w:rsidRPr="006D33B7" w:rsidP="00DA4DF5">
      <w:pPr>
        <w:pStyle w:val="odsek"/>
        <w:ind w:firstLine="0"/>
        <w:rPr>
          <w:b/>
        </w:rPr>
      </w:pPr>
      <w:r w:rsidR="00A00F3F">
        <w:rPr>
          <w:b/>
        </w:rPr>
        <w:t>K bodu 7</w:t>
      </w:r>
    </w:p>
    <w:p w:rsidR="00E749E6" w:rsidRPr="006D33B7" w:rsidP="00DA4DF5">
      <w:pPr>
        <w:pStyle w:val="odsek"/>
      </w:pPr>
      <w:r w:rsidRPr="006D33B7">
        <w:t>Ide o presnejšie gramatické vyjadrenie textu.</w:t>
      </w:r>
    </w:p>
    <w:p w:rsidR="00E749E6" w:rsidRPr="00A00F3F" w:rsidP="001642D4">
      <w:pPr>
        <w:pStyle w:val="Heading3"/>
        <w:keepLines w:val="0"/>
        <w:rPr>
          <w:lang w:val="sk-SK"/>
        </w:rPr>
      </w:pPr>
      <w:r w:rsidR="00A00F3F">
        <w:t xml:space="preserve">K bodu </w:t>
      </w:r>
      <w:r w:rsidR="00A00F3F">
        <w:rPr>
          <w:lang w:val="sk-SK"/>
        </w:rPr>
        <w:t>8</w:t>
      </w:r>
    </w:p>
    <w:p w:rsidR="00E749E6" w:rsidRPr="006D33B7" w:rsidP="00DA4DF5">
      <w:pPr>
        <w:pStyle w:val="odsek"/>
      </w:pPr>
      <w:r w:rsidRPr="006D33B7">
        <w:t>Navrhuje sa doplniť §</w:t>
      </w:r>
      <w:r w:rsidRPr="006D33B7" w:rsidR="00DD74D9">
        <w:t xml:space="preserve"> </w:t>
      </w:r>
      <w:r w:rsidRPr="006D33B7">
        <w:t>9 o odseky 3 a </w:t>
      </w:r>
      <w:r w:rsidR="00A00F3F">
        <w:t>5</w:t>
      </w:r>
      <w:r w:rsidRPr="006D33B7">
        <w:t xml:space="preserve"> tak, aby orgán ochrany poľnohospodárskej pôdy vydával </w:t>
      </w:r>
      <w:r w:rsidRPr="006D33B7" w:rsidR="00AA5080">
        <w:t xml:space="preserve">záväzne </w:t>
      </w:r>
      <w:r w:rsidRPr="006D33B7">
        <w:t>stanovisko k navrhovanej zmene jedného  poľnohospodárskeho druhu pozemku na iný  poľnohospodársky druh pozemku (napríklad k zmene ornej pôdy na záhradu, vinice na trvalý trávny porast),  so zreteľom na ochranu najkvalitnejších poľnohospodárskych pôd (často pod závlahou), a tak predchádzal nevhodnému situovaniu stavieb a celých stavebných komplexov v intenzívne obhospodarovanej poľnohospodárskej krajine v širokom extraviláne.  Ďalej sa navrhuje, aby orgán ochrany poľnohospodárskej pôdy vydával</w:t>
      </w:r>
      <w:r w:rsidRPr="006D33B7" w:rsidR="00AA5080">
        <w:t xml:space="preserve"> záväzné</w:t>
      </w:r>
      <w:r w:rsidRPr="006D33B7">
        <w:t xml:space="preserve"> stanovisko k zmene nepoľnohospodárskeho druhu pozemku na poľnohospodársky druh pozemku. Stanoviská orgánov ochrany poľnohospodárskej pôdy v týchto prípadoch sú potrebné na minimalizáciu rozšírenej nesprávnej praxe predprípravy poľnohospodárskych pozemkov pre zmenu ich funkčného využitia. Zmenu druhu pozemku možno v katastri vyznačiť iba na základe kladného</w:t>
      </w:r>
      <w:r w:rsidRPr="006D33B7" w:rsidR="00AA5080">
        <w:t xml:space="preserve"> záväzného</w:t>
      </w:r>
      <w:r w:rsidRPr="006D33B7">
        <w:t xml:space="preserve"> stanoviska orgánu ochrany poľnohospodárskej pôdy.</w:t>
      </w:r>
      <w:r w:rsidRPr="006D33B7">
        <w:rPr>
          <w:b/>
        </w:rPr>
        <w:t xml:space="preserve"> </w:t>
      </w:r>
      <w:r w:rsidRPr="006D33B7">
        <w:t>Orgán ochrany poľnohospodárskej pôdy vydá záporné stanovisko k navrhovanej zmene poľnohospodárskeho druhu pozem</w:t>
      </w:r>
      <w:r w:rsidRPr="006D33B7">
        <w:t>ku v prípade, že bude v rozpore so zásadami ochrany pôdy, napríklad navrhovaná zmena by mohla prispieť k erózii pôdy, k zosuvu pôdy, ohroziť ekologickú stabilitu územia.</w:t>
      </w:r>
      <w:r w:rsidRPr="006D33B7" w:rsidR="00C078EB">
        <w:t xml:space="preserve"> Návrh správny orgán prešetrí v teréne a spracuje podrobný zápis, ktorý tvorí prílohu spisovej dokumentácie.</w:t>
      </w:r>
    </w:p>
    <w:p w:rsidR="00E749E6" w:rsidRPr="006D33B7" w:rsidP="00DA4DF5">
      <w:pPr>
        <w:pStyle w:val="odsek"/>
      </w:pPr>
      <w:r w:rsidRPr="006D33B7">
        <w:t xml:space="preserve">Prílohou žiadosti podľa odseku 3 sú základné identifikačné údaje o pozemku, najmä technické podklady katastra potrebné na vyznačenie zmeny poľnohospodárskeho druhu pozemku v katastri. </w:t>
      </w:r>
      <w:r w:rsidRPr="006D33B7" w:rsidR="00495F7B">
        <w:t>Pri návrhu zmeny poľnohospodárskeho druh pozemku na ovocný sad žiadateľ predkladá aj vyjadrenia vlastníkov a spracovaný projekt na zriadenie ovocného sadu s odborným stanoviskom Ústredného kontrolného a skúšobného ústavu poľnohospodárskeho.</w:t>
      </w:r>
      <w:r w:rsidRPr="006D33B7" w:rsidR="00495F7B">
        <w:rPr>
          <w:b/>
          <w:color w:val="FF0000"/>
        </w:rPr>
        <w:t xml:space="preserve"> </w:t>
      </w:r>
      <w:r w:rsidRPr="006D33B7" w:rsidR="00495F7B">
        <w:t xml:space="preserve">Podklady </w:t>
      </w:r>
      <w:r w:rsidRPr="006D33B7">
        <w:t xml:space="preserve">zabezpečí žiadateľ. </w:t>
      </w:r>
    </w:p>
    <w:p w:rsidR="00E749E6" w:rsidRPr="00A00F3F" w:rsidP="001642D4">
      <w:pPr>
        <w:pStyle w:val="Heading3"/>
        <w:keepLines w:val="0"/>
        <w:rPr>
          <w:lang w:val="sk-SK"/>
        </w:rPr>
      </w:pPr>
      <w:r w:rsidR="00A00F3F">
        <w:t xml:space="preserve">K bodu </w:t>
      </w:r>
      <w:r w:rsidR="00A00F3F">
        <w:rPr>
          <w:lang w:val="sk-SK"/>
        </w:rPr>
        <w:t>9</w:t>
      </w:r>
    </w:p>
    <w:p w:rsidR="00E749E6" w:rsidRPr="006D33B7" w:rsidP="00DA4DF5">
      <w:pPr>
        <w:pStyle w:val="odsek"/>
      </w:pPr>
      <w:r w:rsidRPr="006D33B7">
        <w:t>V § 10 sa navrhuje  spresnenie, zjednodušenie a sfunkčnenie konania pri zmenách druhov pozemkov pri rozhodovaní v pochybnostiach, či pozemok je alebo nie je poľnohospodárskou pôdou. Dôležité bolo spresniť, že predmetom konania sú pozemky, na ktorých vlastnosti pôdneho profilu boli zmenené prirodzenou cestou vplyvom prírodných podmienok a prírodných procesov v danom území, a pozemky, ktoré možno charakterizovať ako  dlhodobo zalesnené poľnohospodárske pôdy tzv. „biele plochy“, vhodné na preradenie do lesných pozemkov  (v prírode už  sú súčasťou lesných ekosystémov). Cieľom je usporiadanie a zosúladenie skutočného duhu  pozemku v teréne s jeho evidenciou v katastri nehnuteľností.</w:t>
      </w:r>
    </w:p>
    <w:p w:rsidR="00E749E6" w:rsidRPr="006D33B7" w:rsidP="00DA4DF5">
      <w:pPr>
        <w:pStyle w:val="odsek"/>
      </w:pPr>
      <w:r w:rsidRPr="006D33B7" w:rsidR="00F1718D">
        <w:t>V ustanovení odseku</w:t>
      </w:r>
      <w:r w:rsidRPr="006D33B7">
        <w:t xml:space="preserve"> 2 písm. b)  boli  taxatívne zadefinované nepoľnohospodárske druhy pozemkov, ktorých sa rozhodovanie v pochybnostiach či pozemok je alebo nie je poľnohospodárskou pôdou týka. </w:t>
      </w:r>
      <w:r w:rsidRPr="006D33B7" w:rsidR="00C078EB">
        <w:t>Štandar</w:t>
      </w:r>
      <w:r w:rsidRPr="006D33B7" w:rsidR="00DD74D9">
        <w:t>d</w:t>
      </w:r>
      <w:r w:rsidRPr="006D33B7" w:rsidR="00C078EB">
        <w:t xml:space="preserve">nou praxou je, že správny orgán návrh prešetrí v teréne a spracuje podrobný zápis, ktorý tvorí prílohu spisovej dokumentácie. </w:t>
      </w:r>
      <w:r w:rsidRPr="006D33B7">
        <w:t>Predmetom rozhodnutia orgánu ochrany poľnohospodárskej pôdy podľa §</w:t>
      </w:r>
      <w:r w:rsidRPr="006D33B7" w:rsidR="00DD74D9">
        <w:t xml:space="preserve"> </w:t>
      </w:r>
      <w:r w:rsidRPr="006D33B7">
        <w:t>10 ods.2 písm. b) nie je lesný pozemok  so zreteľom na ustanovenie §</w:t>
      </w:r>
      <w:r w:rsidRPr="006D33B7" w:rsidR="00DD74D9">
        <w:t xml:space="preserve"> </w:t>
      </w:r>
      <w:r w:rsidRPr="006D33B7">
        <w:t>3 zákona 326/2005 Z. z. o lesoch.</w:t>
      </w:r>
    </w:p>
    <w:p w:rsidR="00E749E6" w:rsidRPr="006D33B7" w:rsidP="00DA4DF5">
      <w:pPr>
        <w:pStyle w:val="odsek"/>
      </w:pPr>
      <w:r w:rsidRPr="006D33B7">
        <w:t>So zreteľom na stovky a často až tisícky dotknutých vlastníkov riešených pozemkov, z</w:t>
      </w:r>
      <w:r w:rsidR="006D33B7">
        <w:t> </w:t>
      </w:r>
      <w:r w:rsidRPr="006D33B7">
        <w:t>dôvodu</w:t>
      </w:r>
      <w:r w:rsidR="006D33B7">
        <w:t xml:space="preserve"> </w:t>
      </w:r>
      <w:r w:rsidRPr="006D33B7">
        <w:t>zabezpečenia priechodnosti, rýchlosti a zákonnosti konania sa rozhodnutia správneho orgánu je navrhované, aby boli oznamované aj verejnou vyhláškou súbežne s doručovaním do vlastných rúk.</w:t>
      </w:r>
    </w:p>
    <w:p w:rsidR="00AA5080" w:rsidRPr="006D33B7" w:rsidP="00DA4DF5">
      <w:pPr>
        <w:pStyle w:val="odsek"/>
      </w:pPr>
      <w:r w:rsidRPr="006D33B7">
        <w:t>V § 11 sa ustanovuje rozšírená možnosť podávania žiadosti o zmenu druhu pozemku na účely súladu druhu pozemku v teréne s jeho evidenciou v katastri nehnuteľnosti</w:t>
      </w:r>
    </w:p>
    <w:p w:rsidR="00E749E6" w:rsidRPr="006D33B7" w:rsidP="00DA4DF5">
      <w:pPr>
        <w:pStyle w:val="odsek"/>
      </w:pPr>
      <w:r w:rsidRPr="006D33B7">
        <w:t>Z dôvodu zabezpečenia priechodnosti, rýchlosti a zákonnosti konania sa rozhodnutia budú doručovať pri počte nad 20 účastníkov konania verejnou vyhláškou. Súčasne sa ustanovila povinnosť orgánu štátnej správy preskúmať návrh v teréne, a ak nezistí dôvod na zmenu druhu pozemku, aby túto skutočnosť oznámil listom nie rozhodnutím.</w:t>
      </w:r>
    </w:p>
    <w:p w:rsidR="00E749E6" w:rsidRPr="00A00F3F" w:rsidP="001642D4">
      <w:pPr>
        <w:pStyle w:val="Heading3"/>
        <w:keepLines w:val="0"/>
        <w:rPr>
          <w:lang w:val="sk-SK"/>
        </w:rPr>
      </w:pPr>
      <w:r w:rsidR="00A00F3F">
        <w:t>K bodu 1</w:t>
      </w:r>
      <w:r w:rsidR="00A00F3F">
        <w:rPr>
          <w:lang w:val="sk-SK"/>
        </w:rPr>
        <w:t>0</w:t>
      </w:r>
    </w:p>
    <w:p w:rsidR="00E749E6" w:rsidRPr="006D33B7" w:rsidP="00DA4DF5">
      <w:pPr>
        <w:pStyle w:val="odsek"/>
      </w:pPr>
      <w:r w:rsidRPr="006D33B7">
        <w:t>Ustanovenie § 12 sa navrhuje  doplniť  o zásadu  a povinnosť chrániť najkvalitnejšie poľnohospodárske pôdy v katastrálnom území pri posudzovaní návrhov nepoľnohospodárskeho použitia poľnohospodárskej pôdy (napríklad stavebné zámery, zámery ťažby), na všetkých úrovniach konania správneho orgánu, či už ide o vyjadrenie, stanovisko, súhlas alebo rozhodnutie.</w:t>
      </w:r>
    </w:p>
    <w:p w:rsidR="00E749E6" w:rsidRPr="00A00F3F" w:rsidP="001642D4">
      <w:pPr>
        <w:pStyle w:val="Heading3"/>
        <w:keepLines w:val="0"/>
        <w:rPr>
          <w:lang w:val="sk-SK"/>
        </w:rPr>
      </w:pPr>
      <w:r w:rsidR="0095196E">
        <w:br w:type="page"/>
      </w:r>
      <w:r w:rsidRPr="006D33B7">
        <w:t>K bod</w:t>
      </w:r>
      <w:r w:rsidRPr="006D33B7" w:rsidR="00AA5080">
        <w:t>om 1</w:t>
      </w:r>
      <w:r w:rsidR="00A00F3F">
        <w:rPr>
          <w:lang w:val="sk-SK"/>
        </w:rPr>
        <w:t>1</w:t>
      </w:r>
      <w:r w:rsidR="00A00F3F">
        <w:t xml:space="preserve"> a 1</w:t>
      </w:r>
      <w:r w:rsidR="00A00F3F">
        <w:rPr>
          <w:lang w:val="sk-SK"/>
        </w:rPr>
        <w:t>2</w:t>
      </w:r>
    </w:p>
    <w:p w:rsidR="00E749E6" w:rsidRPr="006D33B7" w:rsidP="00DA4DF5">
      <w:pPr>
        <w:pStyle w:val="odsek"/>
        <w:rPr>
          <w:bCs/>
          <w:iCs/>
        </w:rPr>
      </w:pPr>
      <w:r w:rsidRPr="006D33B7">
        <w:t xml:space="preserve">V ustanovení </w:t>
      </w:r>
      <w:r w:rsidRPr="006D33B7" w:rsidR="0095196E">
        <w:t>§</w:t>
      </w:r>
      <w:r w:rsidR="0095196E">
        <w:t xml:space="preserve"> 1</w:t>
      </w:r>
      <w:r w:rsidRPr="006D33B7" w:rsidR="0095196E">
        <w:t xml:space="preserve">2 </w:t>
      </w:r>
      <w:r w:rsidRPr="006D33B7">
        <w:t xml:space="preserve">ods. 2 sa zákonná povinnosť chrániť </w:t>
      </w:r>
      <w:r w:rsidRPr="006D33B7">
        <w:rPr>
          <w:bCs/>
        </w:rPr>
        <w:t xml:space="preserve">najkvalitnejšie poľnohospodárske pôdy v katastrálnom území </w:t>
      </w:r>
      <w:r w:rsidRPr="006D33B7">
        <w:t>sa vzťahuje nielen na orgány ochrany poľnohospodárskej pôdy, ale na každého kto navrhuje stavebné a iné zámery na poľnohospodárskej pôde (spracovateľ, obstarávateľ územnoplánovacej dokumentácie, investor...) vrátane povinnosti riešenia návrhu nepoľnohospodárskeho použitia poľnohospodárskej pôdy alternatívne. Špecifikuje sa, že ide o ochranu najkvalitnejších poľnohospodárskych pôd  v príslušnom katastrálnom území podľa kódu chránených bonitovaných pôdnoekologických jednotiek, ktoré súčasne podliehajú povinnosti platenia odvodov za odňatie.</w:t>
      </w:r>
    </w:p>
    <w:p w:rsidR="00E749E6" w:rsidRPr="006D33B7" w:rsidP="00DA4DF5">
      <w:pPr>
        <w:pStyle w:val="odsek"/>
      </w:pPr>
      <w:r w:rsidRPr="006D33B7" w:rsidR="00DD74D9">
        <w:t>V</w:t>
      </w:r>
      <w:r w:rsidRPr="006D33B7">
        <w:t xml:space="preserve"> súlade so zásadami  ochrany poľnohospodárskej pôdy navrhuje sa nový spôsob ochrany najkvalitnejšej a najprodukčnejších poľnohospodárskych pôdy v príslušnom katastrálnom území. </w:t>
      </w:r>
    </w:p>
    <w:p w:rsidR="00E749E6" w:rsidRPr="006D33B7" w:rsidP="00DA4DF5">
      <w:pPr>
        <w:pStyle w:val="odsek"/>
      </w:pPr>
      <w:r w:rsidRPr="006D33B7">
        <w:t xml:space="preserve">Návrh vychádza z potreby chrániť „inštitútom odvodov“ najkvalitnejšiu poľnohospodársku pôdu v katastrálnom území proporcionálne na celom území Slovenskej republiky. Takýto cieľ je možné dosiahnuť individuálnou ochranou  taxatívne vymenovaných kódov bonitovaných pôdnoekologických jednotiek (BPEJ) v jednotlivých katastrálnych územiach (KÚ). </w:t>
      </w:r>
    </w:p>
    <w:p w:rsidR="00E749E6" w:rsidRPr="006D33B7" w:rsidP="00DA4DF5">
      <w:pPr>
        <w:pStyle w:val="odsek"/>
      </w:pPr>
      <w:r w:rsidRPr="006D33B7">
        <w:t xml:space="preserve">Chránené kódy BPEJ v jednotlivých KÚ sú zatriedené na základe deviatich skupín kvality a v rámci každej skupiny kvality podľa hrubého ročného rentového efektu a  bodovej hodnoty produkčného potenciálu. V každom KÚ je na tomto princípe chránená poľnohospodárska pôda s najlepšou bonitou. Ak výmera takto chránenej pôdy tvorí menej ako 30% výmery poľnohospodárskej pôdy v danom KÚ, pripočítava sa výmera pôdy s ďalšou najlepšou bonitou. Týmto spôsobom sa vytvoril pre každé KÚ zoznam chránených BPEJ, ktoré v zmysle uvedených pravidiel tvoria minimálne 30% výmery poľnohospodárskej pôdy v danom KÚ. Výsledkom navrhovaného riešenia je aktualizovaná tabuľka kvalitatívnych skupín (kódov BPEJ)  s priradením odvodu za odňatie poľnohospodárskej pôdy podľa skupiny kvality v </w:t>
      </w:r>
      <w:r w:rsidRPr="006D33B7">
        <w:rPr>
          <w:bCs/>
          <w:iCs/>
        </w:rPr>
        <w:t>€/m</w:t>
      </w:r>
      <w:r w:rsidRPr="006D33B7">
        <w:rPr>
          <w:bCs/>
          <w:iCs/>
          <w:vertAlign w:val="superscript"/>
        </w:rPr>
        <w:t>2</w:t>
      </w:r>
      <w:r w:rsidRPr="006D33B7">
        <w:rPr>
          <w:bCs/>
          <w:iCs/>
        </w:rPr>
        <w:t xml:space="preserve">, t.j. tabuľka so zoznamom spoplatnených BPEJ pre každé katastrálne územie v rámci územia SR. </w:t>
      </w:r>
    </w:p>
    <w:p w:rsidR="00AF2EC8" w:rsidRPr="00A00F3F" w:rsidP="001642D4">
      <w:pPr>
        <w:pStyle w:val="Heading3"/>
        <w:keepLines w:val="0"/>
        <w:rPr>
          <w:lang w:val="sk-SK"/>
        </w:rPr>
      </w:pPr>
      <w:r w:rsidR="00A00F3F">
        <w:t>K bodu 1</w:t>
      </w:r>
      <w:r w:rsidR="00A00F3F">
        <w:rPr>
          <w:lang w:val="sk-SK"/>
        </w:rPr>
        <w:t>3</w:t>
      </w:r>
    </w:p>
    <w:p w:rsidR="00E749E6" w:rsidRPr="006D33B7" w:rsidP="00DA4DF5">
      <w:pPr>
        <w:pStyle w:val="odsek"/>
      </w:pPr>
      <w:r w:rsidRPr="006D33B7" w:rsidR="00AF2EC8">
        <w:t xml:space="preserve">Ustanovuje sa </w:t>
      </w:r>
      <w:r w:rsidRPr="006D33B7">
        <w:t xml:space="preserve"> </w:t>
      </w:r>
      <w:r w:rsidRPr="006D33B7" w:rsidR="00AF2EC8">
        <w:t>zjednodušenie konania správneho orgánu pri posudzovaní návrhu stavieb železničných dráh na poľnohospodárskej pôde</w:t>
      </w:r>
    </w:p>
    <w:p w:rsidR="00113E9A" w:rsidRPr="00A00F3F" w:rsidP="001642D4">
      <w:pPr>
        <w:pStyle w:val="Heading3"/>
        <w:keepLines w:val="0"/>
        <w:rPr>
          <w:lang w:val="sk-SK"/>
        </w:rPr>
      </w:pPr>
      <w:r w:rsidRPr="006D33B7">
        <w:t>K bodu 1</w:t>
      </w:r>
      <w:r w:rsidR="00A00F3F">
        <w:rPr>
          <w:lang w:val="sk-SK"/>
        </w:rPr>
        <w:t>4</w:t>
      </w:r>
    </w:p>
    <w:p w:rsidR="00A52288" w:rsidRPr="006D33B7" w:rsidP="00DA4DF5">
      <w:pPr>
        <w:pStyle w:val="odsek"/>
      </w:pPr>
      <w:r w:rsidRPr="006D33B7" w:rsidR="00E749E6">
        <w:t>S cieľom zjednodušenia konania pri odnímaní poľnohospodárskej pôdy pre stavebné účely v hraniciach zastavaného územia obce, bolo snahou rezortu pôdohospodárstva usmerniť investorov stavieb do využívania nezastavaných plôch – prelúk  v hraniciach zastavaného územia obce. Z praktických skúseností a šetrní v skutočne zastavanom území obcí a miest bolo zistené, že ide o nevyužívané zanedbané preluky poľnohospodárskej i nepoľnohospodárskej pôdy od niekoľko desiatok m</w:t>
      </w:r>
      <w:r w:rsidRPr="006D33B7" w:rsidR="00E749E6">
        <w:rPr>
          <w:vertAlign w:val="superscript"/>
        </w:rPr>
        <w:t>2</w:t>
      </w:r>
      <w:r w:rsidRPr="006D33B7" w:rsidR="00E749E6">
        <w:t xml:space="preserve"> až do cca 5000 m</w:t>
      </w:r>
      <w:r w:rsidRPr="006D33B7" w:rsidR="00E749E6">
        <w:rPr>
          <w:vertAlign w:val="superscript"/>
        </w:rPr>
        <w:t>2</w:t>
      </w:r>
      <w:r w:rsidRPr="006D33B7" w:rsidR="00E749E6">
        <w:t xml:space="preserve">. </w:t>
      </w:r>
      <w:r w:rsidRPr="006D33B7">
        <w:t xml:space="preserve">Ide o poľnohospodárske druhy pozemkov neefektívne pre rastlinnú výrobu, často kontaminované, a zanedbané.  </w:t>
      </w:r>
      <w:r w:rsidRPr="006D33B7" w:rsidR="00E749E6">
        <w:t>Navrhuje sa, aby správny orgán vydával iba stanovisko podľa</w:t>
      </w:r>
      <w:r w:rsidRPr="006D33B7" w:rsidR="00F1718D">
        <w:t xml:space="preserve"> § 17</w:t>
      </w:r>
      <w:r w:rsidRPr="006D33B7" w:rsidR="00E749E6">
        <w:t xml:space="preserve"> ods. 3 zákona (namiesto rozhodnutia) pri odnímaní poľnohospodárskej pôdy </w:t>
      </w:r>
      <w:r w:rsidRPr="006D33B7">
        <w:t>a zmene druhu pozemku  do výmery 5000 m</w:t>
      </w:r>
      <w:r w:rsidRPr="006D33B7">
        <w:rPr>
          <w:vertAlign w:val="superscript"/>
        </w:rPr>
        <w:t>2</w:t>
      </w:r>
      <w:r w:rsidRPr="006D33B7">
        <w:t xml:space="preserve">, ak </w:t>
      </w:r>
      <w:r w:rsidRPr="006D33B7" w:rsidR="00E749E6">
        <w:t>sa pozemok nachádza v hraniciach z</w:t>
      </w:r>
      <w:r w:rsidRPr="006D33B7">
        <w:t>astavaného územia obce (§</w:t>
      </w:r>
      <w:r w:rsidRPr="006D33B7" w:rsidR="00DD74D9">
        <w:t xml:space="preserve"> </w:t>
      </w:r>
      <w:r w:rsidRPr="006D33B7">
        <w:t>2 písmeno i) zákona č. 220/2004 Z</w:t>
      </w:r>
      <w:r w:rsidRPr="006D33B7" w:rsidR="00113E9A">
        <w:t xml:space="preserve"> </w:t>
      </w:r>
      <w:r w:rsidRPr="006D33B7">
        <w:t xml:space="preserve">.z., </w:t>
      </w:r>
      <w:r w:rsidRPr="006D33B7" w:rsidR="00113E9A">
        <w:t>hranica</w:t>
      </w:r>
      <w:r w:rsidRPr="006D33B7" w:rsidR="009D7E5B">
        <w:t xml:space="preserve"> </w:t>
      </w:r>
      <w:r w:rsidRPr="006D33B7" w:rsidR="00E749E6">
        <w:t>evidovaná v katastri nehnuteľností) .</w:t>
      </w:r>
      <w:r w:rsidRPr="006D33B7" w:rsidR="00C078EB">
        <w:t xml:space="preserve"> Návrh správny orgán prešetrí v teréne a spracuje podrobný zápis, ktorý tvorí prílohu spisovej dokumentácie.</w:t>
      </w:r>
    </w:p>
    <w:p w:rsidR="00E749E6" w:rsidRPr="00BC6F7E" w:rsidP="001642D4">
      <w:pPr>
        <w:pStyle w:val="Heading3"/>
        <w:keepLines w:val="0"/>
        <w:rPr>
          <w:lang w:val="sk-SK"/>
        </w:rPr>
      </w:pPr>
      <w:r w:rsidR="0095196E">
        <w:br w:type="page"/>
      </w:r>
      <w:r w:rsidR="00BC6F7E">
        <w:t>K bodu 1</w:t>
      </w:r>
      <w:r w:rsidR="00BC6F7E">
        <w:rPr>
          <w:lang w:val="sk-SK"/>
        </w:rPr>
        <w:t>5</w:t>
      </w:r>
    </w:p>
    <w:p w:rsidR="00E749E6" w:rsidRPr="006D33B7" w:rsidP="00DA4DF5">
      <w:pPr>
        <w:pStyle w:val="odsek"/>
      </w:pPr>
      <w:r w:rsidRPr="006D33B7">
        <w:t>Navrhuje sa doplnenie dvoch prípadov poľnohospodárskych účelových stavieb (so zastavanou plochou do 25 m</w:t>
      </w:r>
      <w:r w:rsidRPr="006D33B7">
        <w:rPr>
          <w:vertAlign w:val="superscript"/>
        </w:rPr>
        <w:t>2</w:t>
      </w:r>
      <w:r w:rsidRPr="006D33B7">
        <w:t>), pri ktorých nie je potrebné vydať rozhodnutie o odňatí poľnohospodárskej pôdy a postačuje iba stanovisko správneho orgánu. Ide o stavby záhradný domček a viničný domček (napríklad hajloch), ktoré svojím charakterom  a funkčným určením stavby na 50 % slúžia poľnohospodárskej rastlinnej prvovýrobe.</w:t>
      </w:r>
      <w:r w:rsidRPr="006D33B7" w:rsidR="00C078EB">
        <w:t xml:space="preserve"> Návrh správny orgán prešetrí v teréne a spracuje podrobný zápis, ktorý tvorí prílohu spisovej dokumentácie. </w:t>
      </w:r>
    </w:p>
    <w:p w:rsidR="00BC6F7E" w:rsidRPr="00BC6F7E" w:rsidP="001642D4">
      <w:pPr>
        <w:pStyle w:val="Heading3"/>
        <w:keepLines w:val="0"/>
        <w:rPr>
          <w:rFonts w:cs="Times New Roman"/>
          <w:szCs w:val="24"/>
          <w:lang w:val="sk-SK"/>
        </w:rPr>
      </w:pPr>
      <w:r>
        <w:rPr>
          <w:rFonts w:cs="Times New Roman"/>
          <w:szCs w:val="24"/>
        </w:rPr>
        <w:t xml:space="preserve">K bodu </w:t>
      </w:r>
      <w:r>
        <w:rPr>
          <w:rFonts w:cs="Times New Roman"/>
          <w:szCs w:val="24"/>
          <w:lang w:val="sk-SK"/>
        </w:rPr>
        <w:t>16</w:t>
      </w:r>
    </w:p>
    <w:p w:rsidR="00BC6F7E" w:rsidRPr="006D33B7" w:rsidP="001642D4">
      <w:pPr>
        <w:pStyle w:val="odsek"/>
      </w:pPr>
      <w:r w:rsidRPr="006D33B7">
        <w:t>Navrhuje sa legislatívno-technická úprava vzhľadom na vypustenie výnimiek od povinnosti platenia odvodov za odňatie poľnohospodárskej pôdy.</w:t>
      </w:r>
    </w:p>
    <w:p w:rsidR="00E749E6" w:rsidRPr="00BC6F7E" w:rsidP="001642D4">
      <w:pPr>
        <w:pStyle w:val="Heading3"/>
        <w:keepLines w:val="0"/>
        <w:rPr>
          <w:lang w:val="sk-SK"/>
        </w:rPr>
      </w:pPr>
      <w:r w:rsidR="0095196E">
        <w:t>K bodu 17</w:t>
      </w:r>
    </w:p>
    <w:p w:rsidR="00E749E6" w:rsidRPr="006D33B7" w:rsidP="001642D4">
      <w:pPr>
        <w:pStyle w:val="odsek"/>
      </w:pPr>
      <w:r w:rsidR="0095196E">
        <w:t>Navrhuje sa legislatívno-</w:t>
      </w:r>
      <w:r w:rsidRPr="006D33B7">
        <w:t>technická úprava účelovo viazaná na možné predĺženie 10 ročnej doby dočasného odňatia poľnohospodárskej pôdy pre zriadenú slnečnej elektráreň, a to novým rozhodnutím správneho orgánu v tej istej veci najviac o </w:t>
      </w:r>
      <w:r w:rsidRPr="006D33B7" w:rsidR="00113E9A">
        <w:t>desať</w:t>
      </w:r>
      <w:r w:rsidRPr="006D33B7">
        <w:t xml:space="preserve"> rokov, ak predmetom sú odňatia sú pôdy zaradené podľa kódu BPEJ do 6. až 9. skupiny kvality.</w:t>
      </w:r>
      <w:r w:rsidRPr="006D33B7" w:rsidR="00435137">
        <w:t xml:space="preserve"> Návrh správny orgán prešetrí v teréne a spracuje podrobný zápis, ktorý tvorí prílohu spisovej dokumentácie.</w:t>
      </w:r>
      <w:r w:rsidRPr="006D33B7" w:rsidR="00113E9A">
        <w:t xml:space="preserve"> Novú žiadosť vo veci podáva žiadateľ v poslednom roku pred ukončením právoplatného rozhodnutia.</w:t>
      </w:r>
    </w:p>
    <w:p w:rsidR="00E749E6" w:rsidRPr="00BC6F7E" w:rsidP="001642D4">
      <w:pPr>
        <w:pStyle w:val="Heading3"/>
        <w:keepLines w:val="0"/>
        <w:rPr>
          <w:lang w:val="sk-SK"/>
        </w:rPr>
      </w:pPr>
      <w:r w:rsidR="0095196E">
        <w:t xml:space="preserve">K bodu </w:t>
      </w:r>
      <w:r w:rsidR="00BC6F7E">
        <w:t>1</w:t>
      </w:r>
      <w:r w:rsidR="00BC6F7E">
        <w:rPr>
          <w:lang w:val="sk-SK"/>
        </w:rPr>
        <w:t>8</w:t>
      </w:r>
    </w:p>
    <w:p w:rsidR="00E749E6" w:rsidRPr="006D33B7" w:rsidP="001642D4">
      <w:pPr>
        <w:pStyle w:val="odsek"/>
      </w:pPr>
      <w:r w:rsidRPr="006D33B7">
        <w:t xml:space="preserve">Navrhuje sa zmena straty platnosti rozhodnutia o trvalom odňatí z piatich na </w:t>
      </w:r>
      <w:r w:rsidRPr="006D33B7" w:rsidR="00113E9A">
        <w:t>tri</w:t>
      </w:r>
      <w:r w:rsidRPr="006D33B7">
        <w:t xml:space="preserve"> roky, čím sa dosiahne časový súlad s platnosťou príslušného územného rozhodnutia o umiestnení stavby. Tým sa obmedzí  špekulatívne obchádzanie zákona o ochrane poľnohospodárskej pôdy a vydanie ďalšieho územného rozhodnutia pre nový stavebný zámer na tých istých pozemkoch,  v rozpore s rozhodnutím o odňatí poľnohospodárskej pôdy. V tomto zmysle podkladom pre územné rozhodnutie podľa stavebného zákona a pre rozhodnutie o odňatí poľnohospodárskej pôdy podľa zákona o ochrane pôdy </w:t>
      </w:r>
      <w:r w:rsidRPr="006D33B7" w:rsidR="00113E9A">
        <w:t>projektová dokumentácia stavby v tej istej veci.</w:t>
      </w:r>
    </w:p>
    <w:p w:rsidR="00E749E6" w:rsidRPr="00BC6F7E" w:rsidP="001642D4">
      <w:pPr>
        <w:pStyle w:val="Heading3"/>
        <w:keepLines w:val="0"/>
        <w:rPr>
          <w:lang w:val="sk-SK"/>
        </w:rPr>
      </w:pPr>
      <w:r w:rsidR="0095196E">
        <w:t xml:space="preserve">K bodu </w:t>
      </w:r>
      <w:r w:rsidR="00BC6F7E">
        <w:rPr>
          <w:lang w:val="sk-SK"/>
        </w:rPr>
        <w:t>19</w:t>
      </w:r>
    </w:p>
    <w:p w:rsidR="00E749E6" w:rsidRPr="006D33B7" w:rsidP="001642D4">
      <w:pPr>
        <w:pStyle w:val="odsek"/>
      </w:pPr>
      <w:r w:rsidRPr="006D33B7">
        <w:t xml:space="preserve">Navrhuje sa zrušenie  ustanovenia § 17a. V tomto paragrafe sa taxatívne ustanovuje značný rozsah výnimiek oslobodenia odňatia od platenia odvodov. Tieto výnimky predstavujú cca. 70 % všetkých záberov poľnohospodárskej pôdy. </w:t>
      </w:r>
      <w:r w:rsidRPr="006D33B7" w:rsidR="00EE6795">
        <w:t>Zmenu rozsahu výnimiek z oslobodenia ustanoví nariadenie vlády SR v rozsahu podľa bodu 33. tohto návrhu zákona.</w:t>
      </w:r>
    </w:p>
    <w:p w:rsidR="00E749E6" w:rsidRPr="00BC6F7E" w:rsidP="001642D4">
      <w:pPr>
        <w:pStyle w:val="Heading3"/>
        <w:keepLines w:val="0"/>
        <w:rPr>
          <w:lang w:val="sk-SK"/>
        </w:rPr>
      </w:pPr>
      <w:r w:rsidRPr="006D33B7">
        <w:t xml:space="preserve">K bodu </w:t>
      </w:r>
      <w:r w:rsidRPr="006D33B7" w:rsidR="00BC6F7E">
        <w:t>2</w:t>
      </w:r>
      <w:r w:rsidR="00BC6F7E">
        <w:rPr>
          <w:lang w:val="sk-SK"/>
        </w:rPr>
        <w:t>0</w:t>
      </w:r>
    </w:p>
    <w:p w:rsidR="00E749E6" w:rsidRPr="006D33B7" w:rsidP="001642D4">
      <w:pPr>
        <w:pStyle w:val="odsek"/>
      </w:pPr>
      <w:r w:rsidRPr="006D33B7">
        <w:t xml:space="preserve">Vkladá sa nový § 18a, ktorý ustanovujú zásady a postup pri zakladaní porastu rýchlorastúcich drevín na poľnohospodárskej pôde. Ustanovuje sa register plôch  porastov rýchlorastúcich drevín na poľnohospodárskej pôde, ktorý vedie obvodný pozemkový úrad. Centrálny register plôch  porastov rýchlorastúcich drevín na poľnohospodárskej pôde vedie a aktualizuje pôdna služba, čím sa sleduje cieľ zabezpečenia ochrany dotknutej poľnohospodárskej pôdy so zámerom nutnosti vykonávania odborného dohľadu z aspektu zásad </w:t>
      </w:r>
      <w:r w:rsidRPr="006D33B7" w:rsidR="00435137">
        <w:t xml:space="preserve">právnej </w:t>
      </w:r>
      <w:r w:rsidRPr="006D33B7">
        <w:t xml:space="preserve">ochrany </w:t>
      </w:r>
      <w:r w:rsidRPr="006D33B7" w:rsidR="00435137">
        <w:t xml:space="preserve">poľnohospodárskej </w:t>
      </w:r>
      <w:r w:rsidRPr="006D33B7">
        <w:t>pôdy, vrátane dohľadu nad vykonaním spätnej rekultivácie poľnohospodárskej pôdy. V prípade, že zásady ochrany pôdy (na plochách porastov rýchlorastúcich drevín a susedných pozemkov) zakladateľ porastu nedodrží, pôdna služba túto skutočnosť oznámi správnemu orgánu, ktorý začne konanie o priestupku alebo správnom delikte. Ustanovenie účelovo rieši možnosť založenia porastu rýchlorastúcich drevín na poľnohospodárskej pôde nižšej kvality zaradenej do 6. až 9. skupiny kvality</w:t>
      </w:r>
    </w:p>
    <w:p w:rsidR="00E749E6" w:rsidRPr="001642D4" w:rsidP="001642D4">
      <w:pPr>
        <w:pStyle w:val="Heading3"/>
        <w:keepLines w:val="0"/>
        <w:rPr>
          <w:lang w:val="sk-SK"/>
        </w:rPr>
      </w:pPr>
      <w:r w:rsidRPr="006D33B7">
        <w:t xml:space="preserve">K bodu </w:t>
      </w:r>
      <w:r w:rsidRPr="006D33B7" w:rsidR="00BC6F7E">
        <w:t>2</w:t>
      </w:r>
      <w:r w:rsidR="00BC6F7E">
        <w:rPr>
          <w:lang w:val="sk-SK"/>
        </w:rPr>
        <w:t>1</w:t>
      </w:r>
    </w:p>
    <w:p w:rsidR="00E749E6" w:rsidRPr="006D33B7" w:rsidP="001642D4">
      <w:pPr>
        <w:pStyle w:val="odsek"/>
      </w:pPr>
      <w:r w:rsidRPr="006D33B7">
        <w:t>Legislatívno-technická úprava týkajúca sa doplnenia kompetencií obvodného pozemkového úradu vo väzbe na doplnený §</w:t>
      </w:r>
      <w:r w:rsidR="0095196E">
        <w:t xml:space="preserve"> </w:t>
      </w:r>
      <w:r w:rsidRPr="006D33B7">
        <w:t>18a.</w:t>
      </w:r>
    </w:p>
    <w:p w:rsidR="00E749E6" w:rsidRPr="001642D4" w:rsidP="001642D4">
      <w:pPr>
        <w:pStyle w:val="Heading3"/>
        <w:keepLines w:val="0"/>
        <w:rPr>
          <w:lang w:val="sk-SK"/>
        </w:rPr>
      </w:pPr>
      <w:r w:rsidRPr="006D33B7">
        <w:t xml:space="preserve">K bodu </w:t>
      </w:r>
      <w:r w:rsidRPr="006D33B7" w:rsidR="00BC6F7E">
        <w:t>2</w:t>
      </w:r>
      <w:r w:rsidR="00BC6F7E">
        <w:rPr>
          <w:lang w:val="sk-SK"/>
        </w:rPr>
        <w:t>2</w:t>
      </w:r>
    </w:p>
    <w:p w:rsidR="00E749E6" w:rsidRPr="006D33B7" w:rsidP="001642D4">
      <w:pPr>
        <w:pStyle w:val="odsek"/>
      </w:pPr>
      <w:r w:rsidRPr="006D33B7">
        <w:t xml:space="preserve">Do ustanovenia </w:t>
      </w:r>
      <w:r w:rsidRPr="006D33B7" w:rsidR="0095196E">
        <w:t>§</w:t>
      </w:r>
      <w:r w:rsidR="0095196E">
        <w:t xml:space="preserve"> </w:t>
      </w:r>
      <w:r w:rsidRPr="006D33B7" w:rsidR="0095196E">
        <w:t xml:space="preserve">24 </w:t>
      </w:r>
      <w:r w:rsidRPr="006D33B7">
        <w:t xml:space="preserve">ods. 1 zákona bola doplnená kompetencia  Ústredného kontrolného a skúšobného ústavu poľnohospodárskeho. </w:t>
      </w:r>
    </w:p>
    <w:p w:rsidR="00E749E6" w:rsidRPr="001642D4" w:rsidP="001642D4">
      <w:pPr>
        <w:pStyle w:val="Heading3"/>
        <w:keepLines w:val="0"/>
        <w:rPr>
          <w:lang w:val="sk-SK"/>
        </w:rPr>
      </w:pPr>
      <w:r w:rsidRPr="006D33B7">
        <w:t>K bodu 2</w:t>
      </w:r>
      <w:r w:rsidR="00BC6F7E">
        <w:rPr>
          <w:lang w:val="sk-SK"/>
        </w:rPr>
        <w:t>3</w:t>
      </w:r>
    </w:p>
    <w:p w:rsidR="00E749E6" w:rsidRPr="006D33B7" w:rsidP="001642D4">
      <w:pPr>
        <w:pStyle w:val="odsek"/>
      </w:pPr>
      <w:r w:rsidRPr="006D33B7">
        <w:t>Legislatívno-technická úprava týkajúca sa kompetencií pôdnej služby t.j.  Výskumného ústavu pôdoznalectva a ochrany pôdy Bratislava</w:t>
      </w:r>
      <w:r w:rsidRPr="006D33B7">
        <w:rPr>
          <w:bCs/>
        </w:rPr>
        <w:t xml:space="preserve"> (ďalej len „výskumný ústav“)</w:t>
      </w:r>
      <w:r w:rsidRPr="006D33B7">
        <w:t xml:space="preserve">. </w:t>
      </w:r>
      <w:r w:rsidRPr="006D33B7">
        <w:rPr>
          <w:bCs/>
        </w:rPr>
        <w:t xml:space="preserve">Tvorcom a správcom máp bonitovaných pôdno-ekologických jednotiek je výskumný ústav. </w:t>
      </w:r>
      <w:r w:rsidRPr="006D33B7" w:rsidR="00435137">
        <w:rPr>
          <w:bCs/>
        </w:rPr>
        <w:t xml:space="preserve">Navrhované doplnenie vyplynulo z potrieb praxe. </w:t>
      </w:r>
      <w:r w:rsidRPr="006D33B7">
        <w:rPr>
          <w:bCs/>
        </w:rPr>
        <w:t>Akékoľvek zmeny v mapách bonitovaných pôdno-ekologických jednotiek môže vykonávať iba výskumný ústav na základe komplexného prieskumu kvality poľnohospodárskych pôd vyjadrených kódom bonitovaných pôdno-ekologických jednotiek.</w:t>
      </w:r>
      <w:r w:rsidRPr="006D33B7" w:rsidR="00435137">
        <w:rPr>
          <w:bCs/>
        </w:rPr>
        <w:t xml:space="preserve"> </w:t>
      </w:r>
      <w:r w:rsidRPr="006D33B7">
        <w:t xml:space="preserve">Tým sa vylúči nesystémové individuálne prešetrovanie kódov BPEJ na  </w:t>
      </w:r>
      <w:r w:rsidRPr="006D33B7" w:rsidR="007348CD">
        <w:t xml:space="preserve">nízkych výmerách (často iba z dôvodu pripravovanej výstavby na poľnohospodárskej pôde), </w:t>
      </w:r>
      <w:r w:rsidRPr="006D33B7">
        <w:t>ktoré nie je možné zapracovať do máp BPEJ,  ani do údajov o BPEJ, ktoré zo zákona obsahuje  kataster nehnuteľností a poskytuje správa katastra a obvodný pozemkový úrad.</w:t>
      </w:r>
      <w:r w:rsidRPr="006D33B7" w:rsidR="00113E9A">
        <w:t xml:space="preserve"> </w:t>
      </w:r>
    </w:p>
    <w:p w:rsidR="00E749E6" w:rsidRPr="001642D4" w:rsidP="001642D4">
      <w:pPr>
        <w:pStyle w:val="Heading3"/>
        <w:keepLines w:val="0"/>
        <w:rPr>
          <w:lang w:val="sk-SK"/>
        </w:rPr>
      </w:pPr>
      <w:r w:rsidRPr="006D33B7" w:rsidR="002C6846">
        <w:t xml:space="preserve">K bodu </w:t>
      </w:r>
      <w:r w:rsidRPr="006D33B7" w:rsidR="00D43E89">
        <w:t>2</w:t>
      </w:r>
      <w:r w:rsidR="00D43E89">
        <w:rPr>
          <w:lang w:val="sk-SK"/>
        </w:rPr>
        <w:t>4</w:t>
      </w:r>
    </w:p>
    <w:p w:rsidR="00E749E6" w:rsidRPr="006D33B7" w:rsidP="001642D4">
      <w:pPr>
        <w:pStyle w:val="odsek"/>
      </w:pPr>
      <w:r w:rsidRPr="006D33B7">
        <w:t>Navrhuje sa doplnenie dvoch prípadov priestupkov vo väzbe na doplnené znenie § 9 a doplnené  ustanovenie § 18a. Následne sa doplňuje ustanovenie o uložení príslušnej pokuty.</w:t>
      </w:r>
    </w:p>
    <w:p w:rsidR="00E749E6" w:rsidRPr="006D33B7" w:rsidP="001642D4">
      <w:pPr>
        <w:pStyle w:val="Heading3"/>
        <w:keepLines w:val="0"/>
      </w:pPr>
      <w:r w:rsidRPr="006D33B7" w:rsidR="005A7BE2">
        <w:t xml:space="preserve">K bodom </w:t>
      </w:r>
      <w:r w:rsidRPr="006D33B7" w:rsidR="00D43E89">
        <w:t>2</w:t>
      </w:r>
      <w:r w:rsidR="00D43E89">
        <w:rPr>
          <w:lang w:val="sk-SK"/>
        </w:rPr>
        <w:t>5</w:t>
      </w:r>
      <w:r w:rsidRPr="006D33B7" w:rsidR="00D43E89">
        <w:t xml:space="preserve"> </w:t>
      </w:r>
      <w:r w:rsidRPr="006D33B7" w:rsidR="005A7BE2">
        <w:t xml:space="preserve">až </w:t>
      </w:r>
      <w:r w:rsidR="00D43E89">
        <w:rPr>
          <w:lang w:val="sk-SK"/>
        </w:rPr>
        <w:t>27</w:t>
      </w:r>
      <w:r w:rsidRPr="006D33B7" w:rsidR="00D43E89">
        <w:t xml:space="preserve"> </w:t>
      </w:r>
      <w:r w:rsidRPr="006D33B7" w:rsidR="005A7BE2">
        <w:t>a k bodom 30 a 31</w:t>
      </w:r>
    </w:p>
    <w:p w:rsidR="00E749E6" w:rsidRPr="006D33B7" w:rsidP="001642D4">
      <w:pPr>
        <w:pStyle w:val="odsek"/>
      </w:pPr>
      <w:r w:rsidRPr="006D33B7">
        <w:t xml:space="preserve">Legislatívno-technická úprava týkajúca sa zmeny prepočtu slovenskej koruny na euro. </w:t>
      </w:r>
    </w:p>
    <w:p w:rsidR="00E749E6" w:rsidRPr="001642D4" w:rsidP="001642D4">
      <w:pPr>
        <w:pStyle w:val="Heading3"/>
        <w:keepLines w:val="0"/>
        <w:rPr>
          <w:lang w:val="sk-SK"/>
        </w:rPr>
      </w:pPr>
      <w:r w:rsidRPr="006D33B7" w:rsidR="00BD4C1B">
        <w:t>K bod</w:t>
      </w:r>
      <w:r w:rsidR="00D43E89">
        <w:rPr>
          <w:lang w:val="sk-SK"/>
        </w:rPr>
        <w:t>om</w:t>
      </w:r>
      <w:r w:rsidRPr="006D33B7" w:rsidR="00BD4C1B">
        <w:t xml:space="preserve"> </w:t>
      </w:r>
      <w:r w:rsidRPr="006D33B7" w:rsidR="00D43E89">
        <w:t>2</w:t>
      </w:r>
      <w:r w:rsidR="00D43E89">
        <w:rPr>
          <w:lang w:val="sk-SK"/>
        </w:rPr>
        <w:t>8 a 29</w:t>
      </w:r>
    </w:p>
    <w:p w:rsidR="00E749E6" w:rsidRPr="006D33B7" w:rsidP="001642D4">
      <w:pPr>
        <w:pStyle w:val="odsek"/>
      </w:pPr>
      <w:r w:rsidRPr="006D33B7">
        <w:t>Legisl</w:t>
      </w:r>
      <w:r w:rsidRPr="006D33B7" w:rsidR="00F1718D">
        <w:t>atívne</w:t>
      </w:r>
      <w:r w:rsidRPr="006D33B7">
        <w:t xml:space="preserve"> - technická úprava. Navrhuje sa doplnenie titulu správneho deliktu v §</w:t>
      </w:r>
      <w:r w:rsidRPr="006D33B7" w:rsidR="005A7BE2">
        <w:t xml:space="preserve"> 26 ods. 1 písmenami</w:t>
      </w:r>
      <w:r w:rsidRPr="006D33B7">
        <w:t xml:space="preserve"> </w:t>
      </w:r>
      <w:r w:rsidR="00D43E89">
        <w:t>f</w:t>
      </w:r>
      <w:r w:rsidRPr="006D33B7">
        <w:t>)</w:t>
      </w:r>
      <w:r w:rsidRPr="006D33B7" w:rsidR="005A7BE2">
        <w:t xml:space="preserve"> a </w:t>
      </w:r>
      <w:r w:rsidR="00D43E89">
        <w:t>g</w:t>
      </w:r>
      <w:r w:rsidRPr="006D33B7" w:rsidR="005A7BE2">
        <w:t>)</w:t>
      </w:r>
      <w:r w:rsidRPr="006D33B7">
        <w:t xml:space="preserve"> vo väzbe na doplnené ustanovenie </w:t>
      </w:r>
      <w:r w:rsidRPr="006D33B7" w:rsidR="005A7BE2">
        <w:t xml:space="preserve">§ 9 a </w:t>
      </w:r>
      <w:r w:rsidRPr="006D33B7">
        <w:t>§ 18a.</w:t>
      </w:r>
    </w:p>
    <w:p w:rsidR="00BD4C1B" w:rsidRPr="006D33B7" w:rsidP="001642D4">
      <w:pPr>
        <w:pStyle w:val="Heading3"/>
        <w:keepLines w:val="0"/>
      </w:pPr>
      <w:r w:rsidRPr="006D33B7">
        <w:t>K bodu</w:t>
      </w:r>
      <w:r w:rsidRPr="006D33B7" w:rsidR="005A7BE2">
        <w:t xml:space="preserve"> 32</w:t>
      </w:r>
    </w:p>
    <w:p w:rsidR="00E749E6" w:rsidRPr="006D33B7" w:rsidP="00DA4DF5">
      <w:pPr>
        <w:pStyle w:val="odsek"/>
      </w:pPr>
      <w:r w:rsidRPr="006D33B7">
        <w:t xml:space="preserve">Zákon definuje pôdu ako nenahraditeľný prírodný zdroj s viacerými prirodzenými funkciami hodnými ochrany najvyššieho stupňa. Deklaruje význam poľnohospodárskej pôdy ako neobnoviteľného prírodného zdroja a základnej zložky životného prostredia. V tomto zmysle obsahuje toto splnomocňovacie ustanovenie zásadné systémové prvky ochrany pôdy v podrobnostiach identifikácie kvality </w:t>
      </w:r>
      <w:r w:rsidRPr="006D33B7" w:rsidR="00BD4C1B">
        <w:t xml:space="preserve">a druhu poľnohospodárskej pôdy. </w:t>
      </w:r>
      <w:r w:rsidRPr="006D33B7">
        <w:t>Z praktického hľadiska flexibility boli vypustené prílohy č. 1 až 3 platného zákona o ochrane pôdy a následne boli doplnené do vykonávacieho predpisu v celom rozsahu uvedených a aktualizovaných príloh (do vyhlášky č.</w:t>
      </w:r>
      <w:r w:rsidRPr="006D33B7" w:rsidR="00113E9A">
        <w:t xml:space="preserve"> </w:t>
      </w:r>
      <w:r w:rsidRPr="006D33B7">
        <w:t>508/2004 Z. z.).</w:t>
      </w:r>
      <w:r w:rsidRPr="006D33B7" w:rsidR="00BD4C1B">
        <w:t xml:space="preserve"> Vzhľadom na zmeny vo vykonávacej vyhláške k zákonu o katastri nehnuteľností, bola doplnená príloha v predmete poľnohospodárske druhy pozemkov a spôsob ich využívania. </w:t>
      </w:r>
    </w:p>
    <w:p w:rsidR="00E749E6" w:rsidRPr="006D33B7" w:rsidP="001642D4">
      <w:pPr>
        <w:pStyle w:val="Heading3"/>
        <w:keepLines w:val="0"/>
      </w:pPr>
      <w:r w:rsidRPr="006D33B7" w:rsidR="005A7BE2">
        <w:t>K bodu 33</w:t>
      </w:r>
    </w:p>
    <w:p w:rsidR="00E749E6" w:rsidRPr="006D33B7" w:rsidP="00DA4DF5">
      <w:pPr>
        <w:pStyle w:val="odsek"/>
      </w:pPr>
      <w:r w:rsidRPr="006D33B7">
        <w:t xml:space="preserve">Navrhuje sa splnomocňovacie ustanovenie  na vydanie nariadenia vlády vo väzbe na ochranu najkvalitnejších poľnohospodárskych pôd v v katastrálnom území podľa kódov chránených BPEJ. </w:t>
      </w:r>
    </w:p>
    <w:p w:rsidR="00654171" w:rsidRPr="006D33B7" w:rsidP="001642D4">
      <w:pPr>
        <w:pStyle w:val="Heading3"/>
        <w:keepLines w:val="0"/>
      </w:pPr>
      <w:r w:rsidRPr="006D33B7" w:rsidR="005A7BE2">
        <w:t>K bodu 3</w:t>
      </w:r>
      <w:r w:rsidRPr="006D33B7" w:rsidR="00AC2043">
        <w:t>4</w:t>
      </w:r>
    </w:p>
    <w:p w:rsidR="00E749E6" w:rsidRPr="006D33B7" w:rsidP="00DA4DF5">
      <w:pPr>
        <w:pStyle w:val="odsek"/>
      </w:pPr>
      <w:r w:rsidRPr="006D33B7">
        <w:t>Ustanovuje sa prechodné ustanovenie účinné k 1. januáru 2013 vo vzťahu ku konaniam pred účinnosťou zákona.</w:t>
      </w:r>
    </w:p>
    <w:p w:rsidR="00E749E6" w:rsidRPr="006D33B7" w:rsidP="001642D4">
      <w:pPr>
        <w:pStyle w:val="Heading3"/>
        <w:keepLines w:val="0"/>
      </w:pPr>
      <w:r w:rsidRPr="006D33B7" w:rsidR="005A7BE2">
        <w:t>K bodu 3</w:t>
      </w:r>
      <w:r w:rsidRPr="006D33B7" w:rsidR="00AC2043">
        <w:t>5</w:t>
      </w:r>
    </w:p>
    <w:p w:rsidR="00E749E6" w:rsidRPr="006D33B7" w:rsidP="00DA4DF5">
      <w:pPr>
        <w:pStyle w:val="odsek"/>
      </w:pPr>
      <w:r w:rsidRPr="006D33B7">
        <w:t>Vypúšťajú sa prílohy č. 1 až 3 zo zákona. Z dôvodu flexibility v prípade aktualizácie limitných hodnôt a metód ich zisťovania, napríklad rizikových látok v pôde, tieto budú doplnené do vykonáv</w:t>
      </w:r>
      <w:r w:rsidR="0095196E">
        <w:t>acej vyhláške č. 508/2004 Z. z.</w:t>
      </w:r>
    </w:p>
    <w:p w:rsidR="00E749E6" w:rsidRPr="006D33B7" w:rsidP="001642D4">
      <w:pPr>
        <w:pStyle w:val="Heading3"/>
        <w:keepLines w:val="0"/>
      </w:pPr>
      <w:r w:rsidRPr="006D33B7" w:rsidR="000F4FA8">
        <w:t>K článku II</w:t>
      </w:r>
    </w:p>
    <w:p w:rsidR="00E749E6" w:rsidRPr="006D33B7" w:rsidP="00DA4DF5">
      <w:pPr>
        <w:pStyle w:val="odsek"/>
      </w:pPr>
      <w:r w:rsidRPr="006D33B7">
        <w:t>V záujme zamedzenia drobenia poľnohospodárskej pôdy nachádzajúcej sa za hranicou zastavaného územia obce, navrhuje sa doplnenie, ktoré rieši opatrenia pr</w:t>
      </w:r>
      <w:r w:rsidRPr="006D33B7" w:rsidR="00654171">
        <w:t>oti drobeniu pozemkov, konkrétne rozparcelovávaniu</w:t>
      </w:r>
      <w:r w:rsidRPr="006D33B7" w:rsidR="000F4FA8">
        <w:t xml:space="preserve"> </w:t>
      </w:r>
      <w:r w:rsidRPr="006D33B7">
        <w:t xml:space="preserve"> veľkých parciel vo voľnej poľnohospodárskej krajine. Rozparcelovaná orná pôda je na podklade geometrického plánu zmenená v katastri nehnuteľností na záhradu a až následne sa pripravuje na zmenu jej funkčného využitia pre stavebné účely v rozpore  s ustanoveniami zákona o ochrane pôdy a stavebného zákona. Takto riešené satelity stavebných pozemkov vo voľnej poľnohospodárskej krajine sú bežnou praxou.</w:t>
      </w:r>
    </w:p>
    <w:p w:rsidR="00E749E6" w:rsidRPr="006D33B7" w:rsidP="00DA4DF5">
      <w:pPr>
        <w:pStyle w:val="odsek"/>
      </w:pPr>
      <w:r w:rsidRPr="006D33B7">
        <w:t>Návrh doplnenia § 24 ods. 3 písm. d)</w:t>
      </w:r>
      <w:r w:rsidRPr="006D33B7">
        <w:rPr>
          <w:b/>
        </w:rPr>
        <w:t xml:space="preserve"> </w:t>
      </w:r>
      <w:r w:rsidRPr="006D33B7">
        <w:t xml:space="preserve">zákona č. 180/1995 Z. z. sleduje a rieši zamedzenie drobenia  ucelených honov poľnohospodárskej pôdy vo voľnej poľnohospodárskej krajine, ktorá je obhospodarovaná a využívaná pre pestovanie poľnohospodárskych plodín. </w:t>
      </w:r>
    </w:p>
    <w:p w:rsidR="00E749E6" w:rsidRPr="006D33B7" w:rsidP="00DA4DF5">
      <w:pPr>
        <w:pStyle w:val="odsek"/>
      </w:pPr>
      <w:r w:rsidRPr="006D33B7">
        <w:t>Ako neaktuálna,  vypúšťa sa poznámka pod čiarou .</w:t>
      </w:r>
    </w:p>
    <w:p w:rsidR="00E749E6" w:rsidRPr="006D33B7" w:rsidP="001642D4">
      <w:pPr>
        <w:pStyle w:val="Heading3"/>
        <w:keepLines w:val="0"/>
      </w:pPr>
      <w:r w:rsidRPr="006D33B7" w:rsidR="000F4FA8">
        <w:t>K článku III</w:t>
      </w:r>
    </w:p>
    <w:p w:rsidR="00E749E6" w:rsidRPr="006D33B7" w:rsidP="001642D4">
      <w:pPr>
        <w:pStyle w:val="Heading3"/>
        <w:keepLines w:val="0"/>
      </w:pPr>
      <w:r w:rsidRPr="006D33B7">
        <w:t>K bodu 1</w:t>
      </w:r>
    </w:p>
    <w:p w:rsidR="00E749E6" w:rsidRPr="006D33B7" w:rsidP="00DA4DF5">
      <w:pPr>
        <w:pStyle w:val="odsek"/>
      </w:pPr>
      <w:r w:rsidRPr="006D33B7">
        <w:t>Vo väzbe na § 18a v návrhu novely zákona č. 220/2004 Z. z., kde sa navrhuje pre rýchlorastúce dreviny na poľnohospodárskej pôde na produkciu energetickej biomasy pestovanie najviac na 20 rokov, bolo potrebné na túto zmenu reagovať vypustením textu týkajúceho sa rýchlorastúcich drevín z § 8 ods. 2 písm. b), aby na ostatné dreviny, ktoré sú v  tomto ustanovení uvedené ostala zachovaná lehota  30 rokov.</w:t>
      </w:r>
    </w:p>
    <w:p w:rsidR="00E749E6" w:rsidRPr="006D33B7" w:rsidP="001642D4">
      <w:pPr>
        <w:pStyle w:val="Heading3"/>
        <w:keepLines w:val="0"/>
      </w:pPr>
      <w:r w:rsidRPr="006D33B7">
        <w:t>K bodu 2</w:t>
      </w:r>
    </w:p>
    <w:p w:rsidR="00E749E6" w:rsidRPr="006D33B7" w:rsidP="00DA4DF5">
      <w:pPr>
        <w:ind w:firstLine="709"/>
      </w:pPr>
      <w:r w:rsidRPr="006D33B7">
        <w:t>Osobitne pre rýchlorastúce energetické dreviny sa ustanovuje lehota na ich pestovanie, a to najviac na 20 rokov v súlade s n</w:t>
      </w:r>
      <w:r w:rsidR="00BD2D8F">
        <w:t>ovelou zákona č. 220/2004 Z. z.</w:t>
      </w:r>
    </w:p>
    <w:p w:rsidR="00E749E6" w:rsidRPr="006D33B7" w:rsidP="001642D4">
      <w:pPr>
        <w:pStyle w:val="Heading3"/>
        <w:keepLines w:val="0"/>
      </w:pPr>
      <w:r w:rsidRPr="006D33B7">
        <w:t>K článku IV</w:t>
      </w:r>
    </w:p>
    <w:p w:rsidR="006D33B7" w:rsidP="00DA4DF5">
      <w:pPr>
        <w:pStyle w:val="odsek"/>
      </w:pPr>
      <w:r w:rsidRPr="006D33B7" w:rsidR="00E749E6">
        <w:t xml:space="preserve">Účinnosť zákona sa navrhuje 1. </w:t>
      </w:r>
      <w:r w:rsidRPr="006D33B7" w:rsidR="00AC2043">
        <w:t>apríla</w:t>
      </w:r>
      <w:r w:rsidRPr="006D33B7" w:rsidR="00E749E6">
        <w:t xml:space="preserve"> 2013.</w:t>
      </w:r>
    </w:p>
    <w:p w:rsidR="0069712F" w:rsidP="0069712F">
      <w:pPr>
        <w:pStyle w:val="odsek"/>
        <w:ind w:firstLine="0"/>
      </w:pPr>
    </w:p>
    <w:p w:rsidR="0069712F" w:rsidRPr="009B3B04" w:rsidP="0069712F">
      <w:r>
        <w:t>Bratislava 31. októbra 2012</w:t>
      </w:r>
    </w:p>
    <w:p w:rsidR="0069712F" w:rsidP="0069712F"/>
    <w:p w:rsidR="0069712F" w:rsidP="0069712F"/>
    <w:p w:rsidR="0069712F" w:rsidP="0069712F"/>
    <w:p w:rsidR="0069712F" w:rsidP="0069712F"/>
    <w:p w:rsidR="0069712F" w:rsidRPr="00CB10DB" w:rsidP="0069712F">
      <w:pPr>
        <w:jc w:val="center"/>
      </w:pPr>
      <w:r>
        <w:rPr>
          <w:bCs/>
        </w:rPr>
        <w:t>Robert Fico, v. r.</w:t>
      </w:r>
    </w:p>
    <w:p w:rsidR="0069712F" w:rsidRPr="00CB10DB" w:rsidP="0069712F">
      <w:pPr>
        <w:jc w:val="center"/>
      </w:pPr>
      <w:r>
        <w:t xml:space="preserve">predseda </w:t>
      </w:r>
      <w:r w:rsidRPr="00CB10DB">
        <w:t>vlády</w:t>
      </w:r>
    </w:p>
    <w:p w:rsidR="0069712F" w:rsidRPr="00CB10DB" w:rsidP="0069712F">
      <w:pPr>
        <w:jc w:val="center"/>
      </w:pPr>
      <w:r w:rsidRPr="00CB10DB">
        <w:t>Slovenskej republiky</w:t>
      </w:r>
    </w:p>
    <w:p w:rsidR="0069712F" w:rsidP="0069712F"/>
    <w:p w:rsidR="0069712F" w:rsidP="0069712F"/>
    <w:p w:rsidR="0069712F" w:rsidRPr="00CB10DB" w:rsidP="0069712F"/>
    <w:p w:rsidR="0069712F" w:rsidRPr="00CB10DB" w:rsidP="0069712F"/>
    <w:p w:rsidR="0069712F" w:rsidRPr="00CB10DB" w:rsidP="0069712F">
      <w:pPr>
        <w:jc w:val="center"/>
      </w:pPr>
      <w:r>
        <w:rPr>
          <w:bCs/>
        </w:rPr>
        <w:t>Ľubomír Jahnátek, v. r.</w:t>
      </w:r>
    </w:p>
    <w:p w:rsidR="0069712F" w:rsidP="0069712F">
      <w:pPr>
        <w:jc w:val="center"/>
      </w:pPr>
      <w:r w:rsidRPr="00CB10DB">
        <w:t xml:space="preserve">minister </w:t>
      </w:r>
      <w:r>
        <w:t xml:space="preserve">pôdohospodárstva </w:t>
      </w:r>
    </w:p>
    <w:p w:rsidR="0069712F" w:rsidRPr="00CE6BB4" w:rsidP="0069712F">
      <w:pPr>
        <w:jc w:val="center"/>
        <w:rPr>
          <w:rStyle w:val="PlaceholderText"/>
          <w:b/>
        </w:rPr>
      </w:pPr>
      <w:r>
        <w:t>a rozvoja vidieka Slovenskej republiky</w:t>
      </w:r>
    </w:p>
    <w:sectPr>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Calibri">
    <w:altName w:val="Arial"/>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DF5">
    <w:pPr>
      <w:pStyle w:val="Footer"/>
      <w:jc w:val="center"/>
    </w:pPr>
    <w:r>
      <w:fldChar w:fldCharType="begin"/>
    </w:r>
    <w:r>
      <w:instrText>PAGE   \* MERGEFORMAT</w:instrText>
    </w:r>
    <w:r>
      <w:fldChar w:fldCharType="separate"/>
    </w:r>
    <w:r w:rsidR="00BE0C65">
      <w:rPr>
        <w:noProof/>
      </w:rPr>
      <w:t>13</w:t>
    </w:r>
    <w:r>
      <w:fldChar w:fldCharType="end"/>
    </w:r>
  </w:p>
  <w:p w:rsidR="00DA4DF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2445F"/>
    <w:multiLevelType w:val="hybridMultilevel"/>
    <w:tmpl w:val="BECE9846"/>
    <w:lvl w:ilvl="0">
      <w:start w:val="1"/>
      <w:numFmt w:val="decimal"/>
      <w:pStyle w:val="odsek1"/>
      <w:lvlText w:val="(%1)"/>
      <w:lvlJc w:val="left"/>
      <w:pPr>
        <w:ind w:left="1429" w:hanging="360"/>
      </w:pPr>
      <w:rPr>
        <w:rFonts w:ascii="Times New Roman" w:hAnsi="Times New Roman" w:hint="default"/>
        <w:b w:val="0"/>
        <w:i w:val="0"/>
        <w:caps w:val="0"/>
        <w:strike w:val="0"/>
        <w:dstrike w:val="0"/>
        <w:outline w:val="0"/>
        <w:shadow w:val="0"/>
        <w:emboss w:val="0"/>
        <w:imprint w:val="0"/>
        <w:vanish w:val="0"/>
        <w:sz w:val="24"/>
        <w:vertAlign w:val="baseline"/>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nsid w:val="3EAF6D70"/>
    <w:multiLevelType w:val="hybridMultilevel"/>
    <w:tmpl w:val="917E1D04"/>
    <w:lvl w:ilvl="0">
      <w:start w:val="1"/>
      <w:numFmt w:val="lowerLetter"/>
      <w:pStyle w:val="adda"/>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9C5FEE"/>
    <w:multiLevelType w:val="hybridMultilevel"/>
    <w:tmpl w:val="0470BA3C"/>
    <w:lvl w:ilvl="0">
      <w:start w:val="1"/>
      <w:numFmt w:val="decimal"/>
      <w:pStyle w:val="a"/>
      <w:lvlText w:val="§ %1"/>
      <w:lvlJc w:val="left"/>
      <w:pPr>
        <w:ind w:left="720" w:hanging="36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49E6"/>
    <w:rsid w:val="000F4FA8"/>
    <w:rsid w:val="00113E9A"/>
    <w:rsid w:val="00146A7E"/>
    <w:rsid w:val="001642D4"/>
    <w:rsid w:val="002C6846"/>
    <w:rsid w:val="003C0FFF"/>
    <w:rsid w:val="003F53F6"/>
    <w:rsid w:val="00435137"/>
    <w:rsid w:val="004522FB"/>
    <w:rsid w:val="00495F7B"/>
    <w:rsid w:val="005620BD"/>
    <w:rsid w:val="005A7BE2"/>
    <w:rsid w:val="005B71C0"/>
    <w:rsid w:val="00654171"/>
    <w:rsid w:val="0069712F"/>
    <w:rsid w:val="006D33B7"/>
    <w:rsid w:val="007348CD"/>
    <w:rsid w:val="007A5D07"/>
    <w:rsid w:val="007B3C3C"/>
    <w:rsid w:val="008134D6"/>
    <w:rsid w:val="00846604"/>
    <w:rsid w:val="00880D18"/>
    <w:rsid w:val="0095196E"/>
    <w:rsid w:val="0097652E"/>
    <w:rsid w:val="009B3B04"/>
    <w:rsid w:val="009D7E5B"/>
    <w:rsid w:val="00A00F3F"/>
    <w:rsid w:val="00A0737A"/>
    <w:rsid w:val="00A243FF"/>
    <w:rsid w:val="00A52288"/>
    <w:rsid w:val="00AA5080"/>
    <w:rsid w:val="00AC2043"/>
    <w:rsid w:val="00AF2EC8"/>
    <w:rsid w:val="00BC6F7E"/>
    <w:rsid w:val="00BD2D8F"/>
    <w:rsid w:val="00BD4C1B"/>
    <w:rsid w:val="00BE0C65"/>
    <w:rsid w:val="00BE1B42"/>
    <w:rsid w:val="00BE732E"/>
    <w:rsid w:val="00C078EB"/>
    <w:rsid w:val="00C236AF"/>
    <w:rsid w:val="00CB10DB"/>
    <w:rsid w:val="00CE6BB4"/>
    <w:rsid w:val="00D43E89"/>
    <w:rsid w:val="00DA4DF5"/>
    <w:rsid w:val="00DD74D9"/>
    <w:rsid w:val="00E749E6"/>
    <w:rsid w:val="00EE6795"/>
    <w:rsid w:val="00EF510B"/>
    <w:rsid w:val="00F1718D"/>
    <w:rsid w:val="00FA5D9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2043"/>
    <w:pPr>
      <w:keepNext/>
      <w:jc w:val="both"/>
    </w:pPr>
    <w:rPr>
      <w:sz w:val="24"/>
      <w:szCs w:val="24"/>
      <w:lang w:val="sk-SK" w:eastAsia="sk-SK" w:bidi="ar-SA"/>
    </w:rPr>
  </w:style>
  <w:style w:type="paragraph" w:styleId="Heading1">
    <w:name w:val="heading 1"/>
    <w:basedOn w:val="Normal"/>
    <w:next w:val="Normal"/>
    <w:link w:val="Nadpis1Char"/>
    <w:uiPriority w:val="9"/>
    <w:qFormat/>
    <w:rsid w:val="00AC2043"/>
    <w:pPr>
      <w:keepLines/>
      <w:spacing w:before="360" w:after="120"/>
      <w:jc w:val="center"/>
      <w:outlineLvl w:val="0"/>
    </w:pPr>
    <w:rPr>
      <w:rFonts w:cs="Arial"/>
      <w:b/>
      <w:bCs/>
      <w:szCs w:val="28"/>
      <w:lang w:val="x-none" w:eastAsia="x-none"/>
    </w:rPr>
  </w:style>
  <w:style w:type="paragraph" w:styleId="Heading2">
    <w:name w:val="heading 2"/>
    <w:basedOn w:val="Normal"/>
    <w:next w:val="Normal"/>
    <w:link w:val="Nadpis2Char"/>
    <w:uiPriority w:val="9"/>
    <w:semiHidden/>
    <w:unhideWhenUsed/>
    <w:qFormat/>
    <w:rsid w:val="00AC2043"/>
    <w:pPr>
      <w:keepLines/>
      <w:spacing w:before="240" w:after="120"/>
      <w:jc w:val="center"/>
      <w:outlineLvl w:val="1"/>
    </w:pPr>
    <w:rPr>
      <w:rFonts w:cs="Arial"/>
      <w:b/>
      <w:bCs/>
      <w:szCs w:val="26"/>
      <w:lang w:val="x-none" w:eastAsia="x-none"/>
    </w:rPr>
  </w:style>
  <w:style w:type="paragraph" w:styleId="Heading3">
    <w:name w:val="heading 3"/>
    <w:basedOn w:val="Normal"/>
    <w:next w:val="Normal"/>
    <w:link w:val="Nadpis3Char"/>
    <w:uiPriority w:val="9"/>
    <w:unhideWhenUsed/>
    <w:qFormat/>
    <w:rsid w:val="006D33B7"/>
    <w:pPr>
      <w:keepLines/>
      <w:spacing w:before="120" w:after="120"/>
      <w:outlineLvl w:val="2"/>
    </w:pPr>
    <w:rPr>
      <w:rFonts w:cs="Arial"/>
      <w:b/>
      <w:bCs/>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
    <w:rsid w:val="00AC2043"/>
    <w:rPr>
      <w:rFonts w:cs="Arial"/>
      <w:b/>
      <w:bCs/>
      <w:sz w:val="24"/>
      <w:szCs w:val="28"/>
      <w:lang w:val="x-none" w:eastAsia="x-none"/>
    </w:rPr>
  </w:style>
  <w:style w:type="character" w:customStyle="1" w:styleId="Nadpis3Char">
    <w:name w:val="Nadpis 3 Char"/>
    <w:link w:val="Heading3"/>
    <w:uiPriority w:val="9"/>
    <w:rsid w:val="006D33B7"/>
    <w:rPr>
      <w:rFonts w:cs="Arial"/>
      <w:b/>
      <w:bCs/>
      <w:sz w:val="24"/>
      <w:lang w:val="x-none" w:eastAsia="x-none"/>
    </w:rPr>
  </w:style>
  <w:style w:type="character" w:customStyle="1" w:styleId="odsekChar">
    <w:name w:val="odsek Char"/>
    <w:link w:val="odsek"/>
    <w:locked/>
    <w:rsid w:val="00AC2043"/>
    <w:rPr>
      <w:sz w:val="24"/>
      <w:szCs w:val="24"/>
    </w:rPr>
  </w:style>
  <w:style w:type="paragraph" w:customStyle="1" w:styleId="odsek">
    <w:name w:val="odsek"/>
    <w:basedOn w:val="Normal"/>
    <w:link w:val="odsekChar"/>
    <w:qFormat/>
    <w:rsid w:val="00AC2043"/>
    <w:pPr>
      <w:ind w:firstLine="709"/>
    </w:pPr>
  </w:style>
  <w:style w:type="paragraph" w:styleId="Header">
    <w:name w:val="header"/>
    <w:basedOn w:val="Normal"/>
    <w:link w:val="HlavikaChar"/>
    <w:uiPriority w:val="99"/>
    <w:unhideWhenUsed/>
    <w:rsid w:val="00BE732E"/>
    <w:pPr>
      <w:tabs>
        <w:tab w:val="center" w:pos="4536"/>
        <w:tab w:val="right" w:pos="9072"/>
      </w:tabs>
    </w:pPr>
  </w:style>
  <w:style w:type="character" w:customStyle="1" w:styleId="HlavikaChar">
    <w:name w:val="Hlavička Char"/>
    <w:link w:val="Header"/>
    <w:uiPriority w:val="99"/>
    <w:rsid w:val="00BE732E"/>
    <w:rPr>
      <w:rFonts w:ascii="Times New Roman" w:eastAsia="Times New Roman" w:hAnsi="Times New Roman"/>
      <w:sz w:val="24"/>
      <w:szCs w:val="24"/>
      <w:lang w:eastAsia="cs-CZ"/>
    </w:rPr>
  </w:style>
  <w:style w:type="paragraph" w:styleId="Footer">
    <w:name w:val="footer"/>
    <w:basedOn w:val="Normal"/>
    <w:link w:val="PtaChar"/>
    <w:uiPriority w:val="99"/>
    <w:unhideWhenUsed/>
    <w:rsid w:val="00BE732E"/>
    <w:pPr>
      <w:tabs>
        <w:tab w:val="center" w:pos="4536"/>
        <w:tab w:val="right" w:pos="9072"/>
      </w:tabs>
    </w:pPr>
  </w:style>
  <w:style w:type="character" w:customStyle="1" w:styleId="PtaChar">
    <w:name w:val="Päta Char"/>
    <w:link w:val="Footer"/>
    <w:uiPriority w:val="99"/>
    <w:rsid w:val="00BE732E"/>
    <w:rPr>
      <w:rFonts w:ascii="Times New Roman" w:eastAsia="Times New Roman" w:hAnsi="Times New Roman"/>
      <w:sz w:val="24"/>
      <w:szCs w:val="24"/>
      <w:lang w:eastAsia="cs-CZ"/>
    </w:rPr>
  </w:style>
  <w:style w:type="paragraph" w:customStyle="1" w:styleId="a">
    <w:name w:val="§"/>
    <w:basedOn w:val="Normal"/>
    <w:qFormat/>
    <w:rsid w:val="00AC2043"/>
    <w:pPr>
      <w:numPr>
        <w:ilvl w:val="0"/>
        <w:numId w:val="4"/>
      </w:numPr>
      <w:tabs>
        <w:tab w:val="left" w:pos="425"/>
      </w:tabs>
      <w:spacing w:before="240" w:after="120"/>
      <w:jc w:val="center"/>
    </w:pPr>
  </w:style>
  <w:style w:type="paragraph" w:customStyle="1" w:styleId="adda">
    <w:name w:val="adda"/>
    <w:basedOn w:val="Normal"/>
    <w:qFormat/>
    <w:rsid w:val="00AC2043"/>
    <w:pPr>
      <w:numPr>
        <w:ilvl w:val="0"/>
        <w:numId w:val="5"/>
      </w:numPr>
      <w:spacing w:before="60" w:after="60"/>
    </w:pPr>
  </w:style>
  <w:style w:type="paragraph" w:customStyle="1" w:styleId="odsek1">
    <w:name w:val="odsek1"/>
    <w:basedOn w:val="odsek"/>
    <w:qFormat/>
    <w:rsid w:val="00AC2043"/>
    <w:pPr>
      <w:numPr>
        <w:ilvl w:val="0"/>
        <w:numId w:val="6"/>
      </w:numPr>
      <w:spacing w:before="120" w:after="120"/>
    </w:pPr>
  </w:style>
  <w:style w:type="paragraph" w:customStyle="1" w:styleId="Poznmkapodiarou">
    <w:name w:val="Poznámka pod čiarou"/>
    <w:basedOn w:val="FootnoteText"/>
    <w:qFormat/>
    <w:rsid w:val="00AC2043"/>
    <w:rPr>
      <w:szCs w:val="24"/>
    </w:rPr>
  </w:style>
  <w:style w:type="paragraph" w:styleId="FootnoteText">
    <w:name w:val="footnote text"/>
    <w:basedOn w:val="Normal"/>
    <w:link w:val="TextpoznmkypodiarouChar"/>
    <w:semiHidden/>
    <w:unhideWhenUsed/>
    <w:qFormat/>
    <w:rsid w:val="00AC2043"/>
    <w:pPr>
      <w:ind w:left="227" w:hanging="227"/>
    </w:pPr>
    <w:rPr>
      <w:sz w:val="20"/>
      <w:szCs w:val="20"/>
      <w:lang w:val="x-none" w:eastAsia="x-none"/>
    </w:rPr>
  </w:style>
  <w:style w:type="character" w:customStyle="1" w:styleId="TextpoznmkypodiarouChar">
    <w:name w:val="Text poznámky pod čiarou Char"/>
    <w:link w:val="FootnoteText"/>
    <w:semiHidden/>
    <w:rsid w:val="00AC2043"/>
    <w:rPr>
      <w:lang w:val="x-none" w:eastAsia="x-none"/>
    </w:rPr>
  </w:style>
  <w:style w:type="character" w:customStyle="1" w:styleId="Nadpis2Char">
    <w:name w:val="Nadpis 2 Char"/>
    <w:link w:val="Heading2"/>
    <w:uiPriority w:val="9"/>
    <w:semiHidden/>
    <w:rsid w:val="00AC2043"/>
    <w:rPr>
      <w:rFonts w:cs="Arial"/>
      <w:b/>
      <w:bCs/>
      <w:sz w:val="24"/>
      <w:szCs w:val="26"/>
      <w:lang w:val="x-none" w:eastAsia="x-none"/>
    </w:rPr>
  </w:style>
  <w:style w:type="paragraph" w:styleId="TOCHeading">
    <w:name w:val="TOC Heading"/>
    <w:basedOn w:val="Heading1"/>
    <w:next w:val="Normal"/>
    <w:uiPriority w:val="39"/>
    <w:semiHidden/>
    <w:unhideWhenUsed/>
    <w:qFormat/>
    <w:rsid w:val="00AC2043"/>
    <w:pPr>
      <w:spacing w:before="480" w:after="0"/>
      <w:jc w:val="both"/>
      <w:outlineLvl w:val="9"/>
    </w:pPr>
    <w:rPr>
      <w:rFonts w:ascii="Cambria" w:eastAsia="Times New Roman" w:hAnsi="Cambria" w:cs="Times New Roman"/>
      <w:color w:val="365F91"/>
      <w:sz w:val="28"/>
      <w:lang w:eastAsia="en-US"/>
    </w:rPr>
  </w:style>
  <w:style w:type="paragraph" w:styleId="BalloonText">
    <w:name w:val="Balloon Text"/>
    <w:basedOn w:val="Normal"/>
    <w:link w:val="TextbublinyChar"/>
    <w:uiPriority w:val="99"/>
    <w:semiHidden/>
    <w:unhideWhenUsed/>
    <w:rsid w:val="00BC6F7E"/>
    <w:rPr>
      <w:rFonts w:ascii="Tahoma" w:hAnsi="Tahoma" w:cs="Tahoma"/>
      <w:sz w:val="16"/>
      <w:szCs w:val="16"/>
    </w:rPr>
  </w:style>
  <w:style w:type="character" w:customStyle="1" w:styleId="TextbublinyChar">
    <w:name w:val="Text bubliny Char"/>
    <w:link w:val="BalloonText"/>
    <w:uiPriority w:val="99"/>
    <w:semiHidden/>
    <w:rsid w:val="00BC6F7E"/>
    <w:rPr>
      <w:rFonts w:ascii="Tahoma" w:hAnsi="Tahoma" w:cs="Tahoma"/>
      <w:sz w:val="16"/>
      <w:szCs w:val="16"/>
    </w:rPr>
  </w:style>
  <w:style w:type="character" w:styleId="PlaceholderText">
    <w:name w:val="Placeholder Text"/>
    <w:uiPriority w:val="99"/>
    <w:semiHidden/>
    <w:rsid w:val="0069712F"/>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BD201-121D-48FE-8E60-6E6B2CF4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13</Pages>
  <Words>4260</Words>
  <Characters>24283</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28487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Szallayová Rozália</dc:creator>
  <cp:lastModifiedBy>Benová Timea</cp:lastModifiedBy>
  <cp:revision>30</cp:revision>
  <cp:lastPrinted>2012-11-02T12:33:00Z</cp:lastPrinted>
  <dcterms:created xsi:type="dcterms:W3CDTF">2012-08-15T14:05:00Z</dcterms:created>
  <dcterms:modified xsi:type="dcterms:W3CDTF">2012-11-02T12:33:00Z</dcterms:modified>
</cp:coreProperties>
</file>