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0C4B" w:rsidP="00170C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Á R O D N Á    R A D A   S L O V E N S K E J    R E P U B L I K Y</w:t>
      </w:r>
    </w:p>
    <w:p w:rsidR="00170C4B" w:rsidP="00170C4B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VI. volebné obdobie</w:t>
      </w:r>
    </w:p>
    <w:p w:rsidR="00170C4B" w:rsidP="00170C4B">
      <w:pPr>
        <w:rPr>
          <w:bCs/>
        </w:rPr>
      </w:pPr>
    </w:p>
    <w:p w:rsidR="00170C4B" w:rsidP="00170C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279</w:t>
      </w:r>
    </w:p>
    <w:p w:rsidR="00170C4B" w:rsidP="00170C4B">
      <w:pPr>
        <w:rPr>
          <w:bCs/>
        </w:rPr>
      </w:pPr>
    </w:p>
    <w:p w:rsidR="00170C4B" w:rsidP="00170C4B">
      <w:pPr>
        <w:jc w:val="center"/>
        <w:rPr>
          <w:b/>
          <w:bCs/>
        </w:rPr>
      </w:pPr>
      <w:r>
        <w:rPr>
          <w:b/>
          <w:bCs/>
        </w:rPr>
        <w:t>VLÁDNY NÁVRH</w:t>
      </w:r>
    </w:p>
    <w:p w:rsidR="00170C4B" w:rsidP="00170C4B">
      <w:pPr>
        <w:pStyle w:val="Heading1"/>
      </w:pPr>
      <w:r>
        <w:t>ZÁKON</w:t>
      </w:r>
    </w:p>
    <w:p w:rsidR="00170C4B" w:rsidRPr="00B879F1" w:rsidP="00170C4B">
      <w:pPr>
        <w:pStyle w:val="Heading2"/>
        <w:keepLines w:val="0"/>
        <w:rPr>
          <w:lang w:val="sk-SK"/>
        </w:rPr>
      </w:pPr>
      <w:r w:rsidRPr="00B879F1">
        <w:rPr>
          <w:lang w:val="sk-SK"/>
        </w:rPr>
        <w:t>z .................... 201</w:t>
      </w:r>
      <w:r w:rsidR="00A76DFE">
        <w:rPr>
          <w:lang w:val="sk-SK"/>
        </w:rPr>
        <w:t>3</w:t>
      </w:r>
      <w:r w:rsidRPr="00B879F1">
        <w:rPr>
          <w:lang w:val="sk-SK"/>
        </w:rPr>
        <w:t>,</w:t>
      </w:r>
    </w:p>
    <w:p w:rsidR="007D42F1" w:rsidRPr="00C67EDB" w:rsidP="00DF1850">
      <w:pPr>
        <w:pStyle w:val="Heading2"/>
      </w:pPr>
      <w:r w:rsidRPr="00C67EDB">
        <w:t xml:space="preserve">ktorým sa mení a dopĺňa zákon </w:t>
      </w:r>
      <w:r w:rsidR="001C1A75">
        <w:rPr>
          <w:lang w:val="sk-SK"/>
        </w:rPr>
        <w:t xml:space="preserve">Národnej rady Slovenskej republiky </w:t>
      </w:r>
      <w:r w:rsidR="00DF1850">
        <w:t>č. </w:t>
      </w:r>
      <w:r w:rsidRPr="00C67EDB">
        <w:t xml:space="preserve">152/1995 </w:t>
      </w:r>
      <w:r w:rsidR="00DF1850">
        <w:t>Z. z.</w:t>
      </w:r>
      <w:r w:rsidRPr="00C67EDB">
        <w:t xml:space="preserve"> o potravinách v znení neskoršíc</w:t>
      </w:r>
      <w:r w:rsidRPr="00C67EDB">
        <w:t>h predpisov</w:t>
      </w:r>
      <w:r w:rsidR="00404F3B">
        <w:t xml:space="preserve"> a</w:t>
      </w:r>
      <w:r w:rsidR="00160A5C">
        <w:rPr>
          <w:lang w:val="sk-SK"/>
        </w:rPr>
        <w:t> </w:t>
      </w:r>
      <w:r w:rsidR="004224F3">
        <w:rPr>
          <w:lang w:val="sk-SK"/>
        </w:rPr>
        <w:t>ktorým</w:t>
      </w:r>
      <w:r w:rsidR="00160A5C">
        <w:rPr>
          <w:lang w:val="sk-SK"/>
        </w:rPr>
        <w:t xml:space="preserve"> </w:t>
      </w:r>
      <w:r w:rsidR="004224F3">
        <w:rPr>
          <w:lang w:val="sk-SK"/>
        </w:rPr>
        <w:t>sa dopĺňajú niektoré zákony</w:t>
      </w:r>
    </w:p>
    <w:p w:rsidR="007D42F1" w:rsidRPr="00C67EDB" w:rsidP="00CE4677">
      <w:pPr>
        <w:spacing w:before="600" w:after="600"/>
        <w:ind w:firstLine="357"/>
        <w:rPr>
          <w:b/>
          <w:bCs/>
        </w:rPr>
      </w:pPr>
      <w:r w:rsidRPr="00C67EDB">
        <w:t>Národná rada Slovenskej republiky sa uzniesla na tomto zákone:</w:t>
      </w:r>
    </w:p>
    <w:p w:rsidR="007D42F1" w:rsidRPr="00BF39EC" w:rsidP="00B73743">
      <w:pPr>
        <w:spacing w:before="240" w:after="240"/>
        <w:jc w:val="center"/>
        <w:rPr>
          <w:b/>
          <w:bCs/>
        </w:rPr>
      </w:pPr>
      <w:r w:rsidRPr="00BF39EC">
        <w:rPr>
          <w:b/>
          <w:bCs/>
        </w:rPr>
        <w:t>Čl. I</w:t>
      </w:r>
    </w:p>
    <w:p w:rsidR="007D42F1" w:rsidP="00B73743">
      <w:pPr>
        <w:ind w:firstLine="360"/>
      </w:pPr>
      <w:r w:rsidRPr="00C67EDB">
        <w:rPr>
          <w:bCs/>
        </w:rPr>
        <w:t xml:space="preserve">Zákon </w:t>
      </w:r>
      <w:r w:rsidR="001C1A75">
        <w:rPr>
          <w:bCs/>
        </w:rPr>
        <w:t xml:space="preserve">Národnej rady Slovenskej republiky </w:t>
      </w:r>
      <w:r w:rsidR="00DF1850">
        <w:rPr>
          <w:bCs/>
        </w:rPr>
        <w:t>č. </w:t>
      </w:r>
      <w:r w:rsidRPr="00C67EDB">
        <w:rPr>
          <w:bCs/>
        </w:rPr>
        <w:t xml:space="preserve">152/1995 </w:t>
      </w:r>
      <w:r w:rsidR="00DF1850">
        <w:rPr>
          <w:bCs/>
        </w:rPr>
        <w:t>Z. z.</w:t>
      </w:r>
      <w:r w:rsidRPr="00C67EDB">
        <w:rPr>
          <w:bCs/>
        </w:rPr>
        <w:t xml:space="preserve"> o potravinách v znení </w:t>
      </w:r>
      <w:r w:rsidRPr="00C67EDB" w:rsidR="00E413EB">
        <w:rPr>
          <w:bCs/>
        </w:rPr>
        <w:t>zákona</w:t>
      </w:r>
      <w:r w:rsidR="00214791">
        <w:rPr>
          <w:bCs/>
        </w:rPr>
        <w:t xml:space="preserve"> Národnej rady Slovenskej republiky</w:t>
      </w:r>
      <w:r w:rsidRPr="00C67EDB" w:rsidR="00E413EB">
        <w:rPr>
          <w:bCs/>
        </w:rPr>
        <w:t xml:space="preserve"> </w:t>
      </w:r>
      <w:r w:rsidR="00DF1850">
        <w:rPr>
          <w:bCs/>
        </w:rPr>
        <w:t>č. </w:t>
      </w:r>
      <w:r w:rsidRPr="00C67EDB" w:rsidR="00C6100A">
        <w:rPr>
          <w:bCs/>
        </w:rPr>
        <w:t xml:space="preserve">290/1996 </w:t>
      </w:r>
      <w:r w:rsidR="00DF1850">
        <w:rPr>
          <w:bCs/>
        </w:rPr>
        <w:t>Z. </w:t>
      </w:r>
      <w:r w:rsidR="00DF1850">
        <w:rPr>
          <w:bCs/>
        </w:rPr>
        <w:t>z.</w:t>
      </w:r>
      <w:r w:rsidRPr="00C67EDB" w:rsidR="00C6100A">
        <w:rPr>
          <w:bCs/>
        </w:rPr>
        <w:t>,</w:t>
      </w:r>
      <w:r w:rsidRPr="00C67EDB" w:rsidR="00C67EDB">
        <w:rPr>
          <w:bCs/>
        </w:rPr>
        <w:t xml:space="preserve"> zákona </w:t>
      </w:r>
      <w:r w:rsidR="00DF1850">
        <w:rPr>
          <w:bCs/>
        </w:rPr>
        <w:t>č. </w:t>
      </w:r>
      <w:r w:rsidRPr="00C67EDB" w:rsidR="00C6100A">
        <w:rPr>
          <w:bCs/>
        </w:rPr>
        <w:t xml:space="preserve">470/2000 </w:t>
      </w:r>
      <w:r w:rsidR="00DF1850">
        <w:rPr>
          <w:bCs/>
        </w:rPr>
        <w:t>Z. z.</w:t>
      </w:r>
      <w:r w:rsidRPr="00C67EDB" w:rsidR="00C6100A">
        <w:rPr>
          <w:bCs/>
        </w:rPr>
        <w:t xml:space="preserve">, </w:t>
      </w:r>
      <w:r w:rsidRPr="00C67EDB" w:rsidR="00C67EDB">
        <w:rPr>
          <w:bCs/>
        </w:rPr>
        <w:t xml:space="preserve">zákona </w:t>
      </w:r>
      <w:r w:rsidR="00DF1850">
        <w:rPr>
          <w:bCs/>
        </w:rPr>
        <w:t>č. </w:t>
      </w:r>
      <w:r w:rsidRPr="00C67EDB" w:rsidR="00C6100A">
        <w:rPr>
          <w:bCs/>
        </w:rPr>
        <w:t xml:space="preserve">553/2001 </w:t>
      </w:r>
      <w:r w:rsidR="00DF1850">
        <w:rPr>
          <w:bCs/>
        </w:rPr>
        <w:t>Z. z.</w:t>
      </w:r>
      <w:r w:rsidRPr="00C67EDB" w:rsidR="00C6100A">
        <w:rPr>
          <w:bCs/>
        </w:rPr>
        <w:t xml:space="preserve">, </w:t>
      </w:r>
      <w:r w:rsidRPr="00C67EDB" w:rsidR="00C67EDB">
        <w:rPr>
          <w:bCs/>
        </w:rPr>
        <w:t xml:space="preserve">zákona </w:t>
      </w:r>
      <w:r w:rsidR="00DF1850">
        <w:rPr>
          <w:bCs/>
        </w:rPr>
        <w:t>č. </w:t>
      </w:r>
      <w:r w:rsidRPr="00C67EDB" w:rsidR="00C6100A">
        <w:rPr>
          <w:bCs/>
        </w:rPr>
        <w:t xml:space="preserve">23/2002 </w:t>
      </w:r>
      <w:r w:rsidR="00DF1850">
        <w:rPr>
          <w:bCs/>
        </w:rPr>
        <w:t>Z. z.</w:t>
      </w:r>
      <w:r w:rsidRPr="00C67EDB" w:rsidR="00C6100A">
        <w:rPr>
          <w:bCs/>
        </w:rPr>
        <w:t xml:space="preserve">, </w:t>
      </w:r>
      <w:r w:rsidRPr="00C67EDB" w:rsidR="00C67EDB">
        <w:rPr>
          <w:bCs/>
        </w:rPr>
        <w:t xml:space="preserve">zákona </w:t>
      </w:r>
      <w:r w:rsidR="00DF1850">
        <w:rPr>
          <w:bCs/>
        </w:rPr>
        <w:t>č. </w:t>
      </w:r>
      <w:r w:rsidRPr="00C67EDB" w:rsidR="00C6100A">
        <w:rPr>
          <w:bCs/>
        </w:rPr>
        <w:t xml:space="preserve">450/2002 </w:t>
      </w:r>
      <w:r w:rsidR="00DF1850">
        <w:rPr>
          <w:bCs/>
        </w:rPr>
        <w:t>Z. z.</w:t>
      </w:r>
      <w:r w:rsidRPr="00C67EDB" w:rsidR="00C6100A">
        <w:rPr>
          <w:bCs/>
        </w:rPr>
        <w:t xml:space="preserve">, </w:t>
      </w:r>
      <w:r w:rsidRPr="00C67EDB" w:rsidR="00C67EDB">
        <w:rPr>
          <w:bCs/>
        </w:rPr>
        <w:t xml:space="preserve">zákona </w:t>
      </w:r>
      <w:r w:rsidR="00DF1850">
        <w:rPr>
          <w:bCs/>
        </w:rPr>
        <w:t>č. </w:t>
      </w:r>
      <w:r w:rsidRPr="00C67EDB" w:rsidR="00C6100A">
        <w:rPr>
          <w:bCs/>
        </w:rPr>
        <w:t xml:space="preserve">472/2003 </w:t>
      </w:r>
      <w:r w:rsidR="00DF1850">
        <w:rPr>
          <w:bCs/>
        </w:rPr>
        <w:t>Z. z.</w:t>
      </w:r>
      <w:r w:rsidRPr="00C67EDB" w:rsidR="00C6100A">
        <w:rPr>
          <w:bCs/>
        </w:rPr>
        <w:t xml:space="preserve">, </w:t>
      </w:r>
      <w:r w:rsidRPr="00C67EDB" w:rsidR="00C67EDB">
        <w:rPr>
          <w:bCs/>
        </w:rPr>
        <w:t xml:space="preserve">zákona </w:t>
      </w:r>
      <w:r w:rsidR="00DF1850">
        <w:rPr>
          <w:bCs/>
        </w:rPr>
        <w:t>č. </w:t>
      </w:r>
      <w:r w:rsidRPr="00C67EDB" w:rsidR="00C6100A">
        <w:rPr>
          <w:bCs/>
        </w:rPr>
        <w:t xml:space="preserve">546/2004 </w:t>
      </w:r>
      <w:r w:rsidR="00DF1850">
        <w:rPr>
          <w:bCs/>
        </w:rPr>
        <w:t>Z. z.</w:t>
      </w:r>
      <w:r w:rsidRPr="00C67EDB" w:rsidR="00C6100A">
        <w:rPr>
          <w:bCs/>
        </w:rPr>
        <w:t xml:space="preserve">, </w:t>
      </w:r>
      <w:r w:rsidRPr="00C67EDB" w:rsidR="00C67EDB">
        <w:rPr>
          <w:bCs/>
        </w:rPr>
        <w:t xml:space="preserve">zákona </w:t>
      </w:r>
      <w:r w:rsidR="00DF1850">
        <w:rPr>
          <w:bCs/>
        </w:rPr>
        <w:t>č. </w:t>
      </w:r>
      <w:r w:rsidRPr="00C67EDB" w:rsidR="00C6100A">
        <w:rPr>
          <w:bCs/>
        </w:rPr>
        <w:t xml:space="preserve">195/2007 </w:t>
      </w:r>
      <w:r w:rsidR="00DF1850">
        <w:rPr>
          <w:bCs/>
        </w:rPr>
        <w:t>Z. z.</w:t>
      </w:r>
      <w:r w:rsidRPr="00C67EDB" w:rsidR="00C6100A">
        <w:rPr>
          <w:bCs/>
        </w:rPr>
        <w:t xml:space="preserve">, </w:t>
      </w:r>
      <w:r w:rsidR="00A408E0">
        <w:rPr>
          <w:bCs/>
        </w:rPr>
        <w:t xml:space="preserve">zákona </w:t>
      </w:r>
      <w:r w:rsidR="00DF1850">
        <w:rPr>
          <w:bCs/>
        </w:rPr>
        <w:t>č. </w:t>
      </w:r>
      <w:r w:rsidRPr="00C67EDB" w:rsidR="00C6100A">
        <w:rPr>
          <w:bCs/>
        </w:rPr>
        <w:t xml:space="preserve">318/2009 </w:t>
      </w:r>
      <w:r w:rsidR="00DF1850">
        <w:rPr>
          <w:bCs/>
        </w:rPr>
        <w:t>Z. z.</w:t>
      </w:r>
      <w:r w:rsidRPr="00C67EDB" w:rsidR="00C6100A">
        <w:rPr>
          <w:bCs/>
        </w:rPr>
        <w:t xml:space="preserve">, </w:t>
      </w:r>
      <w:r w:rsidRPr="00C67EDB" w:rsidR="00C67EDB">
        <w:rPr>
          <w:bCs/>
        </w:rPr>
        <w:t xml:space="preserve">zákona </w:t>
      </w:r>
      <w:r w:rsidR="00DF1850">
        <w:rPr>
          <w:bCs/>
        </w:rPr>
        <w:t>č. </w:t>
      </w:r>
      <w:r w:rsidRPr="00C67EDB" w:rsidR="00C6100A">
        <w:rPr>
          <w:bCs/>
        </w:rPr>
        <w:t xml:space="preserve">114/2010 </w:t>
      </w:r>
      <w:r w:rsidR="00DF1850">
        <w:rPr>
          <w:bCs/>
        </w:rPr>
        <w:t>Z. z.</w:t>
      </w:r>
      <w:r w:rsidRPr="00C67EDB" w:rsidR="00C67EDB">
        <w:rPr>
          <w:bCs/>
        </w:rPr>
        <w:t xml:space="preserve"> a</w:t>
      </w:r>
      <w:r w:rsidRPr="00C67EDB" w:rsidR="00C6100A">
        <w:rPr>
          <w:bCs/>
        </w:rPr>
        <w:t xml:space="preserve"> </w:t>
      </w:r>
      <w:r w:rsidRPr="00C67EDB" w:rsidR="00C67EDB">
        <w:rPr>
          <w:bCs/>
        </w:rPr>
        <w:t xml:space="preserve">zákona </w:t>
      </w:r>
      <w:r w:rsidR="00DF1850">
        <w:rPr>
          <w:bCs/>
        </w:rPr>
        <w:t>č. </w:t>
      </w:r>
      <w:r w:rsidRPr="00C67EDB" w:rsidR="00C67EDB">
        <w:rPr>
          <w:bCs/>
        </w:rPr>
        <w:t>349/2011</w:t>
      </w:r>
      <w:r w:rsidRPr="00C67EDB" w:rsidR="00C67EDB">
        <w:rPr>
          <w:bCs/>
        </w:rPr>
        <w:t xml:space="preserve"> </w:t>
      </w:r>
      <w:r w:rsidR="00DF1850">
        <w:rPr>
          <w:bCs/>
        </w:rPr>
        <w:t>Z. z.</w:t>
      </w:r>
      <w:r w:rsidRPr="00C67EDB" w:rsidR="00C67EDB">
        <w:rPr>
          <w:bCs/>
        </w:rPr>
        <w:t xml:space="preserve"> </w:t>
      </w:r>
      <w:r w:rsidRPr="00C67EDB">
        <w:t>sa mení a dopĺňa takto:</w:t>
      </w:r>
    </w:p>
    <w:p w:rsidR="006D73DE" w:rsidRPr="006D73DE" w:rsidP="00160A5C">
      <w:pPr>
        <w:numPr>
          <w:ilvl w:val="0"/>
          <w:numId w:val="2"/>
        </w:numPr>
        <w:spacing w:before="240" w:after="240"/>
        <w:ind w:left="357" w:hanging="357"/>
      </w:pPr>
      <w:r w:rsidRPr="006D73DE">
        <w:t>V § 3 ods. 1 sa vypúšťajú slová „a kritériá na posudzovanie malej prevádzky, strednej prevádzky a veľkej prevádzky“.</w:t>
      </w:r>
    </w:p>
    <w:p w:rsidR="000D302D" w:rsidP="00160A5C">
      <w:pPr>
        <w:numPr>
          <w:ilvl w:val="0"/>
          <w:numId w:val="2"/>
        </w:numPr>
        <w:spacing w:before="240" w:after="240"/>
        <w:ind w:left="357" w:hanging="357"/>
      </w:pPr>
      <w:r w:rsidR="00215ADC">
        <w:t xml:space="preserve">V § 6b </w:t>
      </w:r>
      <w:r>
        <w:t>ods</w:t>
      </w:r>
      <w:r w:rsidR="00215ADC">
        <w:t>.</w:t>
      </w:r>
      <w:r>
        <w:t xml:space="preserve"> 1 sa za slová </w:t>
      </w:r>
      <w:r w:rsidR="009B11AF">
        <w:t xml:space="preserve">„Slovenskej </w:t>
      </w:r>
      <w:r>
        <w:t>republiky</w:t>
      </w:r>
      <w:r w:rsidR="009B11AF">
        <w:t>“</w:t>
      </w:r>
      <w:r>
        <w:t xml:space="preserve"> vkladajú slová: „(ďalej len „štátna veterinárna a potravino</w:t>
      </w:r>
      <w:r>
        <w:t>vá</w:t>
      </w:r>
      <w:r w:rsidRPr="00C67EDB">
        <w:t xml:space="preserve"> správ</w:t>
      </w:r>
      <w:r>
        <w:t>a“)</w:t>
      </w:r>
      <w:r w:rsidR="0028466C">
        <w:rPr>
          <w:vertAlign w:val="superscript"/>
        </w:rPr>
        <w:t>8da</w:t>
      </w:r>
      <w:r w:rsidR="00160A5C">
        <w:t>)</w:t>
      </w:r>
      <w:r w:rsidR="00C6052E">
        <w:t>.</w:t>
      </w:r>
      <w:r>
        <w:t>“.</w:t>
      </w:r>
    </w:p>
    <w:p w:rsidR="005B440B" w:rsidP="00160A5C">
      <w:pPr>
        <w:spacing w:before="120" w:after="120"/>
        <w:ind w:left="357"/>
      </w:pPr>
      <w:r w:rsidR="0028466C">
        <w:t xml:space="preserve">Poznámka </w:t>
      </w:r>
      <w:r>
        <w:t xml:space="preserve"> pod čiarou </w:t>
      </w:r>
      <w:r w:rsidR="0028466C">
        <w:t xml:space="preserve">k odkazu </w:t>
      </w:r>
      <w:r>
        <w:t xml:space="preserve">8da </w:t>
      </w:r>
      <w:r w:rsidR="00145053">
        <w:rPr>
          <w:vertAlign w:val="superscript"/>
        </w:rPr>
        <w:t xml:space="preserve"> </w:t>
      </w:r>
      <w:r w:rsidR="00160A5C">
        <w:t>znie:</w:t>
      </w:r>
    </w:p>
    <w:p w:rsidR="0028466C" w:rsidRPr="00C67EDB" w:rsidP="00160A5C">
      <w:pPr>
        <w:spacing w:before="120" w:after="120"/>
        <w:ind w:left="357"/>
      </w:pPr>
      <w:r w:rsidR="00145053">
        <w:t>„</w:t>
      </w:r>
      <w:r w:rsidR="005B440B">
        <w:rPr>
          <w:vertAlign w:val="superscript"/>
        </w:rPr>
        <w:t>8da</w:t>
      </w:r>
      <w:r w:rsidR="005B440B">
        <w:t xml:space="preserve">) </w:t>
      </w:r>
      <w:r w:rsidR="00145053">
        <w:t>§ 6 zákona č. 39/2007 Z.</w:t>
      </w:r>
      <w:r w:rsidR="005B440B">
        <w:t xml:space="preserve"> </w:t>
      </w:r>
      <w:r w:rsidR="00145053">
        <w:t>z. v znení neskorších predpisov.“</w:t>
      </w:r>
      <w:r w:rsidR="005B440B">
        <w:t>.</w:t>
      </w:r>
    </w:p>
    <w:p w:rsidR="00675EA7" w:rsidP="00B73743">
      <w:pPr>
        <w:numPr>
          <w:ilvl w:val="0"/>
          <w:numId w:val="2"/>
        </w:numPr>
        <w:spacing w:before="240" w:after="240"/>
        <w:ind w:left="357" w:hanging="357"/>
      </w:pPr>
      <w:r>
        <w:t xml:space="preserve">V § 7 </w:t>
      </w:r>
      <w:r w:rsidR="00F32D6B">
        <w:t>sa vypúšťa odsek 3</w:t>
      </w:r>
      <w:r w:rsidR="00CE0BA5">
        <w:t>.</w:t>
      </w:r>
    </w:p>
    <w:p w:rsidR="007D42F1" w:rsidRPr="00C67EDB" w:rsidP="00B73743">
      <w:pPr>
        <w:numPr>
          <w:ilvl w:val="0"/>
          <w:numId w:val="2"/>
        </w:numPr>
        <w:spacing w:before="240" w:after="240"/>
        <w:ind w:left="357" w:hanging="357"/>
      </w:pPr>
      <w:r w:rsidRPr="00C67EDB">
        <w:t>Za § 7a sa vkladá § 7b, ktorý znie:</w:t>
      </w:r>
    </w:p>
    <w:p w:rsidR="007D42F1" w:rsidRPr="00A408E0" w:rsidP="00DF1850">
      <w:pPr>
        <w:pStyle w:val="Heading1"/>
      </w:pPr>
      <w:r w:rsidRPr="00A408E0">
        <w:t>„§ 7b</w:t>
      </w:r>
    </w:p>
    <w:p w:rsidR="007D42F1" w:rsidP="00160A5C">
      <w:pPr>
        <w:ind w:left="357" w:firstLine="709"/>
      </w:pPr>
      <w:r w:rsidRPr="00C67EDB">
        <w:t>Príjemca zásielky</w:t>
      </w:r>
      <w:r w:rsidR="00215ADC">
        <w:t>,</w:t>
      </w:r>
      <w:r w:rsidRPr="00C67EDB">
        <w:t xml:space="preserve"> produktov živočíšneho pôvodu, nespracovanej</w:t>
      </w:r>
      <w:r w:rsidRPr="00C67EDB">
        <w:t xml:space="preserve"> zeleniny</w:t>
      </w:r>
      <w:r w:rsidR="00BF39EC">
        <w:t xml:space="preserve"> a </w:t>
      </w:r>
      <w:r w:rsidRPr="00C67EDB">
        <w:t>nespracovaného ovocia v mieste určenia</w:t>
      </w:r>
      <w:r w:rsidRPr="00C67EDB" w:rsidR="005010C0">
        <w:t xml:space="preserve"> </w:t>
      </w:r>
      <w:r w:rsidRPr="00C67EDB" w:rsidR="003C55B7">
        <w:t>pochádzajúcej</w:t>
      </w:r>
      <w:r w:rsidR="00BF39EC">
        <w:t xml:space="preserve"> </w:t>
      </w:r>
      <w:r w:rsidRPr="00C67EDB">
        <w:t xml:space="preserve">z iného </w:t>
      </w:r>
      <w:r w:rsidRPr="00C67EDB" w:rsidR="005010C0">
        <w:t xml:space="preserve">členského štátu Európskej únie </w:t>
      </w:r>
      <w:r w:rsidRPr="00C67EDB">
        <w:t xml:space="preserve">je </w:t>
      </w:r>
      <w:r w:rsidRPr="00C67EDB" w:rsidR="005010C0">
        <w:t xml:space="preserve">povinný </w:t>
      </w:r>
      <w:r w:rsidRPr="00C67EDB">
        <w:t>najneskôr 24 hodín vopred nahlásiť príslušnej regionálnej veterinárnej a</w:t>
      </w:r>
      <w:r w:rsidR="00CE4677">
        <w:t> </w:t>
      </w:r>
      <w:r w:rsidRPr="00C67EDB">
        <w:t>potravinovej správe</w:t>
      </w:r>
      <w:r w:rsidR="00675EA7">
        <w:t>,</w:t>
      </w:r>
      <w:r w:rsidRPr="00C67EDB">
        <w:t xml:space="preserve"> príchod zásielky</w:t>
      </w:r>
      <w:r w:rsidR="00AB5B11">
        <w:t>,</w:t>
      </w:r>
      <w:r w:rsidRPr="00EE7DBA" w:rsidR="00C22CCE">
        <w:rPr>
          <w:vertAlign w:val="superscript"/>
        </w:rPr>
        <w:t>8f</w:t>
      </w:r>
      <w:r w:rsidR="00C22CCE">
        <w:t>)</w:t>
      </w:r>
      <w:r w:rsidRPr="00C67EDB">
        <w:t xml:space="preserve"> </w:t>
      </w:r>
      <w:r w:rsidR="00675EA7">
        <w:t xml:space="preserve">produktov </w:t>
      </w:r>
      <w:r w:rsidRPr="00C67EDB">
        <w:t>živočíšneho pôvo</w:t>
      </w:r>
      <w:r w:rsidRPr="00C67EDB">
        <w:t>du, nespracovanej zeleniny a</w:t>
      </w:r>
      <w:r w:rsidR="00CE4677">
        <w:t> </w:t>
      </w:r>
      <w:r w:rsidRPr="00C67EDB" w:rsidR="003C55B7">
        <w:t>nespracovaného</w:t>
      </w:r>
      <w:r w:rsidR="00CE4677">
        <w:t xml:space="preserve"> </w:t>
      </w:r>
      <w:r w:rsidRPr="00C67EDB">
        <w:t>ovocia, miesto jej určenia, krajinu pôvodu zásielky, druh zásielky a</w:t>
      </w:r>
      <w:r w:rsidR="00500061">
        <w:t> </w:t>
      </w:r>
      <w:r w:rsidRPr="00C67EDB">
        <w:t>jej</w:t>
      </w:r>
      <w:r w:rsidR="00500061">
        <w:t xml:space="preserve"> </w:t>
      </w:r>
      <w:r w:rsidRPr="00C67EDB">
        <w:t>množstvo</w:t>
      </w:r>
      <w:r w:rsidR="001C1A75">
        <w:t>; ustanovenie sa vzťahuje aj na dovoz potravín</w:t>
      </w:r>
      <w:r w:rsidRPr="00C67EDB">
        <w:t>.“.</w:t>
      </w:r>
    </w:p>
    <w:p w:rsidR="00C22CCE" w:rsidP="00C22CCE">
      <w:pPr>
        <w:spacing w:before="120" w:after="120"/>
        <w:ind w:left="357"/>
      </w:pPr>
      <w:r>
        <w:t>Poznámka pod čiarou k odkazu 8f znie:</w:t>
      </w:r>
    </w:p>
    <w:p w:rsidR="00C22CCE" w:rsidRPr="00C67EDB" w:rsidP="00C22CCE">
      <w:pPr>
        <w:spacing w:before="120" w:after="120"/>
        <w:ind w:left="357"/>
      </w:pPr>
      <w:r w:rsidRPr="00C22CCE">
        <w:t>„</w:t>
      </w:r>
      <w:r w:rsidRPr="00C22CCE">
        <w:rPr>
          <w:vertAlign w:val="superscript"/>
        </w:rPr>
        <w:t>8f</w:t>
      </w:r>
      <w:r>
        <w:t xml:space="preserve">) Čl. 3 ods. 6 nariadenia (ES) </w:t>
      </w:r>
      <w:r w:rsidR="00AB5B11">
        <w:t>č. </w:t>
      </w:r>
      <w:r>
        <w:t>882/20</w:t>
      </w:r>
      <w:r>
        <w:t>04 v platnom znení.“.</w:t>
      </w:r>
    </w:p>
    <w:p w:rsidR="00774F7C" w:rsidP="00B73743">
      <w:pPr>
        <w:numPr>
          <w:ilvl w:val="0"/>
          <w:numId w:val="2"/>
        </w:numPr>
        <w:spacing w:before="240" w:after="240"/>
        <w:ind w:left="357" w:hanging="357"/>
      </w:pPr>
      <w:r>
        <w:t>V § 20 ods</w:t>
      </w:r>
      <w:r w:rsidR="00215ADC">
        <w:t>.</w:t>
      </w:r>
      <w:r>
        <w:t xml:space="preserve"> 9 sa za slovo „podľa“ vkladajú slová „odseku 1</w:t>
      </w:r>
      <w:r w:rsidR="004A7D07">
        <w:t>2</w:t>
      </w:r>
      <w:r>
        <w:t>,“.</w:t>
      </w:r>
    </w:p>
    <w:p w:rsidR="004A7D07" w:rsidP="00B73743">
      <w:pPr>
        <w:numPr>
          <w:ilvl w:val="0"/>
          <w:numId w:val="2"/>
        </w:numPr>
        <w:spacing w:before="240" w:after="240"/>
        <w:ind w:left="357" w:hanging="357"/>
      </w:pPr>
      <w:r>
        <w:t xml:space="preserve">V § 20 sa </w:t>
      </w:r>
      <w:r w:rsidR="00AB5B11">
        <w:t xml:space="preserve">vypúšťa </w:t>
      </w:r>
      <w:r>
        <w:t>odsek 10.</w:t>
      </w:r>
    </w:p>
    <w:p w:rsidR="004A7D07" w:rsidP="004A7D07">
      <w:pPr>
        <w:spacing w:before="240" w:after="240"/>
        <w:ind w:left="357"/>
      </w:pPr>
      <w:r>
        <w:t>Doterajšie odseky 11 a 12 sa označujú ako odseky 10 a 11.</w:t>
      </w:r>
    </w:p>
    <w:p w:rsidR="007D42F1" w:rsidRPr="00C67EDB" w:rsidP="00B73743">
      <w:pPr>
        <w:numPr>
          <w:ilvl w:val="0"/>
          <w:numId w:val="2"/>
        </w:numPr>
        <w:spacing w:before="240" w:after="240"/>
        <w:ind w:left="357" w:hanging="357"/>
      </w:pPr>
      <w:r w:rsidRPr="00C67EDB">
        <w:t>§ 20 sa dopĺňa odsekmi 1</w:t>
      </w:r>
      <w:r w:rsidR="004A7D07">
        <w:t>2</w:t>
      </w:r>
      <w:r w:rsidRPr="00C67EDB">
        <w:t xml:space="preserve"> až </w:t>
      </w:r>
      <w:r w:rsidRPr="00C67EDB" w:rsidR="00C67EDB">
        <w:t>1</w:t>
      </w:r>
      <w:r w:rsidR="004A7D07">
        <w:t>6</w:t>
      </w:r>
      <w:r w:rsidRPr="00C67EDB">
        <w:t>, ktoré znejú</w:t>
      </w:r>
      <w:r w:rsidRPr="00C67EDB" w:rsidR="00B256E1">
        <w:t>:</w:t>
      </w:r>
    </w:p>
    <w:p w:rsidR="0087151A" w:rsidRPr="00C67EDB" w:rsidP="0087151A">
      <w:pPr>
        <w:pStyle w:val="odsek1"/>
        <w:numPr>
          <w:ilvl w:val="0"/>
          <w:numId w:val="0"/>
        </w:numPr>
        <w:ind w:left="360" w:firstLine="360"/>
      </w:pPr>
      <w:r w:rsidRPr="00C67EDB" w:rsidR="00B256E1">
        <w:t>„</w:t>
      </w:r>
      <w:r w:rsidRPr="00C67EDB" w:rsidR="001058A8">
        <w:t>(1</w:t>
      </w:r>
      <w:r w:rsidR="004A7D07">
        <w:t>2</w:t>
      </w:r>
      <w:r w:rsidRPr="00C67EDB" w:rsidR="007D42F1">
        <w:t xml:space="preserve">) </w:t>
      </w:r>
      <w:r>
        <w:t>O</w:t>
      </w:r>
      <w:r w:rsidRPr="00C67EDB">
        <w:t>rgán úradnej kontroly potravín j</w:t>
      </w:r>
      <w:r w:rsidRPr="00C67EDB">
        <w:t xml:space="preserve">e na základe výsledkov úradnej kontroly </w:t>
      </w:r>
      <w:r>
        <w:t xml:space="preserve">potravín pri zistení ohrozenia zdravia alebo života spotrebiteľa </w:t>
      </w:r>
      <w:r w:rsidRPr="00C67EDB">
        <w:t>oprávnen</w:t>
      </w:r>
      <w:r>
        <w:t>ý</w:t>
      </w:r>
      <w:r w:rsidRPr="00C67EDB">
        <w:t xml:space="preserve"> n</w:t>
      </w:r>
      <w:r>
        <w:t>ariadiť prevádzkovateľovi</w:t>
      </w:r>
      <w:r w:rsidR="00A64B33">
        <w:t>:</w:t>
      </w:r>
    </w:p>
    <w:p w:rsidR="00215ADC" w:rsidRPr="00215ADC" w:rsidP="00B73743">
      <w:pPr>
        <w:numPr>
          <w:ilvl w:val="0"/>
          <w:numId w:val="5"/>
        </w:numPr>
      </w:pPr>
      <w:r w:rsidRPr="00C67EDB" w:rsidR="007D42F1">
        <w:rPr>
          <w:color w:val="000000"/>
        </w:rPr>
        <w:t>okamžité</w:t>
      </w:r>
      <w:r w:rsidR="00CB1A46">
        <w:rPr>
          <w:color w:val="000000"/>
        </w:rPr>
        <w:t xml:space="preserve"> </w:t>
      </w:r>
      <w:r w:rsidRPr="00C67EDB" w:rsidR="007D42F1">
        <w:rPr>
          <w:color w:val="000000"/>
        </w:rPr>
        <w:t>stiahnutie potraviny</w:t>
      </w:r>
      <w:r w:rsidRPr="00C67EDB" w:rsidR="00BB468F">
        <w:rPr>
          <w:color w:val="000000"/>
        </w:rPr>
        <w:t xml:space="preserve"> </w:t>
      </w:r>
      <w:r w:rsidRPr="00C67EDB" w:rsidR="005010C0">
        <w:rPr>
          <w:color w:val="000000"/>
        </w:rPr>
        <w:t>z</w:t>
      </w:r>
      <w:r w:rsidR="004D6AD4">
        <w:rPr>
          <w:color w:val="000000"/>
        </w:rPr>
        <w:t> </w:t>
      </w:r>
      <w:r w:rsidRPr="00C67EDB" w:rsidR="005010C0">
        <w:rPr>
          <w:color w:val="000000"/>
        </w:rPr>
        <w:t>trhu</w:t>
      </w:r>
      <w:r w:rsidR="004D6AD4">
        <w:rPr>
          <w:color w:val="000000"/>
        </w:rPr>
        <w:t>,</w:t>
      </w:r>
      <w:r w:rsidRPr="005B5D3C" w:rsidR="005B5D3C">
        <w:rPr>
          <w:color w:val="000000"/>
          <w:vertAlign w:val="superscript"/>
        </w:rPr>
        <w:t>12aa</w:t>
      </w:r>
      <w:r w:rsidR="004D6AD4">
        <w:rPr>
          <w:color w:val="000000"/>
        </w:rPr>
        <w:t>)</w:t>
      </w:r>
    </w:p>
    <w:p w:rsidR="007D42F1" w:rsidRPr="005B5D3C" w:rsidP="00B73743">
      <w:pPr>
        <w:numPr>
          <w:ilvl w:val="0"/>
          <w:numId w:val="5"/>
        </w:numPr>
      </w:pPr>
      <w:r w:rsidRPr="00C67EDB">
        <w:rPr>
          <w:color w:val="000000"/>
        </w:rPr>
        <w:t>zničenie</w:t>
      </w:r>
      <w:r w:rsidR="00215ADC">
        <w:rPr>
          <w:color w:val="000000"/>
        </w:rPr>
        <w:t xml:space="preserve"> potraviny</w:t>
      </w:r>
      <w:r w:rsidRPr="00C67EDB" w:rsidR="003C53A6">
        <w:rPr>
          <w:color w:val="000000"/>
        </w:rPr>
        <w:t xml:space="preserve"> </w:t>
      </w:r>
      <w:r w:rsidR="00707984">
        <w:rPr>
          <w:color w:val="000000"/>
        </w:rPr>
        <w:t xml:space="preserve">na </w:t>
      </w:r>
      <w:r w:rsidR="001C1A75">
        <w:rPr>
          <w:color w:val="000000"/>
        </w:rPr>
        <w:t>jeho náklady</w:t>
      </w:r>
      <w:r w:rsidR="00675EA7">
        <w:rPr>
          <w:color w:val="000000"/>
        </w:rPr>
        <w:t>,</w:t>
      </w:r>
      <w:r w:rsidRPr="005B5D3C" w:rsidR="005B5D3C">
        <w:rPr>
          <w:color w:val="000000"/>
          <w:vertAlign w:val="superscript"/>
        </w:rPr>
        <w:t>12aa</w:t>
      </w:r>
      <w:r w:rsidR="005B5D3C">
        <w:rPr>
          <w:color w:val="000000"/>
        </w:rPr>
        <w:t>)</w:t>
      </w:r>
    </w:p>
    <w:p w:rsidR="005B5D3C" w:rsidRPr="00C67EDB" w:rsidP="00B73743">
      <w:pPr>
        <w:numPr>
          <w:ilvl w:val="0"/>
          <w:numId w:val="5"/>
        </w:numPr>
      </w:pPr>
      <w:r>
        <w:t>znehodnotenie</w:t>
      </w:r>
      <w:r w:rsidRPr="00C67EDB">
        <w:t xml:space="preserve"> potrav</w:t>
      </w:r>
      <w:r>
        <w:t>iny</w:t>
      </w:r>
      <w:r w:rsidRPr="00C67EDB">
        <w:t xml:space="preserve"> použi</w:t>
      </w:r>
      <w:r w:rsidRPr="00C67EDB">
        <w:t>tím</w:t>
      </w:r>
      <w:r>
        <w:t xml:space="preserve"> </w:t>
      </w:r>
      <w:r w:rsidRPr="00C67EDB">
        <w:t>chemických prostriedkov alebo mechanických prostriedkov,</w:t>
      </w:r>
      <w:r>
        <w:t xml:space="preserve"> </w:t>
      </w:r>
      <w:r w:rsidRPr="00C67EDB">
        <w:t>ktoré znemožňujú opätovné umiestenie takýchto potravín na trh</w:t>
      </w:r>
      <w:r>
        <w:rPr>
          <w:rFonts w:eastAsia="PalatinoLinotype-Roman"/>
        </w:rPr>
        <w:t>,</w:t>
      </w:r>
    </w:p>
    <w:p w:rsidR="007D42F1" w:rsidRPr="00160A5C" w:rsidP="00B73743">
      <w:pPr>
        <w:numPr>
          <w:ilvl w:val="0"/>
          <w:numId w:val="5"/>
        </w:numPr>
      </w:pPr>
      <w:r w:rsidR="0087151A">
        <w:rPr>
          <w:color w:val="000000"/>
        </w:rPr>
        <w:t>oznámiť upozorn</w:t>
      </w:r>
      <w:r w:rsidR="00345CD2">
        <w:rPr>
          <w:color w:val="000000"/>
        </w:rPr>
        <w:t xml:space="preserve">enia </w:t>
      </w:r>
      <w:r w:rsidRPr="00C67EDB">
        <w:rPr>
          <w:color w:val="000000"/>
        </w:rPr>
        <w:t>na riziká</w:t>
      </w:r>
      <w:r w:rsidR="0087151A">
        <w:rPr>
          <w:color w:val="000000"/>
        </w:rPr>
        <w:t xml:space="preserve"> nebezpečných</w:t>
      </w:r>
      <w:r w:rsidRPr="00C67EDB">
        <w:rPr>
          <w:color w:val="000000"/>
        </w:rPr>
        <w:t xml:space="preserve"> potravín</w:t>
      </w:r>
      <w:r w:rsidR="004D07FA">
        <w:rPr>
          <w:color w:val="000000"/>
        </w:rPr>
        <w:t>,</w:t>
      </w:r>
    </w:p>
    <w:p w:rsidR="005D4474" w:rsidRPr="005D4474" w:rsidP="00B73743">
      <w:pPr>
        <w:numPr>
          <w:ilvl w:val="0"/>
          <w:numId w:val="5"/>
        </w:numPr>
      </w:pPr>
      <w:r w:rsidR="00581B04">
        <w:rPr>
          <w:color w:val="000000"/>
        </w:rPr>
        <w:t xml:space="preserve">pozastavenie prevádzky alebo </w:t>
      </w:r>
      <w:r w:rsidR="001C1A75">
        <w:rPr>
          <w:color w:val="000000"/>
        </w:rPr>
        <w:t>zatvorenie</w:t>
      </w:r>
      <w:r w:rsidR="00345CD2">
        <w:rPr>
          <w:color w:val="000000"/>
        </w:rPr>
        <w:t xml:space="preserve"> prevádzkarne</w:t>
      </w:r>
      <w:r w:rsidR="00AB091C">
        <w:rPr>
          <w:color w:val="000000"/>
        </w:rPr>
        <w:t>,</w:t>
      </w:r>
      <w:r w:rsidR="001C1A75">
        <w:rPr>
          <w:color w:val="000000"/>
        </w:rPr>
        <w:t xml:space="preserve"> </w:t>
      </w:r>
      <w:r w:rsidR="00AB091C">
        <w:rPr>
          <w:color w:val="000000"/>
        </w:rPr>
        <w:t>celkom</w:t>
      </w:r>
      <w:r w:rsidR="001C1A75">
        <w:rPr>
          <w:color w:val="000000"/>
        </w:rPr>
        <w:t xml:space="preserve"> alebo </w:t>
      </w:r>
      <w:r w:rsidR="00AB091C">
        <w:rPr>
          <w:color w:val="000000"/>
        </w:rPr>
        <w:t>s</w:t>
      </w:r>
      <w:r w:rsidR="001C1A75">
        <w:rPr>
          <w:color w:val="000000"/>
        </w:rPr>
        <w:t>časti</w:t>
      </w:r>
      <w:r w:rsidR="00AB091C">
        <w:rPr>
          <w:color w:val="000000"/>
        </w:rPr>
        <w:t>,</w:t>
      </w:r>
      <w:r w:rsidRPr="005B5D3C" w:rsidR="005B5D3C">
        <w:rPr>
          <w:color w:val="000000"/>
          <w:vertAlign w:val="superscript"/>
        </w:rPr>
        <w:t>12ab</w:t>
      </w:r>
      <w:r w:rsidR="005B5D3C">
        <w:rPr>
          <w:color w:val="000000"/>
        </w:rPr>
        <w:t>)</w:t>
      </w:r>
      <w:r w:rsidR="001C1A75">
        <w:rPr>
          <w:color w:val="000000"/>
        </w:rPr>
        <w:t xml:space="preserve"> </w:t>
      </w:r>
      <w:r w:rsidRPr="00A10E9D" w:rsidR="00982B27">
        <w:t>ak nie je možné odstrániť zistené nedostatky bezodkladne</w:t>
      </w:r>
      <w:r w:rsidR="00982B27">
        <w:t>,</w:t>
      </w:r>
      <w:r w:rsidR="00982B27">
        <w:rPr>
          <w:color w:val="000000"/>
        </w:rPr>
        <w:t xml:space="preserve"> </w:t>
      </w:r>
      <w:r>
        <w:rPr>
          <w:color w:val="000000"/>
        </w:rPr>
        <w:t>najmä pri</w:t>
      </w:r>
      <w:r w:rsidR="00FF3363">
        <w:rPr>
          <w:color w:val="000000"/>
        </w:rPr>
        <w:t>:</w:t>
      </w:r>
    </w:p>
    <w:p w:rsidR="001C1A75" w:rsidP="005D4474">
      <w:pPr>
        <w:numPr>
          <w:ilvl w:val="0"/>
          <w:numId w:val="28"/>
        </w:numPr>
        <w:rPr>
          <w:color w:val="000000"/>
        </w:rPr>
      </w:pPr>
      <w:r w:rsidR="005D4474">
        <w:rPr>
          <w:color w:val="000000"/>
        </w:rPr>
        <w:t xml:space="preserve">uvádzaní na trh potravín po </w:t>
      </w:r>
      <w:r w:rsidR="006F2420">
        <w:rPr>
          <w:color w:val="000000"/>
        </w:rPr>
        <w:t xml:space="preserve">dátume </w:t>
      </w:r>
      <w:r w:rsidR="005D4474">
        <w:rPr>
          <w:color w:val="000000"/>
        </w:rPr>
        <w:t>spotreby,</w:t>
      </w:r>
    </w:p>
    <w:p w:rsidR="005D4474" w:rsidRPr="005D4474" w:rsidP="005D4474">
      <w:pPr>
        <w:numPr>
          <w:ilvl w:val="0"/>
          <w:numId w:val="28"/>
        </w:numPr>
      </w:pPr>
      <w:r>
        <w:rPr>
          <w:color w:val="000000"/>
        </w:rPr>
        <w:t>zistení prítomnosti hlodavcov,</w:t>
      </w:r>
      <w:r w:rsidR="009A0C86">
        <w:rPr>
          <w:color w:val="000000"/>
        </w:rPr>
        <w:t xml:space="preserve"> vtákov alebo hmyzu</w:t>
      </w:r>
      <w:r w:rsidR="00BD5082">
        <w:rPr>
          <w:color w:val="000000"/>
        </w:rPr>
        <w:t xml:space="preserve"> </w:t>
      </w:r>
      <w:r w:rsidR="00BD5082">
        <w:t>v akomkoľvek štádiu vývoja</w:t>
      </w:r>
      <w:r w:rsidR="009A0C86">
        <w:rPr>
          <w:color w:val="000000"/>
        </w:rPr>
        <w:t>,</w:t>
      </w:r>
      <w:r>
        <w:rPr>
          <w:color w:val="000000"/>
        </w:rPr>
        <w:t xml:space="preserve"> alebo príznakov ich prítomnosti,</w:t>
      </w:r>
    </w:p>
    <w:p w:rsidR="005D4474" w:rsidP="005D4474">
      <w:pPr>
        <w:numPr>
          <w:ilvl w:val="0"/>
          <w:numId w:val="28"/>
        </w:numPr>
      </w:pPr>
      <w:r>
        <w:t>nedodržiavaní podmienok sklado</w:t>
      </w:r>
      <w:r>
        <w:t>vania potravín,</w:t>
      </w:r>
    </w:p>
    <w:p w:rsidR="006565C0" w:rsidP="005D4474">
      <w:pPr>
        <w:numPr>
          <w:ilvl w:val="0"/>
          <w:numId w:val="28"/>
        </w:numPr>
      </w:pPr>
      <w:r w:rsidR="005D4474">
        <w:t>zistení potravín neznámeho pôvodu</w:t>
      </w:r>
      <w:r>
        <w:t>,</w:t>
      </w:r>
    </w:p>
    <w:p w:rsidR="005D4474" w:rsidRPr="00A15A74" w:rsidP="00982B27">
      <w:pPr>
        <w:numPr>
          <w:ilvl w:val="0"/>
          <w:numId w:val="28"/>
        </w:numPr>
      </w:pPr>
      <w:r w:rsidR="006565C0">
        <w:t>prebaľovan</w:t>
      </w:r>
      <w:r w:rsidR="008578BE">
        <w:t>í</w:t>
      </w:r>
      <w:r w:rsidR="006565C0">
        <w:t xml:space="preserve"> potravín po </w:t>
      </w:r>
      <w:r w:rsidR="00F66DCD">
        <w:t xml:space="preserve">skončení </w:t>
      </w:r>
      <w:r w:rsidR="00A64B33">
        <w:t>dátumu</w:t>
      </w:r>
      <w:r w:rsidR="008578BE">
        <w:t xml:space="preserve"> </w:t>
      </w:r>
      <w:r w:rsidR="006565C0">
        <w:t>spotreby</w:t>
      </w:r>
      <w:r w:rsidR="00982B27">
        <w:t>,</w:t>
      </w:r>
      <w:r w:rsidR="006565C0">
        <w:t xml:space="preserve"> </w:t>
      </w:r>
      <w:r w:rsidR="008578BE">
        <w:t xml:space="preserve">po dátume </w:t>
      </w:r>
      <w:r w:rsidR="006565C0">
        <w:t>minimálnej trvanlivosti</w:t>
      </w:r>
      <w:r w:rsidR="00F66DCD">
        <w:t>, na zmen</w:t>
      </w:r>
      <w:r w:rsidR="00982B27">
        <w:t>enie</w:t>
      </w:r>
      <w:r w:rsidR="00F66DCD">
        <w:t xml:space="preserve"> krajiny pôvodu alebo v neschválenej prevádzkarni</w:t>
      </w:r>
      <w:r w:rsidRPr="00A10E9D" w:rsidR="00A10E9D">
        <w:t>.</w:t>
      </w:r>
    </w:p>
    <w:p w:rsidR="00160A5C" w:rsidP="00B73743">
      <w:pPr>
        <w:pStyle w:val="odsek1"/>
        <w:numPr>
          <w:ilvl w:val="0"/>
          <w:numId w:val="0"/>
        </w:numPr>
        <w:ind w:left="360" w:firstLine="360"/>
        <w:rPr>
          <w:rFonts w:eastAsia="PalatinoLinotype-Roman"/>
        </w:rPr>
      </w:pPr>
      <w:r>
        <w:rPr>
          <w:rFonts w:eastAsia="PalatinoLinotype-Roman"/>
        </w:rPr>
        <w:t>(1</w:t>
      </w:r>
      <w:r w:rsidR="009227B3">
        <w:rPr>
          <w:rFonts w:eastAsia="PalatinoLinotype-Roman"/>
        </w:rPr>
        <w:t>3</w:t>
      </w:r>
      <w:r>
        <w:rPr>
          <w:rFonts w:eastAsia="PalatinoLinotype-Roman"/>
        </w:rPr>
        <w:t xml:space="preserve">) </w:t>
      </w:r>
      <w:r w:rsidR="004D07FA">
        <w:rPr>
          <w:rFonts w:eastAsia="PalatinoLinotype-Roman"/>
        </w:rPr>
        <w:t>Ak or</w:t>
      </w:r>
      <w:r>
        <w:rPr>
          <w:rFonts w:eastAsia="PalatinoLinotype-Roman"/>
        </w:rPr>
        <w:t xml:space="preserve">gán úradnej kontroly potravín </w:t>
      </w:r>
      <w:r w:rsidR="004D07FA">
        <w:rPr>
          <w:rFonts w:eastAsia="PalatinoLinotype-Roman"/>
        </w:rPr>
        <w:t>nariadi zničenie p</w:t>
      </w:r>
      <w:r w:rsidR="004D07FA">
        <w:rPr>
          <w:rFonts w:eastAsia="PalatinoLinotype-Roman"/>
        </w:rPr>
        <w:t>otraviny</w:t>
      </w:r>
      <w:r>
        <w:rPr>
          <w:rFonts w:eastAsia="PalatinoLinotype-Roman"/>
        </w:rPr>
        <w:t xml:space="preserve"> podľa odsek</w:t>
      </w:r>
      <w:r w:rsidR="004D07FA">
        <w:rPr>
          <w:rFonts w:eastAsia="PalatinoLinotype-Roman"/>
        </w:rPr>
        <w:t>u</w:t>
      </w:r>
      <w:r>
        <w:rPr>
          <w:rFonts w:eastAsia="PalatinoLinotype-Roman"/>
        </w:rPr>
        <w:t xml:space="preserve"> 1</w:t>
      </w:r>
      <w:r w:rsidR="004A7D07">
        <w:rPr>
          <w:rFonts w:eastAsia="PalatinoLinotype-Roman"/>
        </w:rPr>
        <w:t>2</w:t>
      </w:r>
      <w:r>
        <w:rPr>
          <w:rFonts w:eastAsia="PalatinoLinotype-Roman"/>
        </w:rPr>
        <w:t xml:space="preserve"> </w:t>
      </w:r>
      <w:r w:rsidR="004D07FA">
        <w:rPr>
          <w:rFonts w:eastAsia="PalatinoLinotype-Roman"/>
        </w:rPr>
        <w:t xml:space="preserve">písm. </w:t>
      </w:r>
      <w:r w:rsidR="009227B3">
        <w:rPr>
          <w:rFonts w:eastAsia="PalatinoLinotype-Roman"/>
        </w:rPr>
        <w:t>b</w:t>
      </w:r>
      <w:r w:rsidR="004D07FA">
        <w:rPr>
          <w:rFonts w:eastAsia="PalatinoLinotype-Roman"/>
        </w:rPr>
        <w:t>)</w:t>
      </w:r>
      <w:r>
        <w:rPr>
          <w:rFonts w:eastAsia="PalatinoLinotype-Roman"/>
        </w:rPr>
        <w:t xml:space="preserve"> môže </w:t>
      </w:r>
      <w:r w:rsidR="004D07FA">
        <w:rPr>
          <w:rFonts w:eastAsia="PalatinoLinotype-Roman"/>
        </w:rPr>
        <w:t>prevádzkovateľovi</w:t>
      </w:r>
      <w:r>
        <w:rPr>
          <w:rFonts w:eastAsia="PalatinoLinotype-Roman"/>
        </w:rPr>
        <w:t xml:space="preserve"> zakázať jazdu vozidlom do splnenia </w:t>
      </w:r>
      <w:r w:rsidR="00134E8E">
        <w:rPr>
          <w:rFonts w:eastAsia="PalatinoLinotype-Roman"/>
        </w:rPr>
        <w:t>nariaden</w:t>
      </w:r>
      <w:r w:rsidR="004D07FA">
        <w:rPr>
          <w:rFonts w:eastAsia="PalatinoLinotype-Roman"/>
        </w:rPr>
        <w:t>ého</w:t>
      </w:r>
      <w:r w:rsidR="00134E8E">
        <w:rPr>
          <w:rFonts w:eastAsia="PalatinoLinotype-Roman"/>
        </w:rPr>
        <w:t xml:space="preserve"> </w:t>
      </w:r>
      <w:r>
        <w:rPr>
          <w:rFonts w:eastAsia="PalatinoLinotype-Roman"/>
        </w:rPr>
        <w:t>opatren</w:t>
      </w:r>
      <w:r w:rsidR="004D07FA">
        <w:rPr>
          <w:rFonts w:eastAsia="PalatinoLinotype-Roman"/>
        </w:rPr>
        <w:t>ia</w:t>
      </w:r>
      <w:r>
        <w:rPr>
          <w:rFonts w:eastAsia="PalatinoLinotype-Roman"/>
        </w:rPr>
        <w:t xml:space="preserve"> alebo nariadiť jazd</w:t>
      </w:r>
      <w:r w:rsidR="004D07FA">
        <w:rPr>
          <w:rFonts w:eastAsia="PalatinoLinotype-Roman"/>
        </w:rPr>
        <w:t>u</w:t>
      </w:r>
      <w:r>
        <w:rPr>
          <w:rFonts w:eastAsia="PalatinoLinotype-Roman"/>
        </w:rPr>
        <w:t xml:space="preserve"> vozidla </w:t>
      </w:r>
      <w:r w:rsidR="004D07FA">
        <w:rPr>
          <w:rFonts w:eastAsia="PalatinoLinotype-Roman"/>
        </w:rPr>
        <w:t xml:space="preserve">do určeného cieľa </w:t>
      </w:r>
      <w:r>
        <w:rPr>
          <w:rFonts w:eastAsia="PalatinoLinotype-Roman"/>
        </w:rPr>
        <w:t xml:space="preserve">na splnenie </w:t>
      </w:r>
      <w:r w:rsidR="00134E8E">
        <w:rPr>
          <w:rFonts w:eastAsia="PalatinoLinotype-Roman"/>
        </w:rPr>
        <w:t>nariaden</w:t>
      </w:r>
      <w:r w:rsidR="004D07FA">
        <w:rPr>
          <w:rFonts w:eastAsia="PalatinoLinotype-Roman"/>
        </w:rPr>
        <w:t>ého</w:t>
      </w:r>
      <w:r w:rsidR="00134E8E">
        <w:rPr>
          <w:rFonts w:eastAsia="PalatinoLinotype-Roman"/>
        </w:rPr>
        <w:t xml:space="preserve"> </w:t>
      </w:r>
      <w:r>
        <w:rPr>
          <w:rFonts w:eastAsia="PalatinoLinotype-Roman"/>
        </w:rPr>
        <w:t>opatren</w:t>
      </w:r>
      <w:r w:rsidR="004D07FA">
        <w:rPr>
          <w:rFonts w:eastAsia="PalatinoLinotype-Roman"/>
        </w:rPr>
        <w:t>ia</w:t>
      </w:r>
      <w:r w:rsidR="00134E8E">
        <w:rPr>
          <w:rFonts w:eastAsia="PalatinoLinotype-Roman"/>
        </w:rPr>
        <w:t>.</w:t>
      </w:r>
    </w:p>
    <w:p w:rsidR="007D42F1" w:rsidRPr="00C67EDB" w:rsidP="00B73743">
      <w:pPr>
        <w:pStyle w:val="odsek1"/>
        <w:numPr>
          <w:ilvl w:val="0"/>
          <w:numId w:val="0"/>
        </w:numPr>
        <w:ind w:left="360" w:firstLine="360"/>
      </w:pPr>
      <w:r w:rsidRPr="00C67EDB" w:rsidR="001058A8">
        <w:t>(1</w:t>
      </w:r>
      <w:r w:rsidR="009227B3">
        <w:t>4</w:t>
      </w:r>
      <w:r w:rsidRPr="00C67EDB" w:rsidR="00F339F7">
        <w:t xml:space="preserve">) </w:t>
      </w:r>
      <w:r w:rsidRPr="00C67EDB">
        <w:t>Štátna veterinárna a potravinová správa zhromažďuje</w:t>
      </w:r>
      <w:r w:rsidRPr="00C67EDB" w:rsidR="00BB468F">
        <w:t xml:space="preserve"> </w:t>
      </w:r>
      <w:r w:rsidRPr="00C67EDB">
        <w:t>v informačnom systéme</w:t>
      </w:r>
      <w:r w:rsidRPr="00C67EDB" w:rsidR="0087642E">
        <w:t>, ktorý vedie,</w:t>
      </w:r>
      <w:r w:rsidR="00BF39EC">
        <w:t xml:space="preserve"> </w:t>
      </w:r>
      <w:r w:rsidRPr="00C67EDB">
        <w:t>informácie o</w:t>
      </w:r>
    </w:p>
    <w:p w:rsidR="0087151A" w:rsidP="0087151A">
      <w:pPr>
        <w:numPr>
          <w:ilvl w:val="0"/>
          <w:numId w:val="11"/>
        </w:numPr>
      </w:pPr>
      <w:r w:rsidR="00F5008C">
        <w:t>prevádzkovateľoch</w:t>
      </w:r>
      <w:r w:rsidRPr="00C67EDB" w:rsidR="007D42F1">
        <w:t>,</w:t>
      </w:r>
    </w:p>
    <w:p w:rsidR="00134E8E" w:rsidP="00160A5C">
      <w:pPr>
        <w:numPr>
          <w:ilvl w:val="0"/>
          <w:numId w:val="11"/>
        </w:numPr>
      </w:pPr>
      <w:r w:rsidR="0087151A">
        <w:t xml:space="preserve">zisteniach </w:t>
      </w:r>
      <w:r w:rsidRPr="00C67EDB" w:rsidR="007D42F1">
        <w:t xml:space="preserve">úradnej kontroly </w:t>
      </w:r>
      <w:r>
        <w:t>potravín,</w:t>
      </w:r>
    </w:p>
    <w:p w:rsidR="007D42F1" w:rsidRPr="00C67EDB" w:rsidP="00160A5C">
      <w:pPr>
        <w:numPr>
          <w:ilvl w:val="0"/>
          <w:numId w:val="11"/>
        </w:numPr>
      </w:pPr>
      <w:r w:rsidR="003F2F4C">
        <w:t xml:space="preserve">ukončených </w:t>
      </w:r>
      <w:r w:rsidRPr="00C67EDB">
        <w:t>správnych konaniach vedených na základe výsledkov úradnej kontroly.</w:t>
      </w:r>
    </w:p>
    <w:p w:rsidR="007D42F1" w:rsidRPr="00BF39EC" w:rsidP="00B73743">
      <w:pPr>
        <w:pStyle w:val="odsek1"/>
        <w:numPr>
          <w:ilvl w:val="0"/>
          <w:numId w:val="0"/>
        </w:numPr>
        <w:ind w:left="360" w:firstLine="360"/>
      </w:pPr>
      <w:r w:rsidRPr="00C67EDB" w:rsidR="001058A8">
        <w:t>(1</w:t>
      </w:r>
      <w:r w:rsidR="009227B3">
        <w:t>5</w:t>
      </w:r>
      <w:r w:rsidRPr="00C67EDB" w:rsidR="00F339F7">
        <w:t xml:space="preserve">) </w:t>
      </w:r>
      <w:r w:rsidRPr="00C67EDB">
        <w:t>Štátna veterinárna</w:t>
      </w:r>
      <w:r w:rsidRPr="00C67EDB" w:rsidR="00BB468F">
        <w:t xml:space="preserve"> </w:t>
      </w:r>
      <w:r w:rsidRPr="00C67EDB">
        <w:t>a potravinová správa je oprávnená využívať</w:t>
      </w:r>
      <w:r w:rsidRPr="00C67EDB" w:rsidR="00BB468F">
        <w:t xml:space="preserve"> </w:t>
      </w:r>
      <w:r w:rsidRPr="00C67EDB">
        <w:t xml:space="preserve">údaje </w:t>
      </w:r>
      <w:r w:rsidRPr="00C67EDB" w:rsidR="0087642E">
        <w:t>z</w:t>
      </w:r>
      <w:r w:rsidRPr="00C67EDB">
        <w:t> informač</w:t>
      </w:r>
      <w:r w:rsidRPr="00C67EDB" w:rsidR="0087642E">
        <w:t>ného</w:t>
      </w:r>
      <w:r w:rsidR="00BF39EC">
        <w:t xml:space="preserve"> </w:t>
      </w:r>
      <w:r w:rsidRPr="00C67EDB">
        <w:t>systém</w:t>
      </w:r>
      <w:r w:rsidRPr="00C67EDB" w:rsidR="0087642E">
        <w:t>u</w:t>
      </w:r>
      <w:r w:rsidR="00BF39EC">
        <w:t xml:space="preserve"> </w:t>
      </w:r>
      <w:r w:rsidRPr="00C67EDB" w:rsidR="0087642E">
        <w:t>podľa</w:t>
      </w:r>
      <w:r w:rsidR="00BF39EC">
        <w:t xml:space="preserve"> </w:t>
      </w:r>
      <w:r w:rsidRPr="00C67EDB">
        <w:t>odseku 1</w:t>
      </w:r>
      <w:r w:rsidR="00AB5B11">
        <w:t>4</w:t>
      </w:r>
      <w:r w:rsidRPr="00C67EDB">
        <w:t xml:space="preserve"> písm. a) a b)</w:t>
      </w:r>
      <w:r w:rsidRPr="00C67EDB" w:rsidR="00BB468F">
        <w:t xml:space="preserve"> </w:t>
      </w:r>
      <w:r w:rsidRPr="00C67EDB">
        <w:t>na usmernenie, riadenie a koordináciu úradnej kontroly potravín a na informovanie verejnosti</w:t>
      </w:r>
      <w:r w:rsidRPr="00C67EDB" w:rsidR="00BB468F">
        <w:t xml:space="preserve"> </w:t>
      </w:r>
      <w:r w:rsidRPr="00C67EDB">
        <w:t>o nebezpečných potravinách</w:t>
      </w:r>
      <w:r w:rsidR="00F60E86">
        <w:t>.</w:t>
      </w:r>
    </w:p>
    <w:p w:rsidR="007D42F1" w:rsidP="00B73743">
      <w:pPr>
        <w:pStyle w:val="odsek1"/>
        <w:numPr>
          <w:ilvl w:val="0"/>
          <w:numId w:val="0"/>
        </w:numPr>
        <w:ind w:left="360" w:firstLine="360"/>
      </w:pPr>
      <w:r w:rsidRPr="00C67EDB" w:rsidR="001058A8">
        <w:t>(</w:t>
      </w:r>
      <w:r w:rsidRPr="00C67EDB" w:rsidR="0087642E">
        <w:t>1</w:t>
      </w:r>
      <w:r w:rsidR="009227B3">
        <w:t>6</w:t>
      </w:r>
      <w:r w:rsidRPr="00C67EDB" w:rsidR="00F339F7">
        <w:t xml:space="preserve">) </w:t>
      </w:r>
      <w:r w:rsidR="007807DE">
        <w:t>Orgán úradnej kontroly potravín</w:t>
      </w:r>
      <w:r w:rsidRPr="00C67EDB">
        <w:t xml:space="preserve"> zverejň</w:t>
      </w:r>
      <w:r w:rsidR="00F60E86">
        <w:t>uje</w:t>
      </w:r>
      <w:r w:rsidRPr="00C67EDB">
        <w:t xml:space="preserve"> </w:t>
      </w:r>
      <w:r w:rsidRPr="00C67EDB" w:rsidR="00274489">
        <w:t xml:space="preserve">na </w:t>
      </w:r>
      <w:r w:rsidR="00274489">
        <w:t xml:space="preserve">svojom </w:t>
      </w:r>
      <w:r w:rsidRPr="00C67EDB" w:rsidR="00274489">
        <w:t xml:space="preserve">webovom sídle </w:t>
      </w:r>
      <w:r w:rsidRPr="00C67EDB">
        <w:t>právoplatné</w:t>
      </w:r>
      <w:r w:rsidRPr="00C67EDB">
        <w:t xml:space="preserve"> rozhodnutia </w:t>
      </w:r>
      <w:r w:rsidRPr="00C67EDB" w:rsidR="00BA2A03">
        <w:t>po</w:t>
      </w:r>
      <w:r w:rsidR="00134E8E">
        <w:t>čas</w:t>
      </w:r>
      <w:r w:rsidRPr="00C67EDB" w:rsidR="00BA2A03">
        <w:t xml:space="preserve"> </w:t>
      </w:r>
      <w:r w:rsidR="00265F30">
        <w:t>troch</w:t>
      </w:r>
      <w:r w:rsidRPr="00C67EDB" w:rsidR="00265F30">
        <w:t xml:space="preserve"> </w:t>
      </w:r>
      <w:r w:rsidRPr="00C67EDB" w:rsidR="00BA2A03">
        <w:t>mesiacov</w:t>
      </w:r>
      <w:r w:rsidR="00BF39EC">
        <w:t xml:space="preserve"> </w:t>
      </w:r>
      <w:r w:rsidR="007A618B">
        <w:t>odo dňa nado</w:t>
      </w:r>
      <w:r w:rsidR="00FF57E3">
        <w:t xml:space="preserve">budnutia </w:t>
      </w:r>
      <w:r w:rsidR="00134E8E">
        <w:t>ich</w:t>
      </w:r>
      <w:r w:rsidR="00274489">
        <w:t xml:space="preserve"> </w:t>
      </w:r>
      <w:r w:rsidR="00FF57E3">
        <w:t>právoplatnosti</w:t>
      </w:r>
      <w:r w:rsidRPr="00C67EDB">
        <w:t>.</w:t>
      </w:r>
      <w:r w:rsidRPr="00C67EDB" w:rsidR="00F339F7">
        <w:t>“.</w:t>
      </w:r>
    </w:p>
    <w:p w:rsidR="00752F5A" w:rsidP="00134E8E">
      <w:pPr>
        <w:spacing w:before="120" w:after="120"/>
        <w:ind w:left="714" w:hanging="357"/>
      </w:pPr>
      <w:r>
        <w:t>Poznámk</w:t>
      </w:r>
      <w:r w:rsidR="005B5D3C">
        <w:t>y</w:t>
      </w:r>
      <w:r>
        <w:t xml:space="preserve"> pod čiarou k odkaz</w:t>
      </w:r>
      <w:r w:rsidR="005B5D3C">
        <w:t>om</w:t>
      </w:r>
      <w:r>
        <w:t xml:space="preserve"> 12aa </w:t>
      </w:r>
      <w:r w:rsidR="005B5D3C">
        <w:t xml:space="preserve">a 12ab </w:t>
      </w:r>
      <w:r w:rsidR="00134E8E">
        <w:t>zne</w:t>
      </w:r>
      <w:r w:rsidR="005B5D3C">
        <w:t>jú</w:t>
      </w:r>
      <w:r w:rsidR="00134E8E">
        <w:t>:</w:t>
      </w:r>
    </w:p>
    <w:p w:rsidR="005B5D3C" w:rsidP="00134E8E">
      <w:pPr>
        <w:spacing w:before="120" w:after="120"/>
        <w:ind w:left="714" w:hanging="357"/>
      </w:pPr>
      <w:r w:rsidR="00752F5A">
        <w:t>„</w:t>
      </w:r>
      <w:r w:rsidR="00752F5A">
        <w:rPr>
          <w:vertAlign w:val="superscript"/>
        </w:rPr>
        <w:t>12aa</w:t>
      </w:r>
      <w:r w:rsidR="00752F5A">
        <w:t xml:space="preserve">) Čl. 54 ods. 2 </w:t>
      </w:r>
      <w:r>
        <w:t xml:space="preserve">písm. c) </w:t>
      </w:r>
      <w:r w:rsidR="00752F5A">
        <w:t>nariadenia (ES) č. 882/2004 v platnom znení.</w:t>
      </w:r>
    </w:p>
    <w:p w:rsidR="00752F5A" w:rsidRPr="00C67EDB" w:rsidP="00134E8E">
      <w:pPr>
        <w:spacing w:before="120" w:after="120"/>
        <w:ind w:left="714" w:hanging="357"/>
      </w:pPr>
      <w:r w:rsidRPr="005B5D3C" w:rsidR="005B5D3C">
        <w:rPr>
          <w:vertAlign w:val="superscript"/>
        </w:rPr>
        <w:t>12ab</w:t>
      </w:r>
      <w:r w:rsidR="005B5D3C">
        <w:t>) Čl. 54 ods. 2 písm. e) nariadenia (ES) č. 882/200</w:t>
      </w:r>
      <w:r w:rsidR="005B5D3C">
        <w:t>4 v platnom znení.</w:t>
      </w:r>
      <w:r>
        <w:t>“.</w:t>
      </w:r>
    </w:p>
    <w:p w:rsidR="000D302D" w:rsidP="00B73743">
      <w:pPr>
        <w:numPr>
          <w:ilvl w:val="0"/>
          <w:numId w:val="2"/>
        </w:numPr>
        <w:spacing w:before="240" w:after="240"/>
        <w:ind w:left="357" w:hanging="357"/>
      </w:pPr>
      <w:r>
        <w:t xml:space="preserve">V </w:t>
      </w:r>
      <w:r w:rsidRPr="00D21670">
        <w:t xml:space="preserve">§ </w:t>
      </w:r>
      <w:r w:rsidRPr="00191B40">
        <w:t>21 ods</w:t>
      </w:r>
      <w:r w:rsidR="00215ADC">
        <w:t>.</w:t>
      </w:r>
      <w:r w:rsidRPr="00191B40">
        <w:t xml:space="preserve"> 1 písmeno c</w:t>
      </w:r>
      <w:r>
        <w:t>) znie: „štátna veterinárna a potravinová</w:t>
      </w:r>
      <w:r w:rsidRPr="00C67EDB">
        <w:t xml:space="preserve"> správ</w:t>
      </w:r>
      <w:r>
        <w:t>a</w:t>
      </w:r>
      <w:r w:rsidRPr="00215ADC" w:rsidR="00215ADC">
        <w:rPr>
          <w:vertAlign w:val="superscript"/>
        </w:rPr>
        <w:t>8da</w:t>
      </w:r>
      <w:r w:rsidR="00215ADC">
        <w:t>),</w:t>
      </w:r>
      <w:r>
        <w:t>“</w:t>
      </w:r>
      <w:r w:rsidR="00774F7C">
        <w:t>.</w:t>
      </w:r>
    </w:p>
    <w:p w:rsidR="00215ADC" w:rsidP="00160A5C">
      <w:pPr>
        <w:numPr>
          <w:ilvl w:val="0"/>
          <w:numId w:val="2"/>
        </w:numPr>
        <w:spacing w:before="240" w:after="240"/>
        <w:ind w:left="426" w:hanging="426"/>
      </w:pPr>
      <w:r>
        <w:t>V § 21 písm. d) sa nad slovom „správy“ odkaz 14) nahrádza odkazom 8da).</w:t>
      </w:r>
    </w:p>
    <w:p w:rsidR="00215ADC" w:rsidP="00215ADC">
      <w:pPr>
        <w:spacing w:before="240" w:after="240"/>
        <w:ind w:left="357"/>
      </w:pPr>
      <w:r>
        <w:t>Poznámka pod čiarou k odkazu 14 sa vypúšťa.</w:t>
      </w:r>
    </w:p>
    <w:p w:rsidR="007B48B5" w:rsidP="00160A5C">
      <w:pPr>
        <w:numPr>
          <w:ilvl w:val="0"/>
          <w:numId w:val="2"/>
        </w:numPr>
        <w:spacing w:before="240" w:after="240"/>
        <w:ind w:left="426" w:hanging="426"/>
      </w:pPr>
      <w:r>
        <w:t xml:space="preserve">V § 21a sa slová </w:t>
      </w:r>
      <w:r w:rsidR="00783262">
        <w:t>„</w:t>
      </w:r>
      <w:r w:rsidRPr="007B48B5">
        <w:t>Ministerstvo spravodli</w:t>
      </w:r>
      <w:r w:rsidRPr="007B48B5">
        <w:t>vost</w:t>
      </w:r>
      <w:r>
        <w:t>i Slovenskej republiky“ nahrádzajú</w:t>
      </w:r>
      <w:r w:rsidRPr="007B48B5">
        <w:t xml:space="preserve"> slovami „Generálne riaditeľstvo Zboru väzenskej a justičnej stráže“</w:t>
      </w:r>
      <w:r w:rsidR="00134E8E">
        <w:t>.</w:t>
      </w:r>
    </w:p>
    <w:p w:rsidR="003E43BE" w:rsidRPr="00C67EDB" w:rsidP="00B73743">
      <w:pPr>
        <w:numPr>
          <w:ilvl w:val="0"/>
          <w:numId w:val="2"/>
        </w:numPr>
        <w:spacing w:before="240" w:after="240"/>
        <w:ind w:left="357" w:hanging="357"/>
      </w:pPr>
      <w:r w:rsidR="00B94AAD">
        <w:t>V § 28 ods.</w:t>
      </w:r>
      <w:r w:rsidRPr="00C67EDB">
        <w:t xml:space="preserve"> 1 sa slová „</w:t>
      </w:r>
      <w:r w:rsidRPr="00C67EDB">
        <w:rPr>
          <w:color w:val="000000"/>
        </w:rPr>
        <w:t>malému prevádzkovate</w:t>
      </w:r>
      <w:r w:rsidRPr="00C67EDB">
        <w:rPr>
          <w:rFonts w:eastAsia="PalatinoLinotype-Roman"/>
          <w:color w:val="000000"/>
        </w:rPr>
        <w:t>ľ</w:t>
      </w:r>
      <w:r w:rsidRPr="00C67EDB">
        <w:rPr>
          <w:color w:val="000000"/>
        </w:rPr>
        <w:t xml:space="preserve">ovi pokutu do 100 eur, strednému </w:t>
      </w:r>
      <w:r w:rsidRPr="00BF39EC">
        <w:t>prevádzkovate</w:t>
      </w:r>
      <w:r w:rsidRPr="00BF39EC">
        <w:rPr>
          <w:rFonts w:eastAsia="PalatinoLinotype-Roman"/>
        </w:rPr>
        <w:t>ľ</w:t>
      </w:r>
      <w:r w:rsidRPr="00BF39EC">
        <w:t>ovi</w:t>
      </w:r>
      <w:r w:rsidRPr="00C67EDB">
        <w:rPr>
          <w:color w:val="000000"/>
        </w:rPr>
        <w:t xml:space="preserve"> pokutu do 300 eur a ve</w:t>
      </w:r>
      <w:r w:rsidRPr="00C67EDB">
        <w:rPr>
          <w:rFonts w:eastAsia="PalatinoLinotype-Roman"/>
          <w:color w:val="000000"/>
        </w:rPr>
        <w:t>ľ</w:t>
      </w:r>
      <w:r w:rsidRPr="00C67EDB">
        <w:rPr>
          <w:color w:val="000000"/>
        </w:rPr>
        <w:t>kému prevádzkovate</w:t>
      </w:r>
      <w:r w:rsidRPr="00C67EDB">
        <w:rPr>
          <w:rFonts w:eastAsia="PalatinoLinotype-Roman"/>
          <w:color w:val="000000"/>
        </w:rPr>
        <w:t>ľ</w:t>
      </w:r>
      <w:r w:rsidRPr="00C67EDB">
        <w:rPr>
          <w:color w:val="000000"/>
        </w:rPr>
        <w:t>ovi pokutu</w:t>
      </w:r>
      <w:r w:rsidRPr="00C67EDB">
        <w:rPr>
          <w:color w:val="000000"/>
        </w:rPr>
        <w:t xml:space="preserve"> do 500 eur“ nahrádzajú slovami „</w:t>
      </w:r>
      <w:r w:rsidR="00CE4677">
        <w:rPr>
          <w:color w:val="000000"/>
        </w:rPr>
        <w:t>právnickej osobe alebo fyzickej osobe podnikateľovi</w:t>
      </w:r>
      <w:r w:rsidRPr="00C67EDB">
        <w:rPr>
          <w:color w:val="000000"/>
        </w:rPr>
        <w:t xml:space="preserve"> pokutu od </w:t>
      </w:r>
      <w:r w:rsidR="00737829">
        <w:rPr>
          <w:color w:val="000000"/>
        </w:rPr>
        <w:t>1</w:t>
      </w:r>
      <w:r w:rsidRPr="00C67EDB">
        <w:rPr>
          <w:color w:val="000000"/>
        </w:rPr>
        <w:t>00 eur do 1 000</w:t>
      </w:r>
      <w:r w:rsidR="00BF39EC">
        <w:rPr>
          <w:color w:val="000000"/>
        </w:rPr>
        <w:t xml:space="preserve"> </w:t>
      </w:r>
      <w:r w:rsidRPr="00C67EDB">
        <w:rPr>
          <w:color w:val="000000"/>
        </w:rPr>
        <w:t>eur“</w:t>
      </w:r>
      <w:r w:rsidR="00134E8E">
        <w:t>.</w:t>
      </w:r>
    </w:p>
    <w:p w:rsidR="00CE4677" w:rsidP="00B73743">
      <w:pPr>
        <w:numPr>
          <w:ilvl w:val="0"/>
          <w:numId w:val="2"/>
        </w:numPr>
        <w:spacing w:before="240" w:after="240"/>
        <w:ind w:left="357" w:hanging="357"/>
        <w:rPr>
          <w:color w:val="000000"/>
        </w:rPr>
      </w:pPr>
      <w:r>
        <w:rPr>
          <w:color w:val="000000"/>
        </w:rPr>
        <w:t xml:space="preserve">V § 28 ods. 1 sa </w:t>
      </w:r>
      <w:r w:rsidR="00870AB1">
        <w:rPr>
          <w:color w:val="000000"/>
        </w:rPr>
        <w:t xml:space="preserve">vypúšťa </w:t>
      </w:r>
      <w:r>
        <w:rPr>
          <w:color w:val="000000"/>
        </w:rPr>
        <w:t>písmeno a).</w:t>
      </w:r>
    </w:p>
    <w:p w:rsidR="00CE4677" w:rsidRPr="00CE4677" w:rsidP="00CE4677">
      <w:pPr>
        <w:spacing w:before="240" w:after="240"/>
        <w:ind w:left="357"/>
        <w:rPr>
          <w:color w:val="000000"/>
        </w:rPr>
      </w:pPr>
      <w:r>
        <w:rPr>
          <w:color w:val="000000"/>
        </w:rPr>
        <w:t>Doterajšie písmená b) a c) sa označujú ako písmená a) a b).</w:t>
      </w:r>
    </w:p>
    <w:p w:rsidR="003E43BE" w:rsidP="00B73743">
      <w:pPr>
        <w:numPr>
          <w:ilvl w:val="0"/>
          <w:numId w:val="2"/>
        </w:numPr>
        <w:spacing w:before="240" w:after="240"/>
        <w:ind w:left="357" w:hanging="357"/>
        <w:rPr>
          <w:color w:val="000000"/>
        </w:rPr>
      </w:pPr>
      <w:r w:rsidR="00B94AAD">
        <w:t>V § 28 ods.</w:t>
      </w:r>
      <w:r w:rsidRPr="00C67EDB">
        <w:t xml:space="preserve"> 2 sa slová „</w:t>
      </w:r>
      <w:r w:rsidRPr="00C67EDB">
        <w:rPr>
          <w:color w:val="000000"/>
        </w:rPr>
        <w:t>malému prevádzkovate</w:t>
      </w:r>
      <w:r w:rsidRPr="00C67EDB">
        <w:rPr>
          <w:rFonts w:eastAsia="PalatinoLinotype-Roman"/>
          <w:color w:val="000000"/>
        </w:rPr>
        <w:t>ľ</w:t>
      </w:r>
      <w:r w:rsidRPr="00C67EDB">
        <w:rPr>
          <w:color w:val="000000"/>
        </w:rPr>
        <w:t>ovi pokutu od 100 eur do 10 000 eur,</w:t>
      </w:r>
      <w:r w:rsidRPr="00C67EDB">
        <w:t xml:space="preserve"> </w:t>
      </w:r>
      <w:r w:rsidRPr="00C67EDB">
        <w:rPr>
          <w:color w:val="000000"/>
        </w:rPr>
        <w:t>strednému prevádzkovateľovi pokutu od 300 eur do 30 000 eur a veľkému prevádzkovateľovi pokutu od 500 eur do 50 000 eur“ nahrádzajú slovami „</w:t>
      </w:r>
      <w:r w:rsidR="00CE4677">
        <w:rPr>
          <w:color w:val="000000"/>
        </w:rPr>
        <w:t>právnickej osobe alebo fyzickej osobe podnikateľovi</w:t>
      </w:r>
      <w:r w:rsidRPr="00C67EDB">
        <w:rPr>
          <w:color w:val="000000"/>
        </w:rPr>
        <w:t xml:space="preserve"> pokutu od 100 eur do 100 000 eur“.</w:t>
      </w:r>
    </w:p>
    <w:p w:rsidR="007807DE" w:rsidP="00B73743">
      <w:pPr>
        <w:numPr>
          <w:ilvl w:val="0"/>
          <w:numId w:val="2"/>
        </w:numPr>
        <w:spacing w:before="240" w:after="240"/>
        <w:ind w:left="357" w:hanging="357"/>
        <w:rPr>
          <w:color w:val="000000"/>
        </w:rPr>
      </w:pPr>
      <w:r>
        <w:rPr>
          <w:color w:val="000000"/>
        </w:rPr>
        <w:t>V § 28 ods. 2 písm. e) sa slová „ods. 3“ nahrádzajú slovami „alebo § 7b“.</w:t>
      </w:r>
    </w:p>
    <w:p w:rsidR="007A6F9C" w:rsidP="00B73743">
      <w:pPr>
        <w:numPr>
          <w:ilvl w:val="0"/>
          <w:numId w:val="2"/>
        </w:numPr>
        <w:spacing w:before="240" w:after="240"/>
        <w:ind w:left="357" w:hanging="357"/>
        <w:rPr>
          <w:color w:val="000000"/>
        </w:rPr>
      </w:pPr>
      <w:r>
        <w:rPr>
          <w:color w:val="000000"/>
        </w:rPr>
        <w:t>V § 28 ods.</w:t>
      </w:r>
      <w:r w:rsidR="00BD6F45">
        <w:rPr>
          <w:color w:val="000000"/>
        </w:rPr>
        <w:t xml:space="preserve"> </w:t>
      </w:r>
      <w:r>
        <w:rPr>
          <w:color w:val="000000"/>
        </w:rPr>
        <w:t>2 sa vypúšťa písmeno i).</w:t>
      </w:r>
    </w:p>
    <w:p w:rsidR="007A6F9C" w:rsidRPr="007807DE" w:rsidP="00160A5C">
      <w:pPr>
        <w:spacing w:before="240" w:after="240"/>
        <w:ind w:left="357"/>
        <w:rPr>
          <w:color w:val="000000"/>
        </w:rPr>
      </w:pPr>
      <w:r>
        <w:rPr>
          <w:color w:val="000000"/>
        </w:rPr>
        <w:t>Doterajšie písmená j) až p) sa označujú ako písmená i) až o)</w:t>
      </w:r>
    </w:p>
    <w:p w:rsidR="00CE4677" w:rsidRPr="00CE4677" w:rsidP="00B73743">
      <w:pPr>
        <w:numPr>
          <w:ilvl w:val="0"/>
          <w:numId w:val="2"/>
        </w:numPr>
        <w:spacing w:before="240" w:after="240"/>
        <w:ind w:left="357" w:hanging="357"/>
        <w:rPr>
          <w:color w:val="000000"/>
        </w:rPr>
      </w:pPr>
      <w:r>
        <w:t xml:space="preserve">V § 28 </w:t>
      </w:r>
      <w:r w:rsidR="00BD6F45">
        <w:t xml:space="preserve">sa </w:t>
      </w:r>
      <w:r>
        <w:t>ods</w:t>
      </w:r>
      <w:r w:rsidR="00BD6F45">
        <w:t>ek</w:t>
      </w:r>
      <w:r>
        <w:t xml:space="preserve"> 2 </w:t>
      </w:r>
      <w:r w:rsidR="00BD6F45">
        <w:t xml:space="preserve">dopĺňa </w:t>
      </w:r>
      <w:r>
        <w:t>písmeno</w:t>
      </w:r>
      <w:r w:rsidR="00BD6F45">
        <w:t>m</w:t>
      </w:r>
      <w:r>
        <w:t xml:space="preserve"> p)</w:t>
      </w:r>
      <w:r w:rsidR="00BD6F45">
        <w:t>, ktoré</w:t>
      </w:r>
      <w:r>
        <w:t xml:space="preserve"> znie:</w:t>
      </w:r>
    </w:p>
    <w:p w:rsidR="00CE4677" w:rsidRPr="00710A40" w:rsidP="00710A40">
      <w:pPr>
        <w:autoSpaceDE w:val="0"/>
        <w:autoSpaceDN w:val="0"/>
        <w:adjustRightInd w:val="0"/>
        <w:ind w:left="714" w:hanging="357"/>
        <w:rPr>
          <w:color w:val="000000"/>
        </w:rPr>
      </w:pPr>
      <w:r w:rsidRPr="00710A40">
        <w:t>„p) porušuje zásady správnej výrobnej praxe, povinnosti a požiadavky na hygienu výroby potravín, manipulovania s nimi a pri ich umiest</w:t>
      </w:r>
      <w:r w:rsidRPr="00710A40">
        <w:rPr>
          <w:rFonts w:eastAsia="PalatinoLinotype-Roman"/>
        </w:rPr>
        <w:t>ň</w:t>
      </w:r>
      <w:r w:rsidR="00710A40">
        <w:t>ovaní na trh.“.</w:t>
      </w:r>
    </w:p>
    <w:p w:rsidR="003E43BE" w:rsidRPr="00C67EDB" w:rsidP="00B73743">
      <w:pPr>
        <w:numPr>
          <w:ilvl w:val="0"/>
          <w:numId w:val="2"/>
        </w:numPr>
        <w:spacing w:before="240" w:after="240"/>
        <w:ind w:left="357" w:hanging="357"/>
        <w:rPr>
          <w:color w:val="000000"/>
        </w:rPr>
      </w:pPr>
      <w:r w:rsidR="00B94AAD">
        <w:t>V § 28 ods.</w:t>
      </w:r>
      <w:r w:rsidRPr="00C67EDB">
        <w:t xml:space="preserve"> 3 sa slová „</w:t>
      </w:r>
      <w:r w:rsidRPr="00C67EDB">
        <w:rPr>
          <w:color w:val="000000"/>
        </w:rPr>
        <w:t>malému prevádzkovate</w:t>
      </w:r>
      <w:r w:rsidRPr="00C67EDB">
        <w:rPr>
          <w:rFonts w:eastAsia="PalatinoLinotype-Roman"/>
          <w:color w:val="000000"/>
        </w:rPr>
        <w:t>ľ</w:t>
      </w:r>
      <w:r w:rsidRPr="00C67EDB">
        <w:rPr>
          <w:color w:val="000000"/>
        </w:rPr>
        <w:t>ovi pokutu od 500 eur do 50 000 eur,</w:t>
      </w:r>
      <w:r w:rsidR="00BF39EC">
        <w:rPr>
          <w:color w:val="000000"/>
        </w:rPr>
        <w:t xml:space="preserve"> </w:t>
      </w:r>
      <w:r w:rsidRPr="00C67EDB">
        <w:rPr>
          <w:color w:val="000000"/>
        </w:rPr>
        <w:t>strednému prevádzkovate</w:t>
      </w:r>
      <w:r w:rsidRPr="00C67EDB">
        <w:rPr>
          <w:rFonts w:eastAsia="PalatinoLinotype-Roman"/>
          <w:color w:val="000000"/>
        </w:rPr>
        <w:t>ľ</w:t>
      </w:r>
      <w:r w:rsidRPr="00C67EDB">
        <w:rPr>
          <w:color w:val="000000"/>
        </w:rPr>
        <w:t>ovi pokutu od 750 eur do 75 000 eur a ve</w:t>
      </w:r>
      <w:r w:rsidRPr="00C67EDB">
        <w:rPr>
          <w:rFonts w:eastAsia="PalatinoLinotype-Roman"/>
          <w:color w:val="000000"/>
        </w:rPr>
        <w:t>ľ</w:t>
      </w:r>
      <w:r w:rsidRPr="00C67EDB">
        <w:rPr>
          <w:color w:val="000000"/>
        </w:rPr>
        <w:t>kému prevádzkovate</w:t>
      </w:r>
      <w:r w:rsidRPr="00C67EDB">
        <w:rPr>
          <w:rFonts w:eastAsia="PalatinoLinotype-Roman"/>
          <w:color w:val="000000"/>
        </w:rPr>
        <w:t>ľ</w:t>
      </w:r>
      <w:r w:rsidRPr="00C67EDB">
        <w:rPr>
          <w:color w:val="000000"/>
        </w:rPr>
        <w:t>ovi pokutu od 1 000 eur do 100 000 eur“ nahrádzajú slovami „</w:t>
      </w:r>
      <w:r w:rsidR="00CE4677">
        <w:rPr>
          <w:color w:val="000000"/>
        </w:rPr>
        <w:t>právnickej osobe alebo fyzickej osobe podnikateľovi</w:t>
      </w:r>
      <w:r w:rsidRPr="00C67EDB">
        <w:rPr>
          <w:color w:val="000000"/>
        </w:rPr>
        <w:t xml:space="preserve"> pokutu od </w:t>
      </w:r>
      <w:r w:rsidR="007807DE">
        <w:rPr>
          <w:color w:val="000000"/>
        </w:rPr>
        <w:t>5</w:t>
      </w:r>
      <w:r w:rsidRPr="00C67EDB">
        <w:rPr>
          <w:color w:val="000000"/>
        </w:rPr>
        <w:t>00 eur do 200 000 eur“.</w:t>
      </w:r>
    </w:p>
    <w:p w:rsidR="003E43BE" w:rsidP="00B73743">
      <w:pPr>
        <w:numPr>
          <w:ilvl w:val="0"/>
          <w:numId w:val="2"/>
        </w:numPr>
        <w:spacing w:before="240" w:after="240"/>
        <w:ind w:left="357" w:hanging="357"/>
        <w:rPr>
          <w:color w:val="000000"/>
        </w:rPr>
      </w:pPr>
      <w:r w:rsidR="00B94AAD">
        <w:t>V § 28 ods.</w:t>
      </w:r>
      <w:r w:rsidRPr="00C67EDB">
        <w:t xml:space="preserve"> 4 sa slová „malému prevádzkovateľovi pokutu od 1 000 eur do 100 000 eur, strednému prevádzkovateľovi pokutu od 2 000 eur do 150 000 eur a veľkému prevádzkovateľovi pokutu od 3 000 eur do 200 000 eur“ nahrádzajú slovami „</w:t>
      </w:r>
      <w:r w:rsidR="00CE4677">
        <w:rPr>
          <w:color w:val="000000"/>
        </w:rPr>
        <w:t>právnickej osobe alebo fyzickej osobe podnikateľovi</w:t>
      </w:r>
      <w:r w:rsidRPr="00C67EDB">
        <w:rPr>
          <w:color w:val="000000"/>
        </w:rPr>
        <w:t xml:space="preserve"> pokutu </w:t>
      </w:r>
      <w:r w:rsidR="00BF39EC">
        <w:rPr>
          <w:color w:val="000000"/>
        </w:rPr>
        <w:t>od 1 000 eur do 500 000 eur“.</w:t>
      </w:r>
    </w:p>
    <w:p w:rsidR="007A6F9C" w:rsidRPr="00160A5C" w:rsidP="00B73743">
      <w:pPr>
        <w:numPr>
          <w:ilvl w:val="0"/>
          <w:numId w:val="2"/>
        </w:numPr>
        <w:spacing w:before="240" w:after="240"/>
        <w:ind w:left="357" w:hanging="357"/>
        <w:rPr>
          <w:color w:val="000000"/>
        </w:rPr>
      </w:pPr>
      <w:r>
        <w:t xml:space="preserve">V § 28 sa odsek 4 dopĺňa písmenom </w:t>
      </w:r>
      <w:r w:rsidR="00BD6F45">
        <w:t>i</w:t>
      </w:r>
      <w:r>
        <w:t>) ktoré znie:</w:t>
      </w:r>
    </w:p>
    <w:p w:rsidR="007A6F9C" w:rsidRPr="00BF39EC" w:rsidP="00134E8E">
      <w:pPr>
        <w:spacing w:before="120" w:after="120"/>
        <w:ind w:left="714" w:hanging="357"/>
        <w:rPr>
          <w:color w:val="000000"/>
        </w:rPr>
      </w:pPr>
      <w:r>
        <w:t>„</w:t>
      </w:r>
      <w:r w:rsidR="00BD6F45">
        <w:t>i</w:t>
      </w:r>
      <w:r>
        <w:t xml:space="preserve">) </w:t>
      </w:r>
      <w:r w:rsidRPr="00160A5C">
        <w:t>umiestňuje na trh potraviny po uplynutí dátumu spotreby alebo po uplynutí dátumu minimálnej trvanlivosti.</w:t>
      </w:r>
      <w:r w:rsidR="00975EC0">
        <w:t>“.</w:t>
      </w:r>
    </w:p>
    <w:p w:rsidR="000C5E55" w:rsidRPr="00C67EDB" w:rsidP="00B73743">
      <w:pPr>
        <w:numPr>
          <w:ilvl w:val="0"/>
          <w:numId w:val="2"/>
        </w:numPr>
        <w:spacing w:before="240" w:after="240"/>
        <w:ind w:left="357" w:hanging="357"/>
      </w:pPr>
      <w:r w:rsidRPr="00C67EDB" w:rsidR="00DD08E5">
        <w:t>V</w:t>
      </w:r>
      <w:r w:rsidRPr="00C67EDB" w:rsidR="0084574B">
        <w:t xml:space="preserve"> § 28 sa za odsek 4 vkladá nový odsek 5</w:t>
      </w:r>
      <w:r w:rsidR="00134E8E">
        <w:t>, ktorý znie:</w:t>
      </w:r>
    </w:p>
    <w:p w:rsidR="000C5E55" w:rsidRPr="00C67EDB" w:rsidP="00134E8E">
      <w:pPr>
        <w:ind w:left="357" w:firstLine="709"/>
      </w:pPr>
      <w:r w:rsidRPr="00C67EDB" w:rsidR="00B256E1">
        <w:t>„</w:t>
      </w:r>
      <w:r w:rsidRPr="00C67EDB" w:rsidR="007B366F">
        <w:t>(</w:t>
      </w:r>
      <w:r w:rsidRPr="00C67EDB" w:rsidR="0084574B">
        <w:t>5</w:t>
      </w:r>
      <w:r w:rsidRPr="00C67EDB" w:rsidR="007B366F">
        <w:t xml:space="preserve">) </w:t>
      </w:r>
      <w:r w:rsidRPr="00C67EDB">
        <w:t>Za nesplnenie povinnosti podľa § 26 ods. 3 orgán úradnej kontroly potravín ulož</w:t>
      </w:r>
      <w:r w:rsidRPr="00C67EDB" w:rsidR="007B366F">
        <w:t>í</w:t>
      </w:r>
      <w:r w:rsidRPr="00C67EDB">
        <w:t xml:space="preserve"> pokutu </w:t>
      </w:r>
      <w:r w:rsidR="008578BE">
        <w:t xml:space="preserve">od 100 eur </w:t>
      </w:r>
      <w:r w:rsidRPr="00C67EDB">
        <w:t xml:space="preserve">do </w:t>
      </w:r>
      <w:r w:rsidR="00F63603">
        <w:t>5 000</w:t>
      </w:r>
      <w:r w:rsidRPr="00C67EDB">
        <w:t xml:space="preserve"> </w:t>
      </w:r>
      <w:r w:rsidRPr="00C67EDB" w:rsidR="007B366F">
        <w:t>e</w:t>
      </w:r>
      <w:r w:rsidRPr="00C67EDB">
        <w:t>ur.</w:t>
      </w:r>
      <w:r w:rsidRPr="00C67EDB" w:rsidR="00190355">
        <w:t>“</w:t>
      </w:r>
      <w:r w:rsidRPr="00C67EDB" w:rsidR="0084574B">
        <w:t>.</w:t>
      </w:r>
    </w:p>
    <w:p w:rsidR="000C5E55" w:rsidRPr="00C67EDB" w:rsidP="00FC4451">
      <w:pPr>
        <w:spacing w:before="240" w:after="240"/>
        <w:ind w:left="357"/>
      </w:pPr>
      <w:r w:rsidRPr="00C67EDB" w:rsidR="00EB406A">
        <w:t xml:space="preserve">Doterajšie odseky </w:t>
      </w:r>
      <w:r w:rsidRPr="00C67EDB" w:rsidR="0084574B">
        <w:t>5</w:t>
      </w:r>
      <w:r w:rsidRPr="00C67EDB" w:rsidR="00EB406A">
        <w:t xml:space="preserve"> až 14 sa označujú ako odseky </w:t>
      </w:r>
      <w:r w:rsidRPr="00C67EDB" w:rsidR="0084574B">
        <w:t>6</w:t>
      </w:r>
      <w:r w:rsidRPr="00C67EDB" w:rsidR="00EB406A">
        <w:t xml:space="preserve"> až 15</w:t>
      </w:r>
      <w:r w:rsidRPr="00C67EDB">
        <w:t>.</w:t>
      </w:r>
    </w:p>
    <w:p w:rsidR="003E43BE" w:rsidRPr="00C67EDB" w:rsidP="00B73743">
      <w:pPr>
        <w:numPr>
          <w:ilvl w:val="0"/>
          <w:numId w:val="2"/>
        </w:numPr>
        <w:spacing w:before="240" w:after="240"/>
        <w:ind w:left="357" w:hanging="357"/>
        <w:rPr>
          <w:color w:val="000000"/>
        </w:rPr>
      </w:pPr>
      <w:r w:rsidR="00B94AAD">
        <w:t>V § 28 ods.</w:t>
      </w:r>
      <w:r w:rsidRPr="00C67EDB">
        <w:t xml:space="preserve"> 7 sa slová „</w:t>
      </w:r>
      <w:r w:rsidRPr="00C67EDB">
        <w:rPr>
          <w:color w:val="000000"/>
        </w:rPr>
        <w:t>od 500 000 eur do 2 000 000 eur“ nahrádzajú slovami „</w:t>
      </w:r>
      <w:r w:rsidR="004E42E2">
        <w:rPr>
          <w:color w:val="000000"/>
        </w:rPr>
        <w:t xml:space="preserve">od </w:t>
      </w:r>
      <w:r w:rsidRPr="00C67EDB">
        <w:rPr>
          <w:color w:val="000000"/>
        </w:rPr>
        <w:t>1 0</w:t>
      </w:r>
      <w:r w:rsidR="00BF39EC">
        <w:rPr>
          <w:color w:val="000000"/>
        </w:rPr>
        <w:t>00 000 eur do 5 000 000 eur“.</w:t>
      </w:r>
    </w:p>
    <w:p w:rsidR="00C67EDB" w:rsidP="00B73743">
      <w:pPr>
        <w:numPr>
          <w:ilvl w:val="0"/>
          <w:numId w:val="2"/>
        </w:numPr>
        <w:spacing w:before="240" w:after="240"/>
        <w:ind w:left="357" w:hanging="357"/>
        <w:rPr>
          <w:color w:val="000000"/>
        </w:rPr>
      </w:pPr>
      <w:r w:rsidR="00B94AAD">
        <w:t xml:space="preserve">V § 28 </w:t>
      </w:r>
      <w:r w:rsidR="00870AB1">
        <w:t xml:space="preserve">sa vypúšťa </w:t>
      </w:r>
      <w:r w:rsidR="00B94AAD">
        <w:t>ods</w:t>
      </w:r>
      <w:r w:rsidR="008930F1">
        <w:t>ek</w:t>
      </w:r>
      <w:r w:rsidRPr="00C67EDB" w:rsidR="003E43BE">
        <w:t xml:space="preserve"> 9</w:t>
      </w:r>
      <w:r w:rsidRPr="00C67EDB" w:rsidR="003E43BE">
        <w:rPr>
          <w:color w:val="000000"/>
        </w:rPr>
        <w:t>.</w:t>
      </w:r>
    </w:p>
    <w:p w:rsidR="00710A40" w:rsidRPr="00C67EDB" w:rsidP="00710A40">
      <w:pPr>
        <w:spacing w:before="240" w:after="240"/>
        <w:ind w:left="357"/>
        <w:rPr>
          <w:color w:val="000000"/>
        </w:rPr>
      </w:pPr>
      <w:r>
        <w:t>Doterajšie odseky 10 až 15 sa označujú ako odseky 9 až 14</w:t>
      </w:r>
      <w:r w:rsidR="00134E8E">
        <w:t>.</w:t>
      </w:r>
    </w:p>
    <w:p w:rsidR="00C11FE0" w:rsidRPr="00C67EDB" w:rsidP="00B73743">
      <w:pPr>
        <w:numPr>
          <w:ilvl w:val="0"/>
          <w:numId w:val="2"/>
        </w:numPr>
        <w:spacing w:before="240" w:after="240"/>
        <w:ind w:left="357" w:hanging="357"/>
        <w:rPr>
          <w:rFonts w:eastAsia="PalatinoLinotype-Bold"/>
          <w:bCs/>
          <w:color w:val="000000"/>
        </w:rPr>
      </w:pPr>
      <w:r w:rsidR="00B94AAD">
        <w:rPr>
          <w:rFonts w:eastAsia="PalatinoLinotype-Bold"/>
          <w:bCs/>
          <w:color w:val="000000"/>
        </w:rPr>
        <w:t>V § 29 ods.</w:t>
      </w:r>
      <w:r w:rsidRPr="00C67EDB" w:rsidR="003E43BE">
        <w:rPr>
          <w:rFonts w:eastAsia="PalatinoLinotype-Bold"/>
          <w:bCs/>
          <w:color w:val="000000"/>
        </w:rPr>
        <w:t xml:space="preserve"> 2 sa slová „</w:t>
      </w:r>
      <w:r w:rsidRPr="00C67EDB" w:rsidR="002E0474">
        <w:rPr>
          <w:rFonts w:eastAsia="PalatinoLinotype-Bold"/>
          <w:bCs/>
          <w:color w:val="000000"/>
        </w:rPr>
        <w:t>do 1 000 eur“</w:t>
      </w:r>
      <w:r w:rsidRPr="00C67EDB" w:rsidR="00CC6D4D">
        <w:rPr>
          <w:rFonts w:eastAsia="PalatinoLinotype-Bold"/>
          <w:bCs/>
          <w:color w:val="000000"/>
        </w:rPr>
        <w:t xml:space="preserve"> </w:t>
      </w:r>
      <w:r w:rsidRPr="00C67EDB" w:rsidR="002E0474">
        <w:rPr>
          <w:rFonts w:eastAsia="PalatinoLinotype-Bold"/>
          <w:bCs/>
          <w:color w:val="000000"/>
        </w:rPr>
        <w:t xml:space="preserve">nahrádzajú slovami </w:t>
      </w:r>
      <w:r w:rsidRPr="00C67EDB" w:rsidR="003E43BE">
        <w:rPr>
          <w:rFonts w:eastAsia="PalatinoLinotype-Bold"/>
          <w:bCs/>
          <w:color w:val="000000"/>
        </w:rPr>
        <w:t>„</w:t>
      </w:r>
      <w:r w:rsidRPr="00C67EDB" w:rsidR="002E0474">
        <w:rPr>
          <w:rFonts w:eastAsia="PalatinoLinotype-Bold"/>
          <w:bCs/>
          <w:color w:val="000000"/>
        </w:rPr>
        <w:t xml:space="preserve">do </w:t>
      </w:r>
      <w:r w:rsidR="008930F1">
        <w:rPr>
          <w:rFonts w:eastAsia="PalatinoLinotype-Bold"/>
          <w:bCs/>
          <w:color w:val="000000"/>
        </w:rPr>
        <w:t>4</w:t>
      </w:r>
      <w:r w:rsidRPr="00C67EDB" w:rsidR="002E0474">
        <w:rPr>
          <w:rFonts w:eastAsia="PalatinoLinotype-Bold"/>
          <w:bCs/>
          <w:color w:val="000000"/>
        </w:rPr>
        <w:t> 000 eur“</w:t>
      </w:r>
      <w:r w:rsidRPr="00C67EDB" w:rsidR="00CC6D4D">
        <w:rPr>
          <w:rFonts w:eastAsia="PalatinoLinotype-Bold"/>
          <w:bCs/>
          <w:color w:val="000000"/>
        </w:rPr>
        <w:t xml:space="preserve"> a</w:t>
      </w:r>
      <w:r w:rsidRPr="00C67EDB" w:rsidR="001058A8">
        <w:rPr>
          <w:rFonts w:eastAsia="PalatinoLinotype-Bold"/>
          <w:bCs/>
          <w:color w:val="000000"/>
        </w:rPr>
        <w:t> </w:t>
      </w:r>
      <w:r w:rsidRPr="00C67EDB" w:rsidR="00CC6D4D">
        <w:rPr>
          <w:rFonts w:eastAsia="PalatinoLinotype-Bold"/>
          <w:bCs/>
          <w:color w:val="000000"/>
        </w:rPr>
        <w:t xml:space="preserve">slová „do 2 000 eur“ </w:t>
      </w:r>
      <w:r w:rsidRPr="00C67EDB" w:rsidR="003E43BE">
        <w:rPr>
          <w:rFonts w:eastAsia="PalatinoLinotype-Bold"/>
          <w:bCs/>
          <w:color w:val="000000"/>
        </w:rPr>
        <w:t>nahrádzajú slovami „</w:t>
      </w:r>
      <w:r w:rsidRPr="00C67EDB" w:rsidR="00CC6D4D">
        <w:rPr>
          <w:rFonts w:eastAsia="PalatinoLinotype-Bold"/>
          <w:bCs/>
          <w:color w:val="000000"/>
        </w:rPr>
        <w:t xml:space="preserve">do </w:t>
      </w:r>
      <w:r w:rsidR="008930F1">
        <w:rPr>
          <w:rFonts w:eastAsia="PalatinoLinotype-Bold"/>
          <w:bCs/>
          <w:color w:val="000000"/>
        </w:rPr>
        <w:t>8</w:t>
      </w:r>
      <w:r w:rsidRPr="00C67EDB" w:rsidR="00CC6D4D">
        <w:rPr>
          <w:rFonts w:eastAsia="PalatinoLinotype-Bold"/>
          <w:bCs/>
          <w:color w:val="000000"/>
        </w:rPr>
        <w:t> 000 eur“.</w:t>
      </w:r>
    </w:p>
    <w:p w:rsidR="002E0474" w:rsidRPr="00C67EDB" w:rsidP="00B73743">
      <w:pPr>
        <w:numPr>
          <w:ilvl w:val="0"/>
          <w:numId w:val="2"/>
        </w:numPr>
        <w:spacing w:before="240" w:after="240"/>
        <w:ind w:left="357" w:hanging="357"/>
        <w:rPr>
          <w:rFonts w:eastAsia="PalatinoLinotype-Bold"/>
          <w:bCs/>
          <w:color w:val="000000"/>
        </w:rPr>
      </w:pPr>
      <w:r w:rsidR="00B94AAD">
        <w:rPr>
          <w:rFonts w:eastAsia="PalatinoLinotype-Bold"/>
          <w:bCs/>
          <w:color w:val="000000"/>
        </w:rPr>
        <w:t xml:space="preserve">V § </w:t>
      </w:r>
      <w:r w:rsidRPr="00BF39EC" w:rsidR="00B94AAD">
        <w:t>29</w:t>
      </w:r>
      <w:r w:rsidR="00B94AAD">
        <w:rPr>
          <w:rFonts w:eastAsia="PalatinoLinotype-Bold"/>
          <w:bCs/>
          <w:color w:val="000000"/>
        </w:rPr>
        <w:t xml:space="preserve"> ods.</w:t>
      </w:r>
      <w:r w:rsidRPr="00C67EDB">
        <w:rPr>
          <w:rFonts w:eastAsia="PalatinoLinotype-Bold"/>
          <w:bCs/>
          <w:color w:val="000000"/>
        </w:rPr>
        <w:t xml:space="preserve"> 3 sa slová „do 500 eur“ n</w:t>
      </w:r>
      <w:r w:rsidRPr="00C67EDB" w:rsidR="003E43BE">
        <w:rPr>
          <w:rFonts w:eastAsia="PalatinoLinotype-Bold"/>
          <w:bCs/>
          <w:color w:val="000000"/>
        </w:rPr>
        <w:t>ahrádzajú slovami „</w:t>
      </w:r>
      <w:r w:rsidRPr="00C67EDB">
        <w:rPr>
          <w:rFonts w:eastAsia="PalatinoLinotype-Bold"/>
          <w:bCs/>
          <w:color w:val="000000"/>
        </w:rPr>
        <w:t xml:space="preserve">do </w:t>
      </w:r>
      <w:r w:rsidR="008930F1">
        <w:rPr>
          <w:rFonts w:eastAsia="PalatinoLinotype-Bold"/>
          <w:bCs/>
          <w:color w:val="000000"/>
        </w:rPr>
        <w:t>2</w:t>
      </w:r>
      <w:r w:rsidRPr="00C67EDB">
        <w:rPr>
          <w:rFonts w:eastAsia="PalatinoLinotype-Bold"/>
          <w:bCs/>
          <w:color w:val="000000"/>
        </w:rPr>
        <w:t> 000 eur“.</w:t>
      </w:r>
    </w:p>
    <w:p w:rsidR="00F018C8" w:rsidP="00B73743">
      <w:pPr>
        <w:numPr>
          <w:ilvl w:val="0"/>
          <w:numId w:val="2"/>
        </w:numPr>
        <w:spacing w:before="240" w:after="240"/>
        <w:ind w:left="357" w:hanging="357"/>
      </w:pPr>
      <w:r w:rsidRPr="00C67EDB" w:rsidR="001058A8">
        <w:t>V § 30a sa slová „Ministerstvo a ministerstvo zdravotníctva“ nahrádzajú slovami „Ministerstvo, ministerstvo zdravotníctva a</w:t>
      </w:r>
      <w:r w:rsidR="004E42E2">
        <w:t> štátna veterinárna a potravinová správa</w:t>
      </w:r>
      <w:r w:rsidRPr="00C67EDB" w:rsidR="001058A8">
        <w:t>“.</w:t>
      </w:r>
    </w:p>
    <w:p w:rsidR="007807DE" w:rsidP="00B73743">
      <w:pPr>
        <w:numPr>
          <w:ilvl w:val="0"/>
          <w:numId w:val="2"/>
        </w:numPr>
        <w:spacing w:before="240" w:after="240"/>
        <w:ind w:left="357" w:hanging="357"/>
      </w:pPr>
      <w:r>
        <w:t xml:space="preserve">V § 31 </w:t>
      </w:r>
      <w:r w:rsidR="00134E8E">
        <w:t>ods. 2</w:t>
      </w:r>
      <w:r w:rsidR="00D00B8B">
        <w:t xml:space="preserve"> </w:t>
      </w:r>
      <w:r>
        <w:t>sa slová „ods. 10“ nahrádzajú slovami „ods. 9</w:t>
      </w:r>
      <w:r w:rsidR="00EB1076">
        <w:t xml:space="preserve"> a </w:t>
      </w:r>
      <w:r>
        <w:t>1</w:t>
      </w:r>
      <w:r w:rsidR="00DC1EA5">
        <w:t>2</w:t>
      </w:r>
      <w:r>
        <w:t>“.</w:t>
      </w:r>
    </w:p>
    <w:p w:rsidR="00DF1850" w:rsidP="00B73743">
      <w:pPr>
        <w:numPr>
          <w:ilvl w:val="0"/>
          <w:numId w:val="2"/>
        </w:numPr>
        <w:spacing w:before="240" w:after="240"/>
        <w:ind w:left="357" w:hanging="357"/>
      </w:pPr>
      <w:r>
        <w:t>Za § 31e sa vkladá § 31f, ktorý vrátane nadpisu znie:</w:t>
      </w:r>
    </w:p>
    <w:p w:rsidR="00DF1850" w:rsidP="00DF1850">
      <w:pPr>
        <w:pStyle w:val="Heading1"/>
        <w:rPr>
          <w:lang w:val="sk-SK"/>
        </w:rPr>
      </w:pPr>
      <w:r>
        <w:rPr>
          <w:lang w:val="sk-SK"/>
        </w:rPr>
        <w:t>„§ 31f</w:t>
      </w:r>
    </w:p>
    <w:p w:rsidR="00DF1850" w:rsidP="00DF1850">
      <w:pPr>
        <w:pStyle w:val="Heading2"/>
        <w:rPr>
          <w:lang w:val="sk-SK"/>
        </w:rPr>
      </w:pPr>
      <w:r>
        <w:rPr>
          <w:lang w:val="sk-SK"/>
        </w:rPr>
        <w:t>Zrušovacie ustanovenie účinné od 1. marca 2013</w:t>
      </w:r>
    </w:p>
    <w:p w:rsidR="00DF1850" w:rsidRPr="00DF1850" w:rsidP="009203D9">
      <w:pPr>
        <w:ind w:left="357" w:firstLine="567"/>
        <w:rPr>
          <w:lang w:eastAsia="x-none"/>
        </w:rPr>
      </w:pPr>
      <w:r>
        <w:rPr>
          <w:lang w:eastAsia="x-none"/>
        </w:rPr>
        <w:t>Zrušuje sa vyhláška Ministerstva pôdohospodárstva a rozvoja vidieka Slovenskej republiky č. </w:t>
      </w:r>
      <w:r w:rsidR="009203D9">
        <w:rPr>
          <w:lang w:eastAsia="x-none"/>
        </w:rPr>
        <w:t>375/2011 Z. z. o</w:t>
      </w:r>
      <w:r w:rsidR="009203D9">
        <w:t> kritériách posudzovania veľkosti prevádzky.“.</w:t>
      </w:r>
    </w:p>
    <w:p w:rsidR="00E77CFF" w:rsidRPr="00E77CFF" w:rsidP="00DF1850">
      <w:pPr>
        <w:pStyle w:val="Heading1"/>
      </w:pPr>
      <w:r w:rsidRPr="00E77CFF">
        <w:t>Čl. II</w:t>
      </w:r>
    </w:p>
    <w:p w:rsidR="00B73743" w:rsidP="00B73743">
      <w:pPr>
        <w:pStyle w:val="odsek"/>
      </w:pPr>
      <w:r>
        <w:t xml:space="preserve">Zákon </w:t>
      </w:r>
      <w:r w:rsidR="00DF1850">
        <w:t>č. </w:t>
      </w:r>
      <w:r>
        <w:t xml:space="preserve">178/1998 </w:t>
      </w:r>
      <w:r w:rsidR="00DF1850">
        <w:t>Z. z.</w:t>
      </w:r>
      <w:r>
        <w:t xml:space="preserve"> o podmienkach predaja výrobkov a poskytovania služieb na trhových miestach a o zmene a doplnení zákona </w:t>
      </w:r>
      <w:r w:rsidR="00DF1850">
        <w:rPr>
          <w:rFonts w:ascii="PalatinoLinotype-Roman" w:eastAsia="PalatinoLinotype-Roman" w:cs="PalatinoLinotype-Roman" w:hint="eastAsia"/>
        </w:rPr>
        <w:t>č</w:t>
      </w:r>
      <w:r w:rsidR="00DF1850">
        <w:rPr>
          <w:rFonts w:ascii="PalatinoLinotype-Roman" w:eastAsia="PalatinoLinotype-Roman" w:cs="PalatinoLinotype-Roman" w:hint="eastAsia"/>
        </w:rPr>
        <w:t>.</w:t>
      </w:r>
      <w:r w:rsidR="00DF1850">
        <w:rPr>
          <w:rFonts w:ascii="PalatinoLinotype-Roman" w:eastAsia="PalatinoLinotype-Roman" w:cs="PalatinoLinotype-Roman" w:hint="eastAsia"/>
        </w:rPr>
        <w:t> </w:t>
      </w:r>
      <w:r>
        <w:t xml:space="preserve">455/1991 Zb. o živnostenskom podnikaní </w:t>
      </w:r>
      <w:r w:rsidRPr="0042578C">
        <w:t xml:space="preserve">(živnostenský zákon) v znení neskorších predpisov v znení zákona </w:t>
      </w:r>
      <w:r w:rsidR="00DF1850">
        <w:t>č. </w:t>
      </w:r>
      <w:r w:rsidRPr="0042578C">
        <w:t xml:space="preserve">310/1999 </w:t>
      </w:r>
      <w:r w:rsidR="00DF1850">
        <w:t>Z. z.</w:t>
      </w:r>
      <w:r w:rsidRPr="0042578C">
        <w:t xml:space="preserve">, zákona </w:t>
      </w:r>
      <w:r w:rsidR="00DF1850">
        <w:t>č. </w:t>
      </w:r>
      <w:r w:rsidRPr="0042578C">
        <w:t xml:space="preserve">115/2000 </w:t>
      </w:r>
      <w:r w:rsidR="00DF1850">
        <w:t>Z. z.</w:t>
      </w:r>
      <w:r w:rsidRPr="0042578C">
        <w:t xml:space="preserve">, zákona </w:t>
      </w:r>
      <w:r w:rsidR="00DF1850">
        <w:t>č. </w:t>
      </w:r>
      <w:r w:rsidRPr="0042578C">
        <w:t xml:space="preserve">128/2002 </w:t>
      </w:r>
      <w:r w:rsidR="00DF1850">
        <w:t>Z. z.</w:t>
      </w:r>
      <w:r w:rsidRPr="0042578C">
        <w:t xml:space="preserve">, zákona </w:t>
      </w:r>
      <w:r w:rsidR="00DF1850">
        <w:t>č. </w:t>
      </w:r>
      <w:r w:rsidRPr="0042578C">
        <w:t xml:space="preserve">524/2005 </w:t>
      </w:r>
      <w:r w:rsidR="00DF1850">
        <w:t>Z. z.</w:t>
      </w:r>
      <w:r w:rsidRPr="0042578C">
        <w:t xml:space="preserve">, zákona </w:t>
      </w:r>
      <w:r w:rsidR="00DF1850">
        <w:t>č. </w:t>
      </w:r>
      <w:r w:rsidRPr="0042578C">
        <w:t xml:space="preserve">215/2007 </w:t>
      </w:r>
      <w:r w:rsidR="00DF1850">
        <w:t>Z. z.</w:t>
      </w:r>
      <w:r w:rsidRPr="0042578C">
        <w:t xml:space="preserve">, zákona </w:t>
      </w:r>
      <w:r w:rsidR="00DF1850">
        <w:t>č. </w:t>
      </w:r>
      <w:r w:rsidRPr="0042578C">
        <w:t xml:space="preserve">343/2007 </w:t>
      </w:r>
      <w:r w:rsidR="00DF1850">
        <w:t>Z. z.</w:t>
      </w:r>
      <w:r w:rsidRPr="0042578C">
        <w:t xml:space="preserve"> a zákona </w:t>
      </w:r>
      <w:r w:rsidR="00DF1850">
        <w:t>č. </w:t>
      </w:r>
      <w:r w:rsidRPr="0042578C">
        <w:t xml:space="preserve">358/2007 </w:t>
      </w:r>
      <w:r w:rsidR="00DF1850">
        <w:t>Z. z.</w:t>
      </w:r>
      <w:r>
        <w:t xml:space="preserve"> sa dopĺňa takto:</w:t>
      </w:r>
    </w:p>
    <w:p w:rsidR="002948C6" w:rsidRPr="00996E81" w:rsidP="002948C6">
      <w:pPr>
        <w:pStyle w:val="odsek"/>
        <w:spacing w:before="240" w:after="240"/>
        <w:ind w:firstLine="0"/>
      </w:pPr>
      <w:r>
        <w:t xml:space="preserve">V § 9 ods. 2 sa na konci bodka nahrádza bodkočiarkou a pripájajú sa tieto slová „obcou sa </w:t>
      </w:r>
      <w:r w:rsidR="00DC1EA5">
        <w:t xml:space="preserve">na </w:t>
      </w:r>
      <w:r w:rsidRPr="00996E81" w:rsidR="00DC1EA5">
        <w:t>účely tohto zákona ro</w:t>
      </w:r>
      <w:r w:rsidRPr="00996E81">
        <w:t>zumie územie vymedzené dopravnými značkami označujúcimi začiatok a</w:t>
      </w:r>
      <w:r w:rsidR="00996E81">
        <w:t> </w:t>
      </w:r>
      <w:r w:rsidRPr="00996E81">
        <w:t>koniec</w:t>
      </w:r>
      <w:r w:rsidR="00996E81">
        <w:t xml:space="preserve"> </w:t>
      </w:r>
      <w:r w:rsidRPr="00996E81">
        <w:t>obce</w:t>
      </w:r>
      <w:r w:rsidR="00996E81">
        <w:t>,</w:t>
      </w:r>
      <w:r w:rsidRPr="00996E81" w:rsidR="00996E81">
        <w:t xml:space="preserve"> ako aj územie vymedzené dopravnými značkami označujúcimi začiatok a koniec miestnej časti obce</w:t>
      </w:r>
      <w:r w:rsidRPr="00996E81">
        <w:t>.“.</w:t>
      </w:r>
    </w:p>
    <w:p w:rsidR="00F339F7" w:rsidRPr="00A408E0" w:rsidP="00134E8E">
      <w:pPr>
        <w:pStyle w:val="Heading1"/>
      </w:pPr>
      <w:r w:rsidRPr="00996E81">
        <w:t>Čl. II</w:t>
      </w:r>
      <w:r w:rsidRPr="00996E81" w:rsidR="00E77CFF">
        <w:t>I</w:t>
      </w:r>
    </w:p>
    <w:p w:rsidR="00B73743" w:rsidRPr="00160A5C" w:rsidP="00B73743">
      <w:pPr>
        <w:pStyle w:val="odsek"/>
      </w:pPr>
      <w:r w:rsidRPr="00CE0BA5">
        <w:t xml:space="preserve">Zákon </w:t>
      </w:r>
      <w:r w:rsidRPr="00CE0BA5" w:rsidR="00DF1850">
        <w:t>č. </w:t>
      </w:r>
      <w:r w:rsidRPr="00CE0BA5">
        <w:t xml:space="preserve">8/2009 </w:t>
      </w:r>
      <w:r w:rsidRPr="00CE0BA5" w:rsidR="00DF1850">
        <w:t>Z. z.</w:t>
      </w:r>
      <w:r w:rsidRPr="00CE0BA5">
        <w:t xml:space="preserve"> o</w:t>
      </w:r>
      <w:r w:rsidR="003F1239">
        <w:t> </w:t>
      </w:r>
      <w:r w:rsidRPr="00CE0BA5">
        <w:t>cestnej</w:t>
      </w:r>
      <w:r w:rsidR="003F1239">
        <w:t xml:space="preserve"> </w:t>
      </w:r>
      <w:r w:rsidRPr="00CE0BA5">
        <w:t>premávke a</w:t>
      </w:r>
      <w:r w:rsidR="003F1239">
        <w:t> </w:t>
      </w:r>
      <w:r w:rsidRPr="00CE0BA5">
        <w:t>o</w:t>
      </w:r>
      <w:r w:rsidR="003F1239">
        <w:t> </w:t>
      </w:r>
      <w:r w:rsidRPr="00CE0BA5">
        <w:t>zmene</w:t>
      </w:r>
      <w:r w:rsidR="003F1239">
        <w:t xml:space="preserve"> </w:t>
      </w:r>
      <w:r w:rsidRPr="00CE0BA5">
        <w:t>a</w:t>
      </w:r>
      <w:r w:rsidR="003F1239">
        <w:t> </w:t>
      </w:r>
      <w:r w:rsidRPr="00D21670">
        <w:t>doplnení</w:t>
      </w:r>
      <w:r w:rsidR="003F1239">
        <w:t xml:space="preserve"> </w:t>
      </w:r>
      <w:r w:rsidRPr="00D21670">
        <w:t xml:space="preserve">niektorých zákonov v znení zákona </w:t>
      </w:r>
      <w:r w:rsidRPr="00191B40" w:rsidR="00DF1850">
        <w:t>č. </w:t>
      </w:r>
      <w:r w:rsidRPr="0029647E">
        <w:t xml:space="preserve">84/2009 </w:t>
      </w:r>
      <w:r w:rsidRPr="00E27543" w:rsidR="00DF1850">
        <w:t>Z. z.</w:t>
      </w:r>
      <w:r w:rsidRPr="00F63603">
        <w:t xml:space="preserve">, zákona </w:t>
      </w:r>
      <w:r w:rsidRPr="002C249D" w:rsidR="00DF1850">
        <w:t>č. </w:t>
      </w:r>
      <w:r w:rsidRPr="00160A5C">
        <w:t xml:space="preserve">188/2009 </w:t>
      </w:r>
      <w:r w:rsidRPr="00160A5C" w:rsidR="00DF1850">
        <w:t>Z. z.</w:t>
      </w:r>
      <w:r w:rsidRPr="00160A5C">
        <w:t xml:space="preserve">, zákona </w:t>
      </w:r>
      <w:r w:rsidRPr="00160A5C" w:rsidR="00DF1850">
        <w:t>č. </w:t>
      </w:r>
      <w:r w:rsidRPr="00160A5C">
        <w:t xml:space="preserve">199/2009 </w:t>
      </w:r>
      <w:r w:rsidRPr="00160A5C" w:rsidR="00DF1850">
        <w:t>Z. z.</w:t>
      </w:r>
      <w:r w:rsidRPr="00160A5C">
        <w:t xml:space="preserve">, zákona </w:t>
      </w:r>
      <w:r w:rsidRPr="00160A5C" w:rsidR="00DF1850">
        <w:t>č. </w:t>
      </w:r>
      <w:r w:rsidRPr="00160A5C">
        <w:t xml:space="preserve">144/2010 </w:t>
      </w:r>
      <w:r w:rsidRPr="00160A5C" w:rsidR="00DF1850">
        <w:t>Z. z.</w:t>
      </w:r>
      <w:r w:rsidRPr="00160A5C">
        <w:t xml:space="preserve">, zákona </w:t>
      </w:r>
      <w:r w:rsidRPr="00160A5C" w:rsidR="00DF1850">
        <w:t>č. </w:t>
      </w:r>
      <w:r w:rsidRPr="00160A5C">
        <w:t xml:space="preserve">119/2011 </w:t>
      </w:r>
      <w:r w:rsidRPr="00160A5C" w:rsidR="00DF1850">
        <w:t>Z. z.</w:t>
      </w:r>
      <w:r w:rsidRPr="00160A5C">
        <w:t xml:space="preserve">, zákona </w:t>
      </w:r>
      <w:r w:rsidRPr="00160A5C" w:rsidR="00DF1850">
        <w:t>č. </w:t>
      </w:r>
      <w:r w:rsidRPr="00160A5C">
        <w:t xml:space="preserve">249/2011 </w:t>
      </w:r>
      <w:r w:rsidRPr="00160A5C" w:rsidR="00DF1850">
        <w:t>Z. z.</w:t>
      </w:r>
      <w:r w:rsidRPr="00160A5C">
        <w:t xml:space="preserve">, zákona </w:t>
      </w:r>
      <w:r w:rsidRPr="00160A5C" w:rsidR="00DF1850">
        <w:t>č. </w:t>
      </w:r>
      <w:r w:rsidRPr="00160A5C">
        <w:t xml:space="preserve">313/2011 </w:t>
      </w:r>
      <w:r w:rsidRPr="00160A5C" w:rsidR="00DF1850">
        <w:t>Z. z.</w:t>
      </w:r>
      <w:r w:rsidR="00DC1EA5">
        <w:t>,</w:t>
      </w:r>
      <w:r w:rsidRPr="00160A5C">
        <w:t xml:space="preserve"> zákona </w:t>
      </w:r>
      <w:r w:rsidRPr="00160A5C" w:rsidR="00DF1850">
        <w:t>č. </w:t>
      </w:r>
      <w:r w:rsidRPr="00160A5C">
        <w:t xml:space="preserve">68/2012 </w:t>
      </w:r>
      <w:r w:rsidRPr="00160A5C" w:rsidR="00DF1850">
        <w:t>Z. z.</w:t>
      </w:r>
      <w:r w:rsidRPr="00160A5C">
        <w:t xml:space="preserve"> </w:t>
      </w:r>
      <w:r w:rsidR="00DC1EA5">
        <w:t xml:space="preserve">a zákona č. 317/2012 Z. z. </w:t>
      </w:r>
      <w:r w:rsidRPr="00160A5C">
        <w:t>sa dopĺňa takto:</w:t>
      </w:r>
    </w:p>
    <w:p w:rsidR="00B73743" w:rsidRPr="00160A5C" w:rsidP="00B73743">
      <w:pPr>
        <w:spacing w:before="240" w:after="240"/>
      </w:pPr>
      <w:r w:rsidRPr="00160A5C" w:rsidR="00A26A39">
        <w:t>V </w:t>
      </w:r>
      <w:r w:rsidRPr="00160A5C">
        <w:t xml:space="preserve">§ 72 </w:t>
      </w:r>
      <w:r w:rsidR="00DC1EA5">
        <w:t xml:space="preserve">sa </w:t>
      </w:r>
      <w:r w:rsidRPr="00160A5C">
        <w:t>ods</w:t>
      </w:r>
      <w:r w:rsidRPr="00160A5C" w:rsidR="00A26A39">
        <w:t>ek</w:t>
      </w:r>
      <w:r w:rsidRPr="00160A5C">
        <w:t xml:space="preserve"> 1 dopĺňa písmenom l), ktoré znie:</w:t>
      </w:r>
    </w:p>
    <w:p w:rsidR="00B73743" w:rsidRPr="00160A5C" w:rsidP="00B73743">
      <w:pPr>
        <w:spacing w:before="240" w:after="240"/>
      </w:pPr>
      <w:r w:rsidRPr="00160A5C">
        <w:t xml:space="preserve">„l) </w:t>
      </w:r>
      <w:r w:rsidR="00996E81">
        <w:t xml:space="preserve">bolo </w:t>
      </w:r>
      <w:r w:rsidRPr="00160A5C">
        <w:t>vodič</w:t>
      </w:r>
      <w:r w:rsidR="00996E81">
        <w:t>ovi</w:t>
      </w:r>
      <w:r w:rsidRPr="00160A5C">
        <w:t xml:space="preserve"> vozidla uložen</w:t>
      </w:r>
      <w:r w:rsidR="00996E81">
        <w:t>é</w:t>
      </w:r>
      <w:r w:rsidRPr="00160A5C">
        <w:t xml:space="preserve"> opatren</w:t>
      </w:r>
      <w:r w:rsidR="00996E81">
        <w:t>ie</w:t>
      </w:r>
      <w:r w:rsidRPr="00160A5C">
        <w:t xml:space="preserve"> </w:t>
      </w:r>
      <w:r w:rsidR="00EB1076">
        <w:t>na úseku bezpečnosti potravín</w:t>
      </w:r>
      <w:r w:rsidRPr="00160A5C">
        <w:t>.“.</w:t>
      </w:r>
    </w:p>
    <w:p w:rsidR="005108FC" w:rsidRPr="00160A5C" w:rsidP="005108FC">
      <w:pPr>
        <w:pStyle w:val="Heading1"/>
        <w:rPr>
          <w:lang w:val="sk-SK"/>
        </w:rPr>
      </w:pPr>
      <w:r w:rsidR="00B73743">
        <w:t>Čl. IV</w:t>
      </w:r>
    </w:p>
    <w:p w:rsidR="007D42F1" w:rsidRPr="00C67EDB" w:rsidP="00EB1076">
      <w:pPr>
        <w:ind w:firstLine="709"/>
      </w:pPr>
      <w:r w:rsidRPr="00C67EDB" w:rsidR="00F339F7">
        <w:t xml:space="preserve">Tento zákon nadobúda účinnosť </w:t>
      </w:r>
      <w:r w:rsidR="008969BB">
        <w:t>1. marca</w:t>
      </w:r>
      <w:r w:rsidRPr="00C67EDB" w:rsidR="00F339F7">
        <w:t xml:space="preserve"> 201</w:t>
      </w:r>
      <w:r w:rsidRPr="00C67EDB" w:rsidR="00BB468F">
        <w:t>3.</w:t>
      </w:r>
    </w:p>
    <w:sectPr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Linotype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altName w:val="Arial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4B" w:rsidRPr="003F1239" w:rsidP="003F1239">
    <w:pPr>
      <w:pStyle w:val="Footer"/>
      <w:jc w:val="center"/>
      <w:rPr>
        <w:lang w:val="sk-SK"/>
      </w:rPr>
    </w:pPr>
    <w:r>
      <w:fldChar w:fldCharType="begin"/>
    </w:r>
    <w:r>
      <w:instrText>PAGE   \* MERGEFORMAT</w:instrText>
    </w:r>
    <w:r>
      <w:fldChar w:fldCharType="separate"/>
    </w:r>
    <w:r w:rsidR="00A76DFE">
      <w:rPr>
        <w:noProof/>
      </w:rPr>
      <w:t>4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639"/>
    <w:multiLevelType w:val="hybridMultilevel"/>
    <w:tmpl w:val="363265E6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79D1169"/>
    <w:multiLevelType w:val="hybridMultilevel"/>
    <w:tmpl w:val="F3CA34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4E0AB6"/>
    <w:multiLevelType w:val="hybridMultilevel"/>
    <w:tmpl w:val="E0A0E8B8"/>
    <w:lvl w:ilvl="0">
      <w:start w:val="1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714"/>
    <w:multiLevelType w:val="hybridMultilevel"/>
    <w:tmpl w:val="70922560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FB2B81"/>
    <w:multiLevelType w:val="hybridMultilevel"/>
    <w:tmpl w:val="EFDC85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C661B"/>
    <w:multiLevelType w:val="hybridMultilevel"/>
    <w:tmpl w:val="3C0030B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E46A3"/>
    <w:multiLevelType w:val="hybridMultilevel"/>
    <w:tmpl w:val="918AF3DE"/>
    <w:lvl w:ilvl="0">
      <w:start w:val="1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20E407D8"/>
    <w:multiLevelType w:val="hybridMultilevel"/>
    <w:tmpl w:val="FB78E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94237"/>
    <w:multiLevelType w:val="hybridMultilevel"/>
    <w:tmpl w:val="EFDC85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9256D9"/>
    <w:multiLevelType w:val="hybridMultilevel"/>
    <w:tmpl w:val="32DEF86A"/>
    <w:lvl w:ilvl="0">
      <w:start w:val="11"/>
      <w:numFmt w:val="decimal"/>
      <w:lvlText w:val="(%1)"/>
      <w:lvlJc w:val="left"/>
      <w:pPr>
        <w:ind w:left="1470" w:hanging="39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5D3CED"/>
    <w:multiLevelType w:val="hybridMultilevel"/>
    <w:tmpl w:val="3942E8C8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4D2150"/>
    <w:multiLevelType w:val="hybridMultilevel"/>
    <w:tmpl w:val="7E366E92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9278C"/>
    <w:multiLevelType w:val="hybridMultilevel"/>
    <w:tmpl w:val="4C329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713"/>
    <w:multiLevelType w:val="hybridMultilevel"/>
    <w:tmpl w:val="768097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62024"/>
    <w:multiLevelType w:val="hybridMultilevel"/>
    <w:tmpl w:val="5F68856E"/>
    <w:lvl w:ilvl="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FD4748"/>
    <w:multiLevelType w:val="hybridMultilevel"/>
    <w:tmpl w:val="18F6FE4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A5B56"/>
    <w:multiLevelType w:val="hybridMultilevel"/>
    <w:tmpl w:val="67B8827A"/>
    <w:lvl w:ilvl="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C09EB"/>
    <w:multiLevelType w:val="multilevel"/>
    <w:tmpl w:val="8B420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5"/>
  </w:num>
  <w:num w:numId="5">
    <w:abstractNumId w:val="16"/>
  </w:num>
  <w:num w:numId="6">
    <w:abstractNumId w:val="11"/>
  </w:num>
  <w:num w:numId="7">
    <w:abstractNumId w:val="10"/>
  </w:num>
  <w:num w:numId="8">
    <w:abstractNumId w:val="2"/>
  </w:num>
  <w:num w:numId="9">
    <w:abstractNumId w:val="19"/>
  </w:num>
  <w:num w:numId="10">
    <w:abstractNumId w:val="17"/>
  </w:num>
  <w:num w:numId="11">
    <w:abstractNumId w:val="4"/>
  </w:num>
  <w:num w:numId="12">
    <w:abstractNumId w:val="6"/>
  </w:num>
  <w:num w:numId="13">
    <w:abstractNumId w:val="0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3"/>
  </w:num>
  <w:num w:numId="17">
    <w:abstractNumId w:val="20"/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15"/>
  </w:num>
  <w:num w:numId="24">
    <w:abstractNumId w:val="13"/>
  </w:num>
  <w:num w:numId="25">
    <w:abstractNumId w:val="15"/>
  </w:num>
  <w:num w:numId="26">
    <w:abstractNumId w:val="13"/>
  </w:num>
  <w:num w:numId="27">
    <w:abstractNumId w:val="9"/>
  </w:num>
  <w:num w:numId="28">
    <w:abstractNumId w:val="1"/>
  </w:num>
  <w:num w:numId="29">
    <w:abstractNumId w:val="8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2F1"/>
    <w:rsid w:val="000214EE"/>
    <w:rsid w:val="000635C6"/>
    <w:rsid w:val="00070263"/>
    <w:rsid w:val="000736B5"/>
    <w:rsid w:val="000C5E55"/>
    <w:rsid w:val="000D302D"/>
    <w:rsid w:val="000E513C"/>
    <w:rsid w:val="00103B0F"/>
    <w:rsid w:val="001058A8"/>
    <w:rsid w:val="00134E8E"/>
    <w:rsid w:val="00145053"/>
    <w:rsid w:val="0014684E"/>
    <w:rsid w:val="00146D58"/>
    <w:rsid w:val="00160A5C"/>
    <w:rsid w:val="0017095A"/>
    <w:rsid w:val="00170C4B"/>
    <w:rsid w:val="00190355"/>
    <w:rsid w:val="00191B40"/>
    <w:rsid w:val="00192F49"/>
    <w:rsid w:val="00194501"/>
    <w:rsid w:val="001B2B82"/>
    <w:rsid w:val="001B7230"/>
    <w:rsid w:val="001B73E9"/>
    <w:rsid w:val="001C1A75"/>
    <w:rsid w:val="001E0346"/>
    <w:rsid w:val="001F0729"/>
    <w:rsid w:val="00203A8A"/>
    <w:rsid w:val="00206997"/>
    <w:rsid w:val="0021098C"/>
    <w:rsid w:val="00214791"/>
    <w:rsid w:val="0021557E"/>
    <w:rsid w:val="00215794"/>
    <w:rsid w:val="00215ADC"/>
    <w:rsid w:val="00257550"/>
    <w:rsid w:val="00260926"/>
    <w:rsid w:val="00265F30"/>
    <w:rsid w:val="00274489"/>
    <w:rsid w:val="00275039"/>
    <w:rsid w:val="00280375"/>
    <w:rsid w:val="00280493"/>
    <w:rsid w:val="0028466C"/>
    <w:rsid w:val="0028662B"/>
    <w:rsid w:val="002948C6"/>
    <w:rsid w:val="0029524F"/>
    <w:rsid w:val="0029647E"/>
    <w:rsid w:val="002B669F"/>
    <w:rsid w:val="002C249D"/>
    <w:rsid w:val="002D3AF0"/>
    <w:rsid w:val="002E0474"/>
    <w:rsid w:val="0030799E"/>
    <w:rsid w:val="00330478"/>
    <w:rsid w:val="003329BF"/>
    <w:rsid w:val="00333D41"/>
    <w:rsid w:val="00345CD2"/>
    <w:rsid w:val="00357291"/>
    <w:rsid w:val="003629C9"/>
    <w:rsid w:val="0038320A"/>
    <w:rsid w:val="003C52DD"/>
    <w:rsid w:val="003C53A6"/>
    <w:rsid w:val="003C55B7"/>
    <w:rsid w:val="003D5358"/>
    <w:rsid w:val="003E43BE"/>
    <w:rsid w:val="003F1239"/>
    <w:rsid w:val="003F238F"/>
    <w:rsid w:val="003F2F4C"/>
    <w:rsid w:val="00404F3B"/>
    <w:rsid w:val="00416AAF"/>
    <w:rsid w:val="004224F3"/>
    <w:rsid w:val="0042578C"/>
    <w:rsid w:val="00445C91"/>
    <w:rsid w:val="00490FFE"/>
    <w:rsid w:val="004A7D07"/>
    <w:rsid w:val="004C707C"/>
    <w:rsid w:val="004D07FA"/>
    <w:rsid w:val="004D6AD4"/>
    <w:rsid w:val="004E42E2"/>
    <w:rsid w:val="004F4C1A"/>
    <w:rsid w:val="00500061"/>
    <w:rsid w:val="005010C0"/>
    <w:rsid w:val="005036B0"/>
    <w:rsid w:val="00504C5B"/>
    <w:rsid w:val="005108FC"/>
    <w:rsid w:val="0051206C"/>
    <w:rsid w:val="00541D88"/>
    <w:rsid w:val="005466ED"/>
    <w:rsid w:val="00552D90"/>
    <w:rsid w:val="00581B04"/>
    <w:rsid w:val="0059791F"/>
    <w:rsid w:val="005B440B"/>
    <w:rsid w:val="005B5D3C"/>
    <w:rsid w:val="005D15B3"/>
    <w:rsid w:val="005D4474"/>
    <w:rsid w:val="00606C17"/>
    <w:rsid w:val="00644A6F"/>
    <w:rsid w:val="006565C0"/>
    <w:rsid w:val="00675EA7"/>
    <w:rsid w:val="006A5F64"/>
    <w:rsid w:val="006C010B"/>
    <w:rsid w:val="006D3EB4"/>
    <w:rsid w:val="006D73DE"/>
    <w:rsid w:val="006E0C4D"/>
    <w:rsid w:val="006E20E1"/>
    <w:rsid w:val="006F2420"/>
    <w:rsid w:val="006F65B0"/>
    <w:rsid w:val="00707984"/>
    <w:rsid w:val="00710A40"/>
    <w:rsid w:val="00714693"/>
    <w:rsid w:val="00734046"/>
    <w:rsid w:val="00737829"/>
    <w:rsid w:val="00741288"/>
    <w:rsid w:val="0074758E"/>
    <w:rsid w:val="00752F5A"/>
    <w:rsid w:val="00774F7C"/>
    <w:rsid w:val="007807DE"/>
    <w:rsid w:val="00783262"/>
    <w:rsid w:val="007A1168"/>
    <w:rsid w:val="007A618B"/>
    <w:rsid w:val="007A6F9C"/>
    <w:rsid w:val="007B366F"/>
    <w:rsid w:val="007B48B5"/>
    <w:rsid w:val="007D42F1"/>
    <w:rsid w:val="008117C4"/>
    <w:rsid w:val="00815E14"/>
    <w:rsid w:val="0083671D"/>
    <w:rsid w:val="008444B7"/>
    <w:rsid w:val="0084574B"/>
    <w:rsid w:val="008578BE"/>
    <w:rsid w:val="00870AB1"/>
    <w:rsid w:val="0087151A"/>
    <w:rsid w:val="00873515"/>
    <w:rsid w:val="0087642E"/>
    <w:rsid w:val="008930F1"/>
    <w:rsid w:val="008969BB"/>
    <w:rsid w:val="008A2321"/>
    <w:rsid w:val="008C5A77"/>
    <w:rsid w:val="008D1994"/>
    <w:rsid w:val="008E09B7"/>
    <w:rsid w:val="008E3648"/>
    <w:rsid w:val="008F6E4E"/>
    <w:rsid w:val="009203D9"/>
    <w:rsid w:val="009227B3"/>
    <w:rsid w:val="00923DCF"/>
    <w:rsid w:val="0094175E"/>
    <w:rsid w:val="00947068"/>
    <w:rsid w:val="0095228D"/>
    <w:rsid w:val="0095483A"/>
    <w:rsid w:val="009570BE"/>
    <w:rsid w:val="00975EC0"/>
    <w:rsid w:val="00982B27"/>
    <w:rsid w:val="00996E81"/>
    <w:rsid w:val="009A0C86"/>
    <w:rsid w:val="009A1A2A"/>
    <w:rsid w:val="009B11AF"/>
    <w:rsid w:val="009D5BED"/>
    <w:rsid w:val="009D5DEC"/>
    <w:rsid w:val="009D7818"/>
    <w:rsid w:val="00A10E9D"/>
    <w:rsid w:val="00A15A74"/>
    <w:rsid w:val="00A26A39"/>
    <w:rsid w:val="00A408E0"/>
    <w:rsid w:val="00A465AF"/>
    <w:rsid w:val="00A537D1"/>
    <w:rsid w:val="00A64B33"/>
    <w:rsid w:val="00A76DFE"/>
    <w:rsid w:val="00AA12B7"/>
    <w:rsid w:val="00AA2B38"/>
    <w:rsid w:val="00AB091C"/>
    <w:rsid w:val="00AB5B11"/>
    <w:rsid w:val="00AE6338"/>
    <w:rsid w:val="00AF65B9"/>
    <w:rsid w:val="00B02037"/>
    <w:rsid w:val="00B05E4A"/>
    <w:rsid w:val="00B256E1"/>
    <w:rsid w:val="00B35A02"/>
    <w:rsid w:val="00B41045"/>
    <w:rsid w:val="00B73743"/>
    <w:rsid w:val="00B879F1"/>
    <w:rsid w:val="00B9112D"/>
    <w:rsid w:val="00B94AAD"/>
    <w:rsid w:val="00BA2A03"/>
    <w:rsid w:val="00BB468F"/>
    <w:rsid w:val="00BC0A80"/>
    <w:rsid w:val="00BD5082"/>
    <w:rsid w:val="00BD6F45"/>
    <w:rsid w:val="00BF39EC"/>
    <w:rsid w:val="00C064D3"/>
    <w:rsid w:val="00C11FE0"/>
    <w:rsid w:val="00C124DD"/>
    <w:rsid w:val="00C22CCE"/>
    <w:rsid w:val="00C442F5"/>
    <w:rsid w:val="00C52F20"/>
    <w:rsid w:val="00C552AB"/>
    <w:rsid w:val="00C6052E"/>
    <w:rsid w:val="00C6100A"/>
    <w:rsid w:val="00C63F72"/>
    <w:rsid w:val="00C67EDB"/>
    <w:rsid w:val="00C713F2"/>
    <w:rsid w:val="00C75FA4"/>
    <w:rsid w:val="00C958B5"/>
    <w:rsid w:val="00CB1A46"/>
    <w:rsid w:val="00CC6D4D"/>
    <w:rsid w:val="00CE0BA5"/>
    <w:rsid w:val="00CE2690"/>
    <w:rsid w:val="00CE4677"/>
    <w:rsid w:val="00D00B8B"/>
    <w:rsid w:val="00D21670"/>
    <w:rsid w:val="00D44E08"/>
    <w:rsid w:val="00D577BB"/>
    <w:rsid w:val="00DC1EA5"/>
    <w:rsid w:val="00DC417B"/>
    <w:rsid w:val="00DD08E5"/>
    <w:rsid w:val="00DE1094"/>
    <w:rsid w:val="00DF1850"/>
    <w:rsid w:val="00E05ACE"/>
    <w:rsid w:val="00E27543"/>
    <w:rsid w:val="00E413EB"/>
    <w:rsid w:val="00E43512"/>
    <w:rsid w:val="00E5140E"/>
    <w:rsid w:val="00E523E1"/>
    <w:rsid w:val="00E77CFF"/>
    <w:rsid w:val="00EB1076"/>
    <w:rsid w:val="00EB406A"/>
    <w:rsid w:val="00EC7E0F"/>
    <w:rsid w:val="00EE37FA"/>
    <w:rsid w:val="00EE7DBA"/>
    <w:rsid w:val="00F018C8"/>
    <w:rsid w:val="00F32D6B"/>
    <w:rsid w:val="00F339F7"/>
    <w:rsid w:val="00F5008C"/>
    <w:rsid w:val="00F60E86"/>
    <w:rsid w:val="00F613CC"/>
    <w:rsid w:val="00F63603"/>
    <w:rsid w:val="00F66DCD"/>
    <w:rsid w:val="00F71938"/>
    <w:rsid w:val="00F756A0"/>
    <w:rsid w:val="00FA77AF"/>
    <w:rsid w:val="00FC4451"/>
    <w:rsid w:val="00FF3363"/>
    <w:rsid w:val="00FF57E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50"/>
    <w:pPr>
      <w:keepNext/>
      <w:jc w:val="both"/>
    </w:pPr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F1850"/>
    <w:pPr>
      <w:keepLines/>
      <w:spacing w:before="360" w:after="120"/>
      <w:jc w:val="center"/>
      <w:outlineLvl w:val="0"/>
    </w:pPr>
    <w:rPr>
      <w:b/>
      <w:bCs/>
      <w:szCs w:val="28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DF1850"/>
    <w:pPr>
      <w:keepLines/>
      <w:spacing w:before="240" w:after="120"/>
      <w:jc w:val="center"/>
      <w:outlineLvl w:val="1"/>
    </w:pPr>
    <w:rPr>
      <w:b/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F1850"/>
    <w:pPr>
      <w:keepLines/>
      <w:spacing w:before="120" w:after="120"/>
      <w:outlineLvl w:val="2"/>
    </w:pPr>
    <w:rPr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ZkladntextChar"/>
    <w:uiPriority w:val="99"/>
    <w:rsid w:val="007D42F1"/>
    <w:pPr>
      <w:spacing w:after="0" w:line="240" w:lineRule="auto"/>
      <w:jc w:val="both"/>
    </w:pPr>
    <w:rPr>
      <w:rFonts w:ascii="Arial Narrow" w:eastAsia="Times New Roman" w:hAnsi="Arial Narrow"/>
      <w:sz w:val="22"/>
      <w:szCs w:val="22"/>
      <w:lang w:val="x-none" w:eastAsia="x-none"/>
    </w:rPr>
  </w:style>
  <w:style w:type="character" w:customStyle="1" w:styleId="ZkladntextChar">
    <w:name w:val="Základný text Char"/>
    <w:link w:val="BodyText"/>
    <w:uiPriority w:val="99"/>
    <w:rsid w:val="007D42F1"/>
    <w:rPr>
      <w:rFonts w:ascii="Arial Narrow" w:eastAsia="Times New Roman" w:hAnsi="Arial Narrow" w:cs="Arial Narrow"/>
      <w:sz w:val="22"/>
      <w:szCs w:val="22"/>
    </w:rPr>
  </w:style>
  <w:style w:type="paragraph" w:styleId="BodyText3">
    <w:name w:val="Body Text 3"/>
    <w:basedOn w:val="Normal"/>
    <w:link w:val="Zkladntext3Char"/>
    <w:uiPriority w:val="99"/>
    <w:unhideWhenUsed/>
    <w:rsid w:val="007D42F1"/>
    <w:pPr>
      <w:spacing w:after="12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Zkladntext3Char">
    <w:name w:val="Základný text 3 Char"/>
    <w:link w:val="BodyText3"/>
    <w:uiPriority w:val="99"/>
    <w:rsid w:val="007D42F1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TextpoznmkypodiarouChar"/>
    <w:semiHidden/>
    <w:unhideWhenUsed/>
    <w:qFormat/>
    <w:rsid w:val="00DF1850"/>
    <w:pPr>
      <w:ind w:left="227" w:hanging="227"/>
    </w:pPr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FootnoteText"/>
    <w:semiHidden/>
    <w:rsid w:val="00DF1850"/>
    <w:rPr>
      <w:lang w:val="x-none" w:eastAsia="x-none"/>
    </w:rPr>
  </w:style>
  <w:style w:type="character" w:styleId="FootnoteReference">
    <w:name w:val="footnote reference"/>
    <w:uiPriority w:val="99"/>
    <w:semiHidden/>
    <w:unhideWhenUsed/>
    <w:rsid w:val="007D42F1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256E1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TextbublinyChar">
    <w:name w:val="Text bubliny Char"/>
    <w:link w:val="BalloonText"/>
    <w:uiPriority w:val="99"/>
    <w:semiHidden/>
    <w:rsid w:val="00B256E1"/>
    <w:rPr>
      <w:rFonts w:ascii="Tahoma" w:hAnsi="Tahoma" w:cs="Tahoma"/>
      <w:sz w:val="16"/>
      <w:szCs w:val="16"/>
      <w:lang w:eastAsia="en-US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3C55B7"/>
    <w:rPr>
      <w:sz w:val="20"/>
      <w:szCs w:val="20"/>
      <w:lang w:val="x-none" w:eastAsia="en-US"/>
    </w:rPr>
  </w:style>
  <w:style w:type="character" w:customStyle="1" w:styleId="TextvysvetlivkyChar">
    <w:name w:val="Text vysvetlivky Char"/>
    <w:link w:val="EndnoteText"/>
    <w:uiPriority w:val="99"/>
    <w:semiHidden/>
    <w:rsid w:val="003C55B7"/>
    <w:rPr>
      <w:lang w:eastAsia="en-US"/>
    </w:rPr>
  </w:style>
  <w:style w:type="character" w:styleId="EndnoteReference">
    <w:name w:val="endnote reference"/>
    <w:uiPriority w:val="99"/>
    <w:semiHidden/>
    <w:unhideWhenUsed/>
    <w:rsid w:val="003C55B7"/>
    <w:rPr>
      <w:vertAlign w:val="superscript"/>
    </w:rPr>
  </w:style>
  <w:style w:type="paragraph" w:styleId="Revision">
    <w:name w:val="Revision"/>
    <w:hidden/>
    <w:uiPriority w:val="99"/>
    <w:semiHidden/>
    <w:rsid w:val="003C55B7"/>
    <w:rPr>
      <w:sz w:val="22"/>
      <w:szCs w:val="22"/>
      <w:lang w:val="sk-SK" w:eastAsia="en-US" w:bidi="ar-SA"/>
    </w:rPr>
  </w:style>
  <w:style w:type="paragraph" w:customStyle="1" w:styleId="odsek1">
    <w:name w:val="odsek1"/>
    <w:basedOn w:val="odsek"/>
    <w:qFormat/>
    <w:rsid w:val="00DF1850"/>
    <w:pPr>
      <w:numPr>
        <w:ilvl w:val="0"/>
        <w:numId w:val="27"/>
      </w:numPr>
      <w:spacing w:before="120" w:after="120"/>
    </w:pPr>
  </w:style>
  <w:style w:type="paragraph" w:styleId="ListParagraph">
    <w:name w:val="List Paragraph"/>
    <w:basedOn w:val="Normal"/>
    <w:uiPriority w:val="34"/>
    <w:rsid w:val="00D577BB"/>
    <w:pPr>
      <w:ind w:left="720"/>
      <w:contextualSpacing/>
    </w:pPr>
    <w:rPr>
      <w:rFonts w:ascii="Calibri" w:eastAsia="Times New Roman" w:hAnsi="Calibri"/>
    </w:rPr>
  </w:style>
  <w:style w:type="paragraph" w:customStyle="1" w:styleId="odsek">
    <w:name w:val="odsek"/>
    <w:basedOn w:val="Normal"/>
    <w:qFormat/>
    <w:rsid w:val="00DF1850"/>
    <w:pPr>
      <w:ind w:firstLine="709"/>
    </w:pPr>
  </w:style>
  <w:style w:type="character" w:customStyle="1" w:styleId="Nadpis1Char">
    <w:name w:val="Nadpis 1 Char"/>
    <w:link w:val="Heading1"/>
    <w:uiPriority w:val="9"/>
    <w:rsid w:val="00DF1850"/>
    <w:rPr>
      <w:rFonts w:cs="Arial"/>
      <w:b/>
      <w:bCs/>
      <w:sz w:val="24"/>
      <w:szCs w:val="28"/>
      <w:lang w:val="x-none" w:eastAsia="x-none"/>
    </w:rPr>
  </w:style>
  <w:style w:type="paragraph" w:styleId="Header">
    <w:name w:val="header"/>
    <w:basedOn w:val="Normal"/>
    <w:link w:val="HlavikaChar"/>
    <w:uiPriority w:val="99"/>
    <w:unhideWhenUsed/>
    <w:rsid w:val="00F71938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HlavikaChar">
    <w:name w:val="Hlavička Char"/>
    <w:link w:val="Header"/>
    <w:uiPriority w:val="99"/>
    <w:rsid w:val="00F71938"/>
    <w:rPr>
      <w:sz w:val="22"/>
      <w:szCs w:val="22"/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F71938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PtaChar">
    <w:name w:val="Päta Char"/>
    <w:link w:val="Footer"/>
    <w:uiPriority w:val="99"/>
    <w:rsid w:val="00F71938"/>
    <w:rPr>
      <w:sz w:val="22"/>
      <w:szCs w:val="22"/>
      <w:lang w:eastAsia="en-US"/>
    </w:rPr>
  </w:style>
  <w:style w:type="character" w:customStyle="1" w:styleId="Nadpis2Char">
    <w:name w:val="Nadpis 2 Char"/>
    <w:link w:val="Heading2"/>
    <w:uiPriority w:val="9"/>
    <w:rsid w:val="00DF1850"/>
    <w:rPr>
      <w:rFonts w:cs="Arial"/>
      <w:b/>
      <w:bCs/>
      <w:sz w:val="24"/>
      <w:szCs w:val="26"/>
      <w:lang w:val="x-none" w:eastAsia="x-none"/>
    </w:rPr>
  </w:style>
  <w:style w:type="paragraph" w:customStyle="1" w:styleId="a">
    <w:name w:val="§"/>
    <w:basedOn w:val="Normal"/>
    <w:qFormat/>
    <w:rsid w:val="00DF1850"/>
    <w:pPr>
      <w:numPr>
        <w:ilvl w:val="0"/>
        <w:numId w:val="25"/>
      </w:numPr>
      <w:tabs>
        <w:tab w:val="left" w:pos="425"/>
      </w:tabs>
      <w:spacing w:before="240" w:after="120"/>
      <w:jc w:val="center"/>
    </w:pPr>
  </w:style>
  <w:style w:type="paragraph" w:customStyle="1" w:styleId="adda">
    <w:name w:val="adda"/>
    <w:basedOn w:val="Normal"/>
    <w:qFormat/>
    <w:rsid w:val="00DF1850"/>
    <w:pPr>
      <w:numPr>
        <w:ilvl w:val="0"/>
        <w:numId w:val="26"/>
      </w:numPr>
      <w:spacing w:before="60" w:after="60"/>
    </w:pPr>
  </w:style>
  <w:style w:type="paragraph" w:customStyle="1" w:styleId="Poznmkapodiarou">
    <w:name w:val="Poznámka pod čiarou"/>
    <w:basedOn w:val="FootnoteText"/>
    <w:qFormat/>
    <w:rsid w:val="00DF1850"/>
    <w:rPr>
      <w:szCs w:val="24"/>
    </w:rPr>
  </w:style>
  <w:style w:type="character" w:customStyle="1" w:styleId="Nadpis3Char">
    <w:name w:val="Nadpis 3 Char"/>
    <w:link w:val="Heading3"/>
    <w:uiPriority w:val="9"/>
    <w:semiHidden/>
    <w:rsid w:val="00DF1850"/>
    <w:rPr>
      <w:rFonts w:cs="Arial"/>
      <w:b/>
      <w:bCs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1850"/>
    <w:pPr>
      <w:spacing w:before="480" w:after="0"/>
      <w:jc w:val="both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character" w:styleId="CommentReference">
    <w:name w:val="annotation reference"/>
    <w:uiPriority w:val="99"/>
    <w:semiHidden/>
    <w:unhideWhenUsed/>
    <w:rsid w:val="004224F3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224F3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rsid w:val="004224F3"/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224F3"/>
    <w:rPr>
      <w:b/>
      <w:bCs/>
      <w:lang w:val="x-none" w:eastAsia="x-none"/>
    </w:rPr>
  </w:style>
  <w:style w:type="character" w:customStyle="1" w:styleId="PredmetkomentraChar">
    <w:name w:val="Predmet komentára Char"/>
    <w:link w:val="CommentSubject"/>
    <w:uiPriority w:val="99"/>
    <w:semiHidden/>
    <w:rsid w:val="004224F3"/>
    <w:rPr>
      <w:b/>
      <w:bCs/>
    </w:rPr>
  </w:style>
  <w:style w:type="character" w:customStyle="1" w:styleId="ppp-input-value1">
    <w:name w:val="ppp-input-value1"/>
    <w:rsid w:val="007A6F9C"/>
    <w:rPr>
      <w:rFonts w:ascii="Tahoma" w:hAnsi="Tahoma" w:cs="Tahoma" w:hint="default"/>
      <w:color w:val="837A7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6811-541A-4390-A7C1-2208256A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ŠVPS SR</Company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HARVILAK</dc:creator>
  <cp:lastModifiedBy>Benová Timea</cp:lastModifiedBy>
  <cp:revision>8</cp:revision>
  <cp:lastPrinted>2012-11-02T12:23:00Z</cp:lastPrinted>
  <dcterms:created xsi:type="dcterms:W3CDTF">2012-10-15T08:15:00Z</dcterms:created>
  <dcterms:modified xsi:type="dcterms:W3CDTF">2012-11-02T12:23:00Z</dcterms:modified>
</cp:coreProperties>
</file>