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 26. októbra  2012, </w:t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 dopĺňa zákon č. 260/2011 Z. z. o ukončení a spôsobe usporiadania niektorých nájomných vzťahov k bytom a o doplnení zákona Národnej rady Slovenskej republiky č. 18/1996 Z. z. o cenách v znení neskorších predpisov</w:t>
      </w:r>
    </w:p>
    <w:p w:rsidR="00E26DFB" w:rsidP="00E26DF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</w:t>
      </w:r>
    </w:p>
    <w:p w:rsidR="00E26DFB" w:rsidP="00E26DF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 č. 260/2011 Z. z. o ukončení a spôsobe usporiadania niektorých nájomných vzťahov k bytom a o doplnení zákona Národnej rady Slovenskej republiky č. 18/1996 Z. z. o cenách v znení neskorších predpisov sa mení a dopĺňa takto:</w:t>
      </w: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3-Odsek"/>
        <w:bidi w:val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V § 2 ods. 1 písm. a) sa vypúšťajú slová „s obcou“.</w:t>
      </w:r>
    </w:p>
    <w:p w:rsidR="00E26DFB" w:rsidP="00E26DFB">
      <w:pPr>
        <w:pStyle w:val="F3-Odsek"/>
        <w:bidi w:val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Nadpis pod § 3 sa vkladá nad označenie § 3.</w:t>
      </w:r>
    </w:p>
    <w:p w:rsidR="00E26DFB" w:rsidP="00E26DFB">
      <w:pPr>
        <w:pStyle w:val="F3-Odsek"/>
        <w:bidi w:val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V § 3 ods. 6 prvá veta znie: „Nájomca, ktorý má nárok na bytovú náhradu a nájomca, o ktorého nároku nebolo právoplatne rozhodnuté, nie sú povinní sa vysťahovať z bytu a byt vypratať, kým im obec neposkytne bytovú náhradu podľa § 5 ods. 4.“.</w:t>
      </w: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Za § 3 sa vkladá § 3a, ktorý znie:</w:t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3a</w:t>
      </w:r>
    </w:p>
    <w:p w:rsidR="00E26DFB" w:rsidP="00E26DF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Prenajímateľ bytu, ktorý nepodal výpoveď nájmu bytu podľa § 3 ods. 1  alebo nájomca bytu podľa § 2 ods. 1 písm. a), b), d) a e) môže vypovedať nájom bytu bez uvedenia dôvodu do 31. decembra 2012; ak ide o byt podľa § 2 ods. 1 písm. a), ustanovenie § 139 ods. 2 Občianskeho zákonníka sa nepoužije. Výpovedná lehota je 12 mesiacov a začína plynúť prvým dňom mesiaca nasledujúceho po mesiaci, v ktorom bola nájomcovi alebo prenajímateľovi doručená výpoveď. Práva a povinnosti prenajímateľa upravené v tomto zákone, súvisiace s výpoveďou nájmu bytu, platia aj pre nájomcu.“.</w:t>
      </w: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BA0039">
        <w:rPr>
          <w:rFonts w:ascii="Times New Roman" w:hAnsi="Times New Roman"/>
        </w:rPr>
        <w:t>V § 5 ods. 1 sa za slová</w:t>
      </w:r>
      <w:r>
        <w:rPr>
          <w:rFonts w:ascii="Times New Roman" w:hAnsi="Times New Roman"/>
        </w:rPr>
        <w:t xml:space="preserve"> „§ 7“ vkladajú slová „alebo § 7a“.</w:t>
      </w: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V § 5 ods. 2 písmeno b) znie:</w:t>
      </w:r>
    </w:p>
    <w:p w:rsidR="00E26DFB" w:rsidP="00E26DFB">
      <w:pPr>
        <w:pStyle w:val="F2-ZkladnText"/>
        <w:bidi w:val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217F9">
        <w:rPr>
          <w:rFonts w:ascii="Times New Roman" w:hAnsi="Times New Roman"/>
        </w:rPr>
        <w:t>„</w:t>
      </w:r>
      <w:r>
        <w:rPr>
          <w:rFonts w:ascii="Times New Roman" w:hAnsi="Times New Roman"/>
        </w:rPr>
        <w:t>b) nevlastní nehnuteľný majetok podliehajúci deklarácii majetku podľa § 6, a ktorý spĺňa   podmienky uvedené v odseku 3.“.</w:t>
      </w:r>
    </w:p>
    <w:p w:rsidR="00E26DFB" w:rsidP="00E26DFB">
      <w:pPr>
        <w:pStyle w:val="F2-ZkladnText"/>
        <w:bidi w:val="0"/>
        <w:ind w:left="567" w:hanging="567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7. V § 5 ods. 3 písmeno b) znie:</w:t>
      </w:r>
    </w:p>
    <w:p w:rsidR="00E26DFB" w:rsidP="00E26DFB">
      <w:pPr>
        <w:pStyle w:val="F2-ZkladnText"/>
        <w:bidi w:val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217F9">
        <w:rPr>
          <w:rFonts w:ascii="Times New Roman" w:hAnsi="Times New Roman"/>
        </w:rPr>
        <w:t>„</w:t>
      </w:r>
      <w:r>
        <w:rPr>
          <w:rFonts w:ascii="Times New Roman" w:hAnsi="Times New Roman"/>
        </w:rPr>
        <w:t>b) spĺňa technické parametre bytovej náhrady podľa odseku 6, ktorá by žiadateľovi patrila</w:t>
      </w:r>
    </w:p>
    <w:p w:rsidR="00E26DFB" w:rsidP="00E26DFB">
      <w:pPr>
        <w:pStyle w:val="F2-ZkladnText"/>
        <w:bidi w:val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v prípade, že by mu nárok bol priznaný,“.</w:t>
      </w:r>
    </w:p>
    <w:p w:rsidR="000623E7" w:rsidP="00E26DFB">
      <w:pPr>
        <w:pStyle w:val="F2-ZkladnText"/>
        <w:bidi w:val="0"/>
        <w:ind w:left="567" w:hanging="567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ind w:left="567" w:hanging="567"/>
        <w:rPr>
          <w:rFonts w:ascii="Times New Roman" w:hAnsi="Times New Roman"/>
        </w:rPr>
      </w:pPr>
      <w:r w:rsidR="000623E7">
        <w:rPr>
          <w:rFonts w:ascii="Times New Roman" w:hAnsi="Times New Roman"/>
        </w:rPr>
        <w:t>8. V § 5 sa vypúšťa odsek 7. Doterajší odsek 8 sa označuje ako odsek 7.</w:t>
      </w:r>
    </w:p>
    <w:p w:rsidR="000623E7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  <w:r w:rsidR="000623E7">
        <w:rPr>
          <w:rFonts w:ascii="Times New Roman" w:hAnsi="Times New Roman"/>
        </w:rPr>
        <w:t>9</w:t>
      </w:r>
      <w:r>
        <w:rPr>
          <w:rFonts w:ascii="Times New Roman" w:hAnsi="Times New Roman"/>
        </w:rPr>
        <w:t>.  V § 6 odsek 2 znie:</w:t>
      </w:r>
    </w:p>
    <w:p w:rsidR="00E26DFB" w:rsidP="00E26DFB">
      <w:pPr>
        <w:pStyle w:val="F2-ZkladnText"/>
        <w:bidi w:val="0"/>
        <w:ind w:left="28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„(2) Deklarácii majetku podľa odseku 1 podlieha nehnuteľný majetok nájomcu a spoločne posudzovaných osôb vhodný na celoročné bývanie, ktorým je byt, rodinný dom, stavba na individuálnu rekreáciu alebo rozostavaná stavba, ktorej aspoň časť je spôsobilá na samostatné užívanie, a ktorá spĺňa podmienky uvedené v § 5 ods. 3.“.</w:t>
      </w:r>
    </w:p>
    <w:p w:rsidR="00E26DFB" w:rsidP="00E26DFB">
      <w:pPr>
        <w:pStyle w:val="F2-ZkladnText"/>
        <w:bidi w:val="0"/>
        <w:ind w:left="284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  <w:r w:rsidR="000623E7">
        <w:rPr>
          <w:rFonts w:ascii="Times New Roman" w:hAnsi="Times New Roman"/>
        </w:rPr>
        <w:t>10</w:t>
      </w:r>
      <w:r>
        <w:rPr>
          <w:rFonts w:ascii="Times New Roman" w:hAnsi="Times New Roman"/>
        </w:rPr>
        <w:t>. Za § 7 sa vkladá § 7a, ktorý znie:</w:t>
      </w:r>
    </w:p>
    <w:p w:rsidR="00E26DFB" w:rsidP="00E26DFB">
      <w:pPr>
        <w:pStyle w:val="F2-ZkladnText"/>
        <w:bidi w:val="0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7a</w:t>
      </w:r>
    </w:p>
    <w:p w:rsidR="00E26DFB" w:rsidP="00E26DF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Žiadateľ, ktorý nepodal žiadosť podľa § 7 ods. 1 a žiadateľ, ktorému bol vypovedaný nájom bytu alebo ktorý vypovedal nájom bytu podľa § 3a, môže podať žiadosť do 30. apríla 2013 obci</w:t>
      </w:r>
      <w:r w:rsidR="00E217F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 územnom obvode</w:t>
      </w:r>
      <w:r w:rsidR="00BA0039">
        <w:rPr>
          <w:rFonts w:ascii="Times New Roman" w:hAnsi="Times New Roman"/>
        </w:rPr>
        <w:t xml:space="preserve"> ktorej</w:t>
      </w:r>
      <w:r>
        <w:rPr>
          <w:rFonts w:ascii="Times New Roman" w:hAnsi="Times New Roman"/>
        </w:rPr>
        <w:t xml:space="preserve"> sa nachádza byt, ktorý sa má vypratať; inak jeho nárok na poskytnutie bytovej náhrady zanikne.“.</w:t>
      </w:r>
    </w:p>
    <w:p w:rsidR="00E26DFB" w:rsidP="00E26DFB">
      <w:pPr>
        <w:pStyle w:val="F3-Odsek"/>
        <w:bidi w:val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623E7">
        <w:rPr>
          <w:rFonts w:ascii="Times New Roman" w:hAnsi="Times New Roman"/>
        </w:rPr>
        <w:t>1</w:t>
      </w:r>
      <w:r>
        <w:rPr>
          <w:rFonts w:ascii="Times New Roman" w:hAnsi="Times New Roman"/>
        </w:rPr>
        <w:t>.  V § 10 ods. 1 písm. a) sa slová „žiadateľ prestane“ nahrádzajú slovami „vyjde najavo, že žiadateľ prestal“.</w:t>
      </w:r>
    </w:p>
    <w:p w:rsidR="00E26DFB" w:rsidP="00E26DFB">
      <w:pPr>
        <w:pStyle w:val="F2-ZkladnText"/>
        <w:bidi w:val="0"/>
        <w:ind w:left="720"/>
        <w:rPr>
          <w:rFonts w:ascii="Times New Roman" w:hAnsi="Times New Roman"/>
          <w:u w:val="single"/>
        </w:rPr>
      </w:pPr>
    </w:p>
    <w:p w:rsidR="00E26DFB" w:rsidP="00E26DFB">
      <w:pPr>
        <w:pStyle w:val="F2-ZkladnTex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623E7">
        <w:rPr>
          <w:rFonts w:ascii="Times New Roman" w:hAnsi="Times New Roman"/>
        </w:rPr>
        <w:t>2</w:t>
      </w:r>
      <w:r>
        <w:rPr>
          <w:rFonts w:ascii="Times New Roman" w:hAnsi="Times New Roman"/>
        </w:rPr>
        <w:t>.   Za § 16 sa vkladá § 16a, ktorý vrátane nadpisu znie:</w:t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„§16a</w:t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</w:rPr>
      </w:pP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Prechodné ustanovenia</w:t>
      </w:r>
    </w:p>
    <w:p w:rsidR="00E26DFB" w:rsidP="00E26DFB">
      <w:pPr>
        <w:pStyle w:val="F2-ZkladnText"/>
        <w:bidi w:val="0"/>
        <w:ind w:left="720"/>
        <w:rPr>
          <w:rFonts w:ascii="Times New Roman" w:hAnsi="Times New Roman"/>
          <w:u w:val="single"/>
        </w:rPr>
      </w:pPr>
    </w:p>
    <w:p w:rsidR="00E26DFB" w:rsidP="00E26DFB">
      <w:pPr>
        <w:pStyle w:val="F2-ZkladnText"/>
        <w:numPr>
          <w:numId w:val="1"/>
        </w:numPr>
        <w:bidi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Žiadosti, o ktorých obec nerozhodla do účinnosti tohto zákona, sa posudzujú podľa tohto zákona.</w:t>
      </w:r>
    </w:p>
    <w:p w:rsidR="00E26DFB" w:rsidP="00E26DFB">
      <w:pPr>
        <w:pStyle w:val="F2-ZkladnText"/>
        <w:bidi w:val="0"/>
        <w:ind w:left="709"/>
        <w:rPr>
          <w:rFonts w:ascii="Times New Roman" w:hAnsi="Times New Roman"/>
        </w:rPr>
      </w:pPr>
    </w:p>
    <w:p w:rsidR="00E26DFB" w:rsidP="00E26DFB">
      <w:pPr>
        <w:pStyle w:val="F2-ZkladnText"/>
        <w:numPr>
          <w:numId w:val="1"/>
        </w:numPr>
        <w:bidi w:val="0"/>
        <w:ind w:left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Žiadateľ, ktorý podľa doterajšej právnej úpravy nespĺňal podmienky na poskytnutie bytovej náhrady a v ktorého prípade obec rozhodla o nepriznaní nároku na bytovú náhradu, môže obci opätovne podať žiadosť do 31. decembra 2012.</w:t>
      </w:r>
    </w:p>
    <w:p w:rsidR="00E26DFB" w:rsidP="00E26DFB">
      <w:pPr>
        <w:pStyle w:val="F2-ZkladnText"/>
        <w:bidi w:val="0"/>
        <w:ind w:left="709"/>
        <w:rPr>
          <w:rFonts w:ascii="Times New Roman" w:hAnsi="Times New Roman"/>
          <w:u w:val="single"/>
        </w:rPr>
      </w:pPr>
    </w:p>
    <w:p w:rsidR="00E26DFB" w:rsidP="00E26DFB">
      <w:pPr>
        <w:pStyle w:val="F2-ZkladnText"/>
        <w:numPr>
          <w:numId w:val="1"/>
        </w:numPr>
        <w:bidi w:val="0"/>
        <w:ind w:left="70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Na výdavky spojené so sťahovaním nájomcu a spoločne posudzovaných osôb, ktorým bola poskytnutá bytová náhrada podľa doterajšieho predpisu, sa vzťahuje § 5 ods. 7 v znení účinnom pred dňom nadobudnutia účinnosti  tohto zákona.“.</w:t>
      </w:r>
    </w:p>
    <w:p w:rsidR="00E26DFB" w:rsidP="00E26DFB">
      <w:pPr>
        <w:pStyle w:val="F2-ZkladnText"/>
        <w:bidi w:val="0"/>
        <w:rPr>
          <w:rFonts w:ascii="Arial" w:hAnsi="Arial" w:cs="Arial"/>
          <w:u w:val="single"/>
        </w:rPr>
      </w:pPr>
    </w:p>
    <w:p w:rsidR="00E26DFB" w:rsidP="00E26DFB">
      <w:pPr>
        <w:pStyle w:val="F3-Odsek"/>
        <w:bidi w:val="0"/>
        <w:rPr>
          <w:rFonts w:ascii="Times New Roman" w:hAnsi="Times New Roman"/>
        </w:rPr>
      </w:pPr>
    </w:p>
    <w:p w:rsidR="00E26DFB" w:rsidP="00E26DFB">
      <w:p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br w:type="page"/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FC1A32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dňom vyhlásenia.</w:t>
      </w:r>
    </w:p>
    <w:p w:rsidR="00E26DFB" w:rsidP="00E26DFB">
      <w:pPr>
        <w:pStyle w:val="F2-ZkladnText"/>
        <w:bidi w:val="0"/>
        <w:jc w:val="center"/>
        <w:rPr>
          <w:rFonts w:ascii="Times New Roman" w:hAnsi="Times New Roman"/>
          <w:b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 Slovenskej republiky</w:t>
      </w:r>
    </w:p>
    <w:p w:rsidR="00E26DFB" w:rsidP="00E26DF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Národnej rady Slovenskej republiky</w:t>
      </w: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rPr>
          <w:rFonts w:ascii="Times New Roman" w:hAnsi="Times New Roman"/>
          <w:sz w:val="24"/>
          <w:szCs w:val="24"/>
        </w:rPr>
      </w:pPr>
    </w:p>
    <w:p w:rsidR="00E26DFB" w:rsidP="00E26DFB">
      <w:pPr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 Slovenskej republiky</w:t>
      </w:r>
    </w:p>
    <w:p w:rsidR="00E26DFB" w:rsidP="00E26DFB">
      <w:pPr>
        <w:bidi w:val="0"/>
        <w:rPr>
          <w:rFonts w:ascii="Times New Roman" w:hAnsi="Times New Roman"/>
        </w:rPr>
      </w:pPr>
    </w:p>
    <w:p w:rsidR="009B05AB">
      <w:pPr>
        <w:bidi w:val="0"/>
        <w:rPr>
          <w:rFonts w:ascii="Times New Roman" w:hAnsi="Times New Roman"/>
        </w:rPr>
      </w:pPr>
    </w:p>
    <w:sectPr w:rsidSect="00E26DFB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F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31F7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E26D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522A2"/>
    <w:multiLevelType w:val="hybridMultilevel"/>
    <w:tmpl w:val="36B4E22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E26DFB"/>
    <w:rsid w:val="000623E7"/>
    <w:rsid w:val="00084A68"/>
    <w:rsid w:val="00295984"/>
    <w:rsid w:val="004D34BD"/>
    <w:rsid w:val="0075776E"/>
    <w:rsid w:val="009B05AB"/>
    <w:rsid w:val="009B66DA"/>
    <w:rsid w:val="00B05A38"/>
    <w:rsid w:val="00BA0039"/>
    <w:rsid w:val="00BB37F7"/>
    <w:rsid w:val="00C66733"/>
    <w:rsid w:val="00E217F9"/>
    <w:rsid w:val="00E26DFB"/>
    <w:rsid w:val="00F31F76"/>
    <w:rsid w:val="00FC1A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D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DFB"/>
    <w:pPr>
      <w:ind w:left="720"/>
      <w:contextualSpacing/>
      <w:jc w:val="left"/>
    </w:pPr>
  </w:style>
  <w:style w:type="paragraph" w:customStyle="1" w:styleId="F2-ZkladnText">
    <w:name w:val="F2-ZákladnýText"/>
    <w:basedOn w:val="Normal"/>
    <w:uiPriority w:val="99"/>
    <w:rsid w:val="00E26DFB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E26DFB"/>
    <w:pPr>
      <w:spacing w:before="240"/>
      <w:ind w:firstLine="709"/>
      <w:jc w:val="both"/>
    </w:pPr>
  </w:style>
  <w:style w:type="paragraph" w:styleId="Header">
    <w:name w:val="header"/>
    <w:basedOn w:val="Normal"/>
    <w:link w:val="HlavikaChar"/>
    <w:rsid w:val="00E26DF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locked/>
    <w:rsid w:val="00E26DF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E26DF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26DF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9007-32B8-4D89-9A2B-F672EDD7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547</Words>
  <Characters>3121</Characters>
  <Application>Microsoft Office Word</Application>
  <DocSecurity>0</DocSecurity>
  <Lines>0</Lines>
  <Paragraphs>0</Paragraphs>
  <ScaleCrop>false</ScaleCrop>
  <Company>Kancelaria NR SR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2012-10-26T10:22:00Z</cp:lastPrinted>
  <dcterms:created xsi:type="dcterms:W3CDTF">2012-10-30T08:57:00Z</dcterms:created>
  <dcterms:modified xsi:type="dcterms:W3CDTF">2012-10-30T08:57:00Z</dcterms:modified>
</cp:coreProperties>
</file>