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 zluč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iteľ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nosti</w:t>
      </w: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nie </w:t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1.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Predkladateľ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="00E93AAA">
        <w:rPr>
          <w:rFonts w:ascii="Times New Roman" w:hAnsi="Times New Roman" w:cs="Times New Roman"/>
          <w:kern w:val="1"/>
          <w:lang w:val="en-US"/>
        </w:rPr>
        <w:t>skupina poslancov</w:t>
      </w:r>
      <w:r>
        <w:rPr>
          <w:rFonts w:ascii="Times New Roman" w:hAnsi="Times New Roman" w:cs="Times New Roman" w:hint="default"/>
          <w:kern w:val="1"/>
          <w:lang w:val="en-US"/>
        </w:rPr>
        <w:t xml:space="preserve"> Ná</w:t>
      </w:r>
      <w:r>
        <w:rPr>
          <w:rFonts w:ascii="Times New Roman" w:hAnsi="Times New Roman" w:cs="Times New Roman" w:hint="default"/>
          <w:kern w:val="1"/>
          <w:lang w:val="en-US"/>
        </w:rPr>
        <w:t>rodnej rady Slovenskej republiky </w:t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2.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zov 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>
        <w:rPr>
          <w:rFonts w:ascii="Times New Roman" w:hAnsi="Times New Roman" w:cs="Times New Roman" w:hint="default"/>
          <w:kern w:val="1"/>
          <w:lang w:val="en-US"/>
        </w:rPr>
        <w:t xml:space="preserve"> Ná</w:t>
      </w:r>
      <w:r>
        <w:rPr>
          <w:rFonts w:ascii="Times New Roman" w:hAnsi="Times New Roman" w:cs="Times New Roman" w:hint="default"/>
          <w:kern w:val="1"/>
          <w:lang w:val="en-US"/>
        </w:rPr>
        <w:t>vrh zá</w:t>
      </w:r>
      <w:r>
        <w:rPr>
          <w:rFonts w:ascii="Times New Roman" w:hAnsi="Times New Roman" w:cs="Times New Roman" w:hint="default"/>
          <w:kern w:val="1"/>
          <w:lang w:val="en-US"/>
        </w:rPr>
        <w:t>kona, ktorý</w:t>
      </w:r>
      <w:r>
        <w:rPr>
          <w:rFonts w:ascii="Times New Roman" w:hAnsi="Times New Roman" w:cs="Times New Roman" w:hint="default"/>
          <w:kern w:val="1"/>
          <w:lang w:val="en-US"/>
        </w:rPr>
        <w:t>m sa mení</w:t>
      </w:r>
      <w:r>
        <w:rPr>
          <w:rFonts w:ascii="Times New Roman" w:hAnsi="Times New Roman" w:cs="Times New Roman" w:hint="default"/>
          <w:kern w:val="1"/>
          <w:lang w:val="en-US"/>
        </w:rPr>
        <w:t xml:space="preserve"> a dopĺň</w:t>
      </w:r>
      <w:r>
        <w:rPr>
          <w:rFonts w:ascii="Times New Roman" w:hAnsi="Times New Roman" w:cs="Times New Roman" w:hint="default"/>
          <w:kern w:val="1"/>
          <w:lang w:val="en-US"/>
        </w:rPr>
        <w:t>a zá</w:t>
      </w:r>
      <w:r>
        <w:rPr>
          <w:rFonts w:ascii="Times New Roman" w:hAnsi="Times New Roman" w:cs="Times New Roman" w:hint="default"/>
          <w:kern w:val="1"/>
          <w:lang w:val="en-US"/>
        </w:rPr>
        <w:t>kon</w:t>
      </w:r>
      <w:r>
        <w:rPr>
          <w:rFonts w:ascii="Times New Roman" w:hAnsi="Times New Roman" w:cs="Times New Roman" w:hint="default"/>
          <w:kern w:val="1"/>
          <w:lang w:val="en-US"/>
        </w:rPr>
        <w:t xml:space="preserve"> č</w:t>
      </w:r>
      <w:r>
        <w:rPr>
          <w:rFonts w:ascii="Times New Roman" w:hAnsi="Times New Roman" w:cs="Times New Roman" w:hint="default"/>
          <w:kern w:val="1"/>
          <w:lang w:val="en-US"/>
        </w:rPr>
        <w:t>. 595/2003 Z. z. o dani z prí</w:t>
      </w:r>
      <w:r>
        <w:rPr>
          <w:rFonts w:ascii="Times New Roman" w:hAnsi="Times New Roman" w:cs="Times New Roman" w:hint="default"/>
          <w:kern w:val="1"/>
          <w:lang w:val="en-US"/>
        </w:rPr>
        <w:t xml:space="preserve">jmov </w:t>
      </w:r>
      <w:r w:rsidR="001806C8">
        <w:rPr>
          <w:rFonts w:ascii="Times New Roman" w:hAnsi="Times New Roman" w:cs="Times New Roman" w:hint="default"/>
          <w:kern w:val="1"/>
          <w:lang w:val="en-US"/>
        </w:rPr>
        <w:t>v znení</w:t>
      </w:r>
      <w:r w:rsidR="001806C8">
        <w:rPr>
          <w:rFonts w:ascii="Times New Roman" w:hAnsi="Times New Roman" w:cs="Times New Roman" w:hint="default"/>
          <w:kern w:val="1"/>
          <w:lang w:val="en-US"/>
        </w:rPr>
        <w:t xml:space="preserve"> neskorší</w:t>
      </w:r>
      <w:r w:rsidR="001806C8">
        <w:rPr>
          <w:rFonts w:ascii="Times New Roman" w:hAnsi="Times New Roman" w:cs="Times New Roman" w:hint="default"/>
          <w:kern w:val="1"/>
          <w:lang w:val="en-US"/>
        </w:rPr>
        <w:t xml:space="preserve">ch predpisov </w:t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3.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Problematika 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  <w:tab/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40"/>
        <w:jc w:val="both"/>
        <w:rPr>
          <w:rFonts w:ascii="Times New Roman" w:hAnsi="Times New Roman" w:cs="Times New Roman" w:hint="default"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a) nie je upravená</w:t>
      </w:r>
      <w:r>
        <w:rPr>
          <w:rFonts w:ascii="Times New Roman" w:hAnsi="Times New Roman" w:cs="Times New Roman" w:hint="default"/>
          <w:kern w:val="1"/>
          <w:lang w:val="en-US"/>
        </w:rPr>
        <w:t xml:space="preserve"> v </w:t>
      </w:r>
      <w:r>
        <w:rPr>
          <w:rFonts w:ascii="Times New Roman" w:hAnsi="Times New Roman" w:cs="Times New Roman" w:hint="default"/>
          <w:kern w:val="1"/>
          <w:lang w:val="en-US"/>
        </w:rPr>
        <w:t>prá</w:t>
      </w:r>
      <w:r>
        <w:rPr>
          <w:rFonts w:ascii="Times New Roman" w:hAnsi="Times New Roman" w:cs="Times New Roman" w:hint="default"/>
          <w:kern w:val="1"/>
          <w:lang w:val="en-US"/>
        </w:rPr>
        <w:t>ve Euró</w:t>
      </w:r>
      <w:r>
        <w:rPr>
          <w:rFonts w:ascii="Times New Roman" w:hAnsi="Times New Roman" w:cs="Times New Roman" w:hint="default"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kern w:val="1"/>
          <w:lang w:val="en-US"/>
        </w:rPr>
        <w:t>nie</w:t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/>
        <w:jc w:val="both"/>
        <w:rPr>
          <w:rFonts w:ascii="Times New Roman" w:hAnsi="Times New Roman" w:cs="Times New Roman" w:hint="default"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b) nie je obsiahnutá</w:t>
      </w:r>
      <w:r>
        <w:rPr>
          <w:rFonts w:ascii="Times New Roman" w:hAnsi="Times New Roman" w:cs="Times New Roman" w:hint="default"/>
          <w:kern w:val="1"/>
          <w:lang w:val="en-US"/>
        </w:rPr>
        <w:t xml:space="preserve"> v judikatú</w:t>
      </w:r>
      <w:r>
        <w:rPr>
          <w:rFonts w:ascii="Times New Roman" w:hAnsi="Times New Roman" w:cs="Times New Roman" w:hint="default"/>
          <w:kern w:val="1"/>
          <w:lang w:val="en-US"/>
        </w:rPr>
        <w:t>re Sú</w:t>
      </w:r>
      <w:r>
        <w:rPr>
          <w:rFonts w:ascii="Times New Roman" w:hAnsi="Times New Roman" w:cs="Times New Roman" w:hint="default"/>
          <w:kern w:val="1"/>
          <w:lang w:val="en-US"/>
        </w:rPr>
        <w:t>dneho dvora Euró</w:t>
      </w:r>
      <w:r>
        <w:rPr>
          <w:rFonts w:ascii="Times New Roman" w:hAnsi="Times New Roman" w:cs="Times New Roman" w:hint="default"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kern w:val="1"/>
          <w:lang w:val="en-US"/>
        </w:rPr>
        <w:t>nie.</w:t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4.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Zá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vä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zky Slovenskej republiky vo 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vzť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ahu k 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Euró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nii: </w:t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right="-720" w:hanging="20"/>
        <w:jc w:val="both"/>
        <w:rPr>
          <w:rFonts w:ascii="Times New Roman" w:hAnsi="Times New Roman" w:cs="Times New Roman" w:hint="default"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5.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Stupeň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zluč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iteľ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nosti 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nie:</w:t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D6891" w:rsidP="001D6891">
      <w:pPr>
        <w:widowControl w:val="0"/>
        <w:autoSpaceDE w:val="0"/>
        <w:autoSpaceDN w:val="0"/>
        <w:bidi w:val="0"/>
        <w:adjustRightInd w:val="0"/>
        <w:spacing w:before="80" w:after="80"/>
        <w:ind w:left="720" w:right="-432"/>
        <w:jc w:val="both"/>
        <w:rPr>
          <w:rFonts w:ascii="Times New Roman" w:hAnsi="Times New Roman" w:cs="Times New Roman" w:hint="default"/>
          <w:lang w:val="en-US"/>
        </w:rPr>
      </w:pPr>
      <w:r w:rsidR="002073CC">
        <w:rPr>
          <w:rFonts w:ascii="Times New Roman" w:hAnsi="Times New Roman" w:cs="Times New Roman" w:hint="default"/>
          <w:kern w:val="1"/>
          <w:lang w:val="en-US"/>
        </w:rPr>
        <w:t>Stupeň</w:t>
      </w:r>
      <w:r w:rsidR="002073CC">
        <w:rPr>
          <w:rFonts w:ascii="Times New Roman" w:hAnsi="Times New Roman" w:cs="Times New Roman" w:hint="default"/>
          <w:kern w:val="1"/>
          <w:lang w:val="en-US"/>
        </w:rPr>
        <w:t xml:space="preserve"> zluč</w:t>
      </w:r>
      <w:r w:rsidR="002073CC">
        <w:rPr>
          <w:rFonts w:ascii="Times New Roman" w:hAnsi="Times New Roman" w:cs="Times New Roman" w:hint="default"/>
          <w:kern w:val="1"/>
          <w:lang w:val="en-US"/>
        </w:rPr>
        <w:t>iteľ</w:t>
      </w:r>
      <w:r w:rsidR="002073CC">
        <w:rPr>
          <w:rFonts w:ascii="Times New Roman" w:hAnsi="Times New Roman" w:cs="Times New Roman" w:hint="default"/>
          <w:kern w:val="1"/>
          <w:lang w:val="en-US"/>
        </w:rPr>
        <w:t xml:space="preserve">nosti </w:t>
      </w:r>
      <w:r>
        <w:rPr>
          <w:rFonts w:ascii="Times New Roman" w:hAnsi="Times New Roman" w:cs="Times New Roman" w:hint="default"/>
          <w:kern w:val="1"/>
          <w:lang w:val="en-US"/>
        </w:rPr>
        <w:t>–</w:t>
      </w:r>
      <w:r w:rsidR="002073CC">
        <w:rPr>
          <w:rFonts w:ascii="Times New Roman" w:hAnsi="Times New Roman" w:cs="Times New Roman"/>
          <w:kern w:val="1"/>
          <w:lang w:val="en-US"/>
        </w:rPr>
        <w:t xml:space="preserve"> </w:t>
      </w:r>
      <w:r>
        <w:rPr>
          <w:rFonts w:ascii="Times New Roman" w:hAnsi="Times New Roman" w:cs="Times New Roman" w:hint="default"/>
          <w:kern w:val="1"/>
          <w:lang w:val="en-US"/>
        </w:rPr>
        <w:t>ú</w:t>
      </w:r>
      <w:r>
        <w:rPr>
          <w:rFonts w:ascii="Times New Roman" w:hAnsi="Times New Roman" w:cs="Times New Roman" w:hint="default"/>
          <w:kern w:val="1"/>
          <w:lang w:val="en-US"/>
        </w:rPr>
        <w:t>plný</w:t>
      </w:r>
      <w:r>
        <w:rPr>
          <w:rFonts w:ascii="Times New Roman" w:hAnsi="Times New Roman" w:cs="Times New Roman" w:hint="default"/>
          <w:lang w:val="en-US"/>
        </w:rPr>
        <w:t>, nakoľ</w:t>
      </w:r>
      <w:r>
        <w:rPr>
          <w:rFonts w:ascii="Times New Roman" w:hAnsi="Times New Roman" w:cs="Times New Roman" w:hint="default"/>
          <w:lang w:val="en-US"/>
        </w:rPr>
        <w:t>ko je predmetná</w:t>
      </w:r>
      <w:r>
        <w:rPr>
          <w:rFonts w:ascii="Times New Roman" w:hAnsi="Times New Roman" w:cs="Times New Roman" w:hint="default"/>
          <w:lang w:val="en-US"/>
        </w:rPr>
        <w:t xml:space="preserve"> problematika </w:t>
      </w:r>
      <w:r>
        <w:rPr>
          <w:rFonts w:ascii="Times New Roman" w:hAnsi="Times New Roman" w:cs="Times New Roman" w:hint="default"/>
          <w:lang w:val="en-US"/>
        </w:rPr>
        <w:t>ponechaná</w:t>
      </w:r>
      <w:r>
        <w:rPr>
          <w:rFonts w:ascii="Times New Roman" w:hAnsi="Times New Roman" w:cs="Times New Roman" w:hint="default"/>
          <w:lang w:val="en-US"/>
        </w:rPr>
        <w:t xml:space="preserve"> na vnú</w:t>
      </w:r>
      <w:r>
        <w:rPr>
          <w:rFonts w:ascii="Times New Roman" w:hAnsi="Times New Roman" w:cs="Times New Roman" w:hint="default"/>
          <w:lang w:val="en-US"/>
        </w:rPr>
        <w:t>troš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tnu ú</w:t>
      </w:r>
      <w:r>
        <w:rPr>
          <w:rFonts w:ascii="Times New Roman" w:hAnsi="Times New Roman" w:cs="Times New Roman" w:hint="default"/>
          <w:lang w:val="en-US"/>
        </w:rPr>
        <w:t>pravu č</w:t>
      </w:r>
      <w:r>
        <w:rPr>
          <w:rFonts w:ascii="Times New Roman" w:hAnsi="Times New Roman" w:cs="Times New Roman" w:hint="default"/>
          <w:lang w:val="en-US"/>
        </w:rPr>
        <w:t>lenský</w:t>
      </w:r>
      <w:r>
        <w:rPr>
          <w:rFonts w:ascii="Times New Roman" w:hAnsi="Times New Roman" w:cs="Times New Roman" w:hint="default"/>
          <w:lang w:val="en-US"/>
        </w:rPr>
        <w:t>ch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tov</w:t>
      </w:r>
    </w:p>
    <w:p w:rsidR="002073CC" w:rsidP="001D6891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right="-432" w:hanging="420"/>
        <w:rPr>
          <w:rFonts w:ascii="Times New Roman" w:hAnsi="Times New Roman" w:cs="Times New Roman"/>
          <w:kern w:val="1"/>
          <w:lang w:val="en-US"/>
        </w:rPr>
      </w:pPr>
      <w:r w:rsidR="001D6891">
        <w:rPr>
          <w:rFonts w:ascii="Times New Roman" w:hAnsi="Times New Roman" w:cs="Times New Roman"/>
          <w:lang w:val="en-US"/>
        </w:rPr>
        <w:t xml:space="preserve"> </w:t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br w:type="page"/>
      </w: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</w:t>
      </w: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vybraný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ch 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vplyvov</w:t>
      </w: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A.1. 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zov materiá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lu: </w:t>
      </w:r>
      <w:r>
        <w:rPr>
          <w:rFonts w:ascii="Times New Roman" w:hAnsi="Times New Roman" w:cs="Times New Roman" w:hint="default"/>
          <w:kern w:val="1"/>
          <w:lang w:val="en-US"/>
        </w:rPr>
        <w:t>Ná</w:t>
      </w:r>
      <w:r>
        <w:rPr>
          <w:rFonts w:ascii="Times New Roman" w:hAnsi="Times New Roman" w:cs="Times New Roman" w:hint="default"/>
          <w:kern w:val="1"/>
          <w:lang w:val="en-US"/>
        </w:rPr>
        <w:t>vrh zá</w:t>
      </w:r>
      <w:r>
        <w:rPr>
          <w:rFonts w:ascii="Times New Roman" w:hAnsi="Times New Roman" w:cs="Times New Roman" w:hint="default"/>
          <w:kern w:val="1"/>
          <w:lang w:val="en-US"/>
        </w:rPr>
        <w:t>kona, ktorý</w:t>
      </w:r>
      <w:r>
        <w:rPr>
          <w:rFonts w:ascii="Times New Roman" w:hAnsi="Times New Roman" w:cs="Times New Roman" w:hint="default"/>
          <w:kern w:val="1"/>
          <w:lang w:val="en-US"/>
        </w:rPr>
        <w:t>m sa mení</w:t>
      </w:r>
      <w:r>
        <w:rPr>
          <w:rFonts w:ascii="Times New Roman" w:hAnsi="Times New Roman" w:cs="Times New Roman" w:hint="default"/>
          <w:kern w:val="1"/>
          <w:lang w:val="en-US"/>
        </w:rPr>
        <w:t xml:space="preserve"> a dopĺň</w:t>
      </w:r>
      <w:r>
        <w:rPr>
          <w:rFonts w:ascii="Times New Roman" w:hAnsi="Times New Roman" w:cs="Times New Roman" w:hint="default"/>
          <w:kern w:val="1"/>
          <w:lang w:val="en-US"/>
        </w:rPr>
        <w:t>a zá</w:t>
      </w:r>
      <w:r>
        <w:rPr>
          <w:rFonts w:ascii="Times New Roman" w:hAnsi="Times New Roman" w:cs="Times New Roman" w:hint="default"/>
          <w:kern w:val="1"/>
          <w:lang w:val="en-US"/>
        </w:rPr>
        <w:t>kon č</w:t>
      </w:r>
      <w:r>
        <w:rPr>
          <w:rFonts w:ascii="Times New Roman" w:hAnsi="Times New Roman" w:cs="Times New Roman" w:hint="default"/>
          <w:kern w:val="1"/>
          <w:lang w:val="en-US"/>
        </w:rPr>
        <w:t>. 595/2003 Z. z. o dani z prí</w:t>
      </w:r>
      <w:r>
        <w:rPr>
          <w:rFonts w:ascii="Times New Roman" w:hAnsi="Times New Roman" w:cs="Times New Roman" w:hint="default"/>
          <w:kern w:val="1"/>
          <w:lang w:val="en-US"/>
        </w:rPr>
        <w:t xml:space="preserve">jmov </w:t>
      </w:r>
      <w:r w:rsidR="00731F21">
        <w:rPr>
          <w:rFonts w:ascii="Times New Roman" w:hAnsi="Times New Roman" w:cs="Times New Roman" w:hint="default"/>
          <w:kern w:val="1"/>
          <w:lang w:val="en-US"/>
        </w:rPr>
        <w:t>v znení</w:t>
      </w:r>
      <w:r w:rsidR="00731F21">
        <w:rPr>
          <w:rFonts w:ascii="Times New Roman" w:hAnsi="Times New Roman" w:cs="Times New Roman" w:hint="default"/>
          <w:kern w:val="1"/>
          <w:lang w:val="en-US"/>
        </w:rPr>
        <w:t xml:space="preserve"> neskorší</w:t>
      </w:r>
      <w:r w:rsidR="00731F21">
        <w:rPr>
          <w:rFonts w:ascii="Times New Roman" w:hAnsi="Times New Roman" w:cs="Times New Roman" w:hint="default"/>
          <w:kern w:val="1"/>
          <w:lang w:val="en-US"/>
        </w:rPr>
        <w:t>ch predpisov</w:t>
      </w: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A.2. Vplyvy:</w:t>
      </w:r>
    </w:p>
    <w:tbl>
      <w:tblPr>
        <w:tblStyle w:val="TableNormal"/>
        <w:tblW w:w="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</w:tblPr>
      <w:tblGrid>
        <w:gridCol w:w="4156"/>
        <w:gridCol w:w="1567"/>
        <w:gridCol w:w="1567"/>
        <w:gridCol w:w="1566"/>
      </w:tblGrid>
      <w:tr>
        <w:tblPrEx>
          <w:tblW w:w="0" w:type="pct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Pozití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Negatí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1. Vplyvy na rozpoč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et verejnej sprá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 xml:space="preserve">2. Vplyvy na 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podnikateľ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ské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 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dochá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dza k zvýš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eniu regulač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ho zať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až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3.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lne vplyvy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vplyvy na hospodá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renie obyvateľ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lnu exklú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lež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itostí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rodovú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4. Vplyvy na 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ivotné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  <w:bottom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5. Vplyvy na informatizá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ciu spoloč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2073C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</w:tbl>
    <w:p w:rsidR="002073CC" w:rsidP="002073CC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 </w:t>
      </w: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A.3. Pozná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mky</w:t>
      </w:r>
    </w:p>
    <w:p w:rsidR="007240C9" w:rsidP="007240C9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Navrhovaná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vna ú</w:t>
      </w:r>
      <w:r>
        <w:rPr>
          <w:rFonts w:ascii="Times New Roman" w:hAnsi="Times New Roman" w:cs="Times New Roman" w:hint="default"/>
          <w:lang w:val="en-US"/>
        </w:rPr>
        <w:t>prava bude mať</w:t>
      </w:r>
      <w:r>
        <w:rPr>
          <w:rFonts w:ascii="Times New Roman" w:hAnsi="Times New Roman" w:cs="Times New Roman" w:hint="default"/>
          <w:lang w:val="en-US"/>
        </w:rPr>
        <w:t xml:space="preserve"> pozití</w:t>
      </w:r>
      <w:r>
        <w:rPr>
          <w:rFonts w:ascii="Times New Roman" w:hAnsi="Times New Roman" w:cs="Times New Roman" w:hint="default"/>
          <w:lang w:val="en-US"/>
        </w:rPr>
        <w:t>vny sociá</w:t>
      </w:r>
      <w:r>
        <w:rPr>
          <w:rFonts w:ascii="Times New Roman" w:hAnsi="Times New Roman" w:cs="Times New Roman" w:hint="default"/>
          <w:lang w:val="en-US"/>
        </w:rPr>
        <w:t>lny vplyv, predovš</w:t>
      </w:r>
      <w:r>
        <w:rPr>
          <w:rFonts w:ascii="Times New Roman" w:hAnsi="Times New Roman" w:cs="Times New Roman" w:hint="default"/>
          <w:lang w:val="en-US"/>
        </w:rPr>
        <w:t>etký</w:t>
      </w:r>
      <w:r>
        <w:rPr>
          <w:rFonts w:ascii="Times New Roman" w:hAnsi="Times New Roman" w:cs="Times New Roman" w:hint="default"/>
          <w:lang w:val="en-US"/>
        </w:rPr>
        <w:t>m na hospodá</w:t>
      </w:r>
      <w:r>
        <w:rPr>
          <w:rFonts w:ascii="Times New Roman" w:hAnsi="Times New Roman" w:cs="Times New Roman" w:hint="default"/>
          <w:lang w:val="en-US"/>
        </w:rPr>
        <w:t>renie obyvateľ</w:t>
      </w:r>
      <w:r>
        <w:rPr>
          <w:rFonts w:ascii="Times New Roman" w:hAnsi="Times New Roman" w:cs="Times New Roman" w:hint="default"/>
          <w:lang w:val="en-US"/>
        </w:rPr>
        <w:t>stva. Navrhovaná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vna ú</w:t>
      </w:r>
      <w:r>
        <w:rPr>
          <w:rFonts w:ascii="Times New Roman" w:hAnsi="Times New Roman" w:cs="Times New Roman" w:hint="default"/>
          <w:lang w:val="en-US"/>
        </w:rPr>
        <w:t>prava nemá</w:t>
      </w:r>
      <w:r>
        <w:rPr>
          <w:rFonts w:ascii="Times New Roman" w:hAnsi="Times New Roman" w:cs="Times New Roman" w:hint="default"/>
          <w:lang w:val="en-US"/>
        </w:rPr>
        <w:t xml:space="preserve"> ž</w:t>
      </w:r>
      <w:r>
        <w:rPr>
          <w:rFonts w:ascii="Times New Roman" w:hAnsi="Times New Roman" w:cs="Times New Roman" w:hint="default"/>
          <w:lang w:val="en-US"/>
        </w:rPr>
        <w:t>iadny vplyv na rozpoč</w:t>
      </w:r>
      <w:r>
        <w:rPr>
          <w:rFonts w:ascii="Times New Roman" w:hAnsi="Times New Roman" w:cs="Times New Roman" w:hint="default"/>
          <w:lang w:val="en-US"/>
        </w:rPr>
        <w:t>et verejnej sprá</w:t>
      </w:r>
      <w:r>
        <w:rPr>
          <w:rFonts w:ascii="Times New Roman" w:hAnsi="Times New Roman" w:cs="Times New Roman" w:hint="default"/>
          <w:lang w:val="en-US"/>
        </w:rPr>
        <w:t xml:space="preserve">vy, na </w:t>
      </w:r>
      <w:r>
        <w:rPr>
          <w:rFonts w:ascii="Times New Roman" w:hAnsi="Times New Roman" w:cs="Times New Roman" w:hint="default"/>
          <w:lang w:val="en-US"/>
        </w:rPr>
        <w:t>podnikateľ</w:t>
      </w:r>
      <w:r>
        <w:rPr>
          <w:rFonts w:ascii="Times New Roman" w:hAnsi="Times New Roman" w:cs="Times New Roman" w:hint="default"/>
          <w:lang w:val="en-US"/>
        </w:rPr>
        <w:t>ské</w:t>
      </w:r>
      <w:r>
        <w:rPr>
          <w:rFonts w:ascii="Times New Roman" w:hAnsi="Times New Roman" w:cs="Times New Roman" w:hint="default"/>
          <w:lang w:val="en-US"/>
        </w:rPr>
        <w:t xml:space="preserve"> prostredie, na ž</w:t>
      </w:r>
      <w:r>
        <w:rPr>
          <w:rFonts w:ascii="Times New Roman" w:hAnsi="Times New Roman" w:cs="Times New Roman" w:hint="default"/>
          <w:lang w:val="en-US"/>
        </w:rPr>
        <w:t>ivotné</w:t>
      </w:r>
      <w:r>
        <w:rPr>
          <w:rFonts w:ascii="Times New Roman" w:hAnsi="Times New Roman" w:cs="Times New Roman" w:hint="default"/>
          <w:lang w:val="en-US"/>
        </w:rPr>
        <w:t xml:space="preserve"> prostredie,</w:t>
      </w:r>
      <w:r w:rsidRPr="007240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na zamestnanosť</w:t>
      </w:r>
      <w:r>
        <w:rPr>
          <w:rFonts w:ascii="Times New Roman" w:hAnsi="Times New Roman" w:cs="Times New Roman" w:hint="default"/>
          <w:lang w:val="en-US"/>
        </w:rPr>
        <w:t xml:space="preserve"> a ani vplyv na informatizá</w:t>
      </w:r>
      <w:r>
        <w:rPr>
          <w:rFonts w:ascii="Times New Roman" w:hAnsi="Times New Roman" w:cs="Times New Roman" w:hint="default"/>
          <w:lang w:val="en-US"/>
        </w:rPr>
        <w:t>ciu spoloč</w:t>
      </w:r>
      <w:r>
        <w:rPr>
          <w:rFonts w:ascii="Times New Roman" w:hAnsi="Times New Roman" w:cs="Times New Roman" w:hint="default"/>
          <w:lang w:val="en-US"/>
        </w:rPr>
        <w:t>nosti. Nepredpokladá</w:t>
      </w:r>
      <w:r>
        <w:rPr>
          <w:rFonts w:ascii="Times New Roman" w:hAnsi="Times New Roman" w:cs="Times New Roman" w:hint="default"/>
          <w:lang w:val="en-US"/>
        </w:rPr>
        <w:t xml:space="preserve"> sa, ž</w:t>
      </w:r>
      <w:r>
        <w:rPr>
          <w:rFonts w:ascii="Times New Roman" w:hAnsi="Times New Roman" w:cs="Times New Roman" w:hint="default"/>
          <w:lang w:val="en-US"/>
        </w:rPr>
        <w:t>e navrhovaná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vna ú</w:t>
      </w:r>
      <w:r>
        <w:rPr>
          <w:rFonts w:ascii="Times New Roman" w:hAnsi="Times New Roman" w:cs="Times New Roman" w:hint="default"/>
          <w:lang w:val="en-US"/>
        </w:rPr>
        <w:t>prava bude mať</w:t>
      </w:r>
      <w:r>
        <w:rPr>
          <w:rFonts w:ascii="Times New Roman" w:hAnsi="Times New Roman" w:cs="Times New Roman" w:hint="default"/>
          <w:lang w:val="en-US"/>
        </w:rPr>
        <w:t xml:space="preserve"> vplyv na podnikateľ</w:t>
      </w:r>
      <w:r>
        <w:rPr>
          <w:rFonts w:ascii="Times New Roman" w:hAnsi="Times New Roman" w:cs="Times New Roman" w:hint="default"/>
          <w:lang w:val="en-US"/>
        </w:rPr>
        <w:t>ské</w:t>
      </w:r>
      <w:r>
        <w:rPr>
          <w:rFonts w:ascii="Times New Roman" w:hAnsi="Times New Roman" w:cs="Times New Roman" w:hint="default"/>
          <w:lang w:val="en-US"/>
        </w:rPr>
        <w:t xml:space="preserve"> prostredie</w:t>
      </w: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A.4. Alternatí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 rieš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enia</w:t>
      </w: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2073CC" w:rsidP="002073CC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 xml:space="preserve">A.5. </w:t>
        <w:tab/>
        <w:t>Stanovisko</w:t>
      </w:r>
      <w:r>
        <w:rPr>
          <w:rFonts w:ascii="Times New Roman" w:hAnsi="Times New Roman" w:cs="Times New Roman"/>
          <w:b/>
          <w:bCs/>
          <w:kern w:val="1"/>
          <w:lang w:val="en-US"/>
        </w:rPr>
        <w:t xml:space="preserve"> gestorov</w:t>
      </w:r>
    </w:p>
    <w:p w:rsidR="002073CC" w:rsidP="002073CC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2073CC" w:rsidP="002073CC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 w:cs="Times New Roman"/>
          <w:kern w:val="1"/>
          <w:lang w:val="en-US"/>
        </w:rPr>
      </w:pPr>
    </w:p>
    <w:p w:rsidR="002073CC" w:rsidP="002073CC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 w:cs="Times New Roman"/>
          <w:kern w:val="1"/>
          <w:lang w:val="en-US"/>
        </w:rPr>
      </w:pPr>
    </w:p>
    <w:p w:rsidR="008B4218">
      <w:pPr>
        <w:bidi w:val="0"/>
      </w:pPr>
    </w:p>
    <w:sectPr w:rsidSect="00AC560A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2073CC"/>
    <w:rsid w:val="001806C8"/>
    <w:rsid w:val="001D6891"/>
    <w:rsid w:val="002073CC"/>
    <w:rsid w:val="00650869"/>
    <w:rsid w:val="007240C9"/>
    <w:rsid w:val="00731F21"/>
    <w:rsid w:val="008B4218"/>
    <w:rsid w:val="00E93AAA"/>
    <w:rsid w:val="00F26275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266</Words>
  <Characters>1520</Characters>
  <Application>Microsoft Office Word</Application>
  <DocSecurity>0</DocSecurity>
  <Lines>0</Lines>
  <Paragraphs>0</Paragraphs>
  <ScaleCrop>false</ScaleCrop>
  <Company>ABB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2012-10-29T14:25:00Z</dcterms:created>
  <dcterms:modified xsi:type="dcterms:W3CDTF">2012-10-29T14:25:00Z</dcterms:modified>
</cp:coreProperties>
</file>