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D5DD0" w:rsidP="006D5DD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44"/>
          <w:szCs w:val="44"/>
        </w:rPr>
      </w:pPr>
    </w:p>
    <w:p w:rsidR="006D5DD0" w:rsidP="006D5DD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44"/>
          <w:szCs w:val="44"/>
        </w:rPr>
      </w:pPr>
    </w:p>
    <w:p w:rsidR="006D5DD0" w:rsidP="006D5DD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44"/>
          <w:szCs w:val="44"/>
        </w:rPr>
      </w:pPr>
    </w:p>
    <w:p w:rsidR="006D5DD0" w:rsidP="006D5DD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44"/>
          <w:szCs w:val="44"/>
        </w:rPr>
      </w:pPr>
    </w:p>
    <w:p w:rsidR="006D5DD0" w:rsidP="006D5DD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44"/>
          <w:szCs w:val="44"/>
        </w:rPr>
      </w:pPr>
    </w:p>
    <w:p w:rsidR="006D5DD0" w:rsidP="006D5DD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44"/>
          <w:szCs w:val="44"/>
        </w:rPr>
      </w:pPr>
    </w:p>
    <w:p w:rsidR="006D5DD0" w:rsidP="006D5DD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44"/>
          <w:szCs w:val="44"/>
        </w:rPr>
      </w:pPr>
    </w:p>
    <w:p w:rsidR="006D5DD0" w:rsidP="006D5DD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44"/>
          <w:szCs w:val="44"/>
        </w:rPr>
      </w:pPr>
    </w:p>
    <w:p w:rsidR="006D5DD0" w:rsidP="006D5DD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44"/>
          <w:szCs w:val="44"/>
        </w:rPr>
      </w:pPr>
    </w:p>
    <w:p w:rsidR="006D5DD0" w:rsidP="006D5DD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44"/>
          <w:szCs w:val="44"/>
        </w:rPr>
      </w:pPr>
    </w:p>
    <w:p w:rsidR="006D5DD0" w:rsidP="006D5DD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bCs/>
          <w:sz w:val="44"/>
          <w:szCs w:val="44"/>
        </w:rPr>
        <w:t>Príloha č. 5</w:t>
      </w:r>
    </w:p>
    <w:p w:rsidR="006D5DD0" w:rsidP="006D5DD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44"/>
          <w:szCs w:val="44"/>
        </w:rPr>
      </w:pPr>
    </w:p>
    <w:p w:rsidR="006D5DD0" w:rsidP="006D5DD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44"/>
          <w:szCs w:val="44"/>
        </w:rPr>
        <w:t>Implicitné záväzky</w:t>
      </w:r>
    </w:p>
    <w:p w:rsidR="006D5DD0" w:rsidP="006D5DD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44"/>
          <w:szCs w:val="44"/>
        </w:rPr>
        <w:t> </w:t>
      </w:r>
    </w:p>
    <w:p w:rsidR="006D5DD0" w:rsidP="00627A2A">
      <w:pPr>
        <w:bidi w:val="0"/>
        <w:spacing w:after="0" w:line="240" w:lineRule="auto"/>
        <w:rPr>
          <w:b/>
        </w:rPr>
      </w:pPr>
    </w:p>
    <w:p w:rsidR="006D5DD0" w:rsidP="00627A2A">
      <w:pPr>
        <w:bidi w:val="0"/>
        <w:spacing w:after="0" w:line="240" w:lineRule="auto"/>
        <w:rPr>
          <w:b/>
        </w:rPr>
      </w:pPr>
    </w:p>
    <w:p w:rsidR="006D5DD0" w:rsidP="00627A2A">
      <w:pPr>
        <w:bidi w:val="0"/>
        <w:spacing w:after="0" w:line="240" w:lineRule="auto"/>
        <w:rPr>
          <w:b/>
        </w:rPr>
      </w:pPr>
    </w:p>
    <w:p w:rsidR="006D5DD0" w:rsidP="00627A2A">
      <w:pPr>
        <w:bidi w:val="0"/>
        <w:spacing w:after="0" w:line="240" w:lineRule="auto"/>
        <w:rPr>
          <w:b/>
        </w:rPr>
      </w:pPr>
    </w:p>
    <w:p w:rsidR="006D5DD0" w:rsidP="00627A2A">
      <w:pPr>
        <w:bidi w:val="0"/>
        <w:spacing w:after="0" w:line="240" w:lineRule="auto"/>
        <w:rPr>
          <w:b/>
        </w:rPr>
      </w:pPr>
    </w:p>
    <w:p w:rsidR="006D5DD0" w:rsidP="00627A2A">
      <w:pPr>
        <w:bidi w:val="0"/>
        <w:spacing w:after="0" w:line="240" w:lineRule="auto"/>
        <w:rPr>
          <w:b/>
        </w:rPr>
      </w:pPr>
    </w:p>
    <w:p w:rsidR="006D5DD0" w:rsidP="00627A2A">
      <w:pPr>
        <w:bidi w:val="0"/>
        <w:spacing w:after="0" w:line="240" w:lineRule="auto"/>
        <w:rPr>
          <w:b/>
        </w:rPr>
      </w:pPr>
    </w:p>
    <w:p w:rsidR="006D5DD0" w:rsidP="00627A2A">
      <w:pPr>
        <w:bidi w:val="0"/>
        <w:spacing w:after="0" w:line="240" w:lineRule="auto"/>
        <w:rPr>
          <w:b/>
        </w:rPr>
      </w:pPr>
    </w:p>
    <w:p w:rsidR="006D5DD0" w:rsidP="00627A2A">
      <w:pPr>
        <w:bidi w:val="0"/>
        <w:spacing w:after="0" w:line="240" w:lineRule="auto"/>
        <w:rPr>
          <w:b/>
        </w:rPr>
      </w:pPr>
    </w:p>
    <w:p w:rsidR="006D5DD0" w:rsidP="00627A2A">
      <w:pPr>
        <w:bidi w:val="0"/>
        <w:spacing w:after="0" w:line="240" w:lineRule="auto"/>
        <w:rPr>
          <w:b/>
        </w:rPr>
      </w:pPr>
    </w:p>
    <w:p w:rsidR="006D5DD0" w:rsidP="00627A2A">
      <w:pPr>
        <w:bidi w:val="0"/>
        <w:spacing w:after="0" w:line="240" w:lineRule="auto"/>
        <w:rPr>
          <w:b/>
        </w:rPr>
      </w:pPr>
    </w:p>
    <w:p w:rsidR="006D5DD0" w:rsidP="00627A2A">
      <w:pPr>
        <w:bidi w:val="0"/>
        <w:spacing w:after="0" w:line="240" w:lineRule="auto"/>
        <w:rPr>
          <w:b/>
        </w:rPr>
      </w:pPr>
    </w:p>
    <w:p w:rsidR="006D5DD0" w:rsidP="00627A2A">
      <w:pPr>
        <w:bidi w:val="0"/>
        <w:spacing w:after="0" w:line="240" w:lineRule="auto"/>
        <w:rPr>
          <w:b/>
        </w:rPr>
      </w:pPr>
    </w:p>
    <w:p w:rsidR="006D5DD0" w:rsidP="00627A2A">
      <w:pPr>
        <w:bidi w:val="0"/>
        <w:spacing w:after="0" w:line="240" w:lineRule="auto"/>
        <w:rPr>
          <w:b/>
        </w:rPr>
      </w:pPr>
    </w:p>
    <w:p w:rsidR="006D5DD0" w:rsidP="00627A2A">
      <w:pPr>
        <w:bidi w:val="0"/>
        <w:spacing w:after="0" w:line="240" w:lineRule="auto"/>
        <w:rPr>
          <w:b/>
        </w:rPr>
      </w:pPr>
    </w:p>
    <w:p w:rsidR="006D5DD0" w:rsidP="00627A2A">
      <w:pPr>
        <w:bidi w:val="0"/>
        <w:spacing w:after="0" w:line="240" w:lineRule="auto"/>
        <w:rPr>
          <w:b/>
        </w:rPr>
      </w:pPr>
    </w:p>
    <w:p w:rsidR="006D5DD0" w:rsidP="00627A2A">
      <w:pPr>
        <w:bidi w:val="0"/>
        <w:spacing w:after="0" w:line="240" w:lineRule="auto"/>
        <w:rPr>
          <w:b/>
        </w:rPr>
      </w:pPr>
    </w:p>
    <w:p w:rsidR="006D5DD0" w:rsidP="00627A2A">
      <w:pPr>
        <w:bidi w:val="0"/>
        <w:spacing w:after="0" w:line="240" w:lineRule="auto"/>
        <w:rPr>
          <w:b/>
        </w:rPr>
      </w:pPr>
    </w:p>
    <w:p w:rsidR="006D5DD0" w:rsidP="00627A2A">
      <w:pPr>
        <w:bidi w:val="0"/>
        <w:spacing w:after="0" w:line="240" w:lineRule="auto"/>
        <w:rPr>
          <w:b/>
        </w:rPr>
      </w:pPr>
    </w:p>
    <w:p w:rsidR="006D5DD0" w:rsidP="00627A2A">
      <w:pPr>
        <w:bidi w:val="0"/>
        <w:spacing w:after="0" w:line="240" w:lineRule="auto"/>
        <w:rPr>
          <w:b/>
        </w:rPr>
      </w:pPr>
    </w:p>
    <w:p w:rsidR="006D5DD0" w:rsidP="00627A2A">
      <w:pPr>
        <w:bidi w:val="0"/>
        <w:spacing w:after="0" w:line="240" w:lineRule="auto"/>
        <w:rPr>
          <w:b/>
        </w:rPr>
      </w:pPr>
    </w:p>
    <w:p w:rsidR="006D5DD0" w:rsidP="00627A2A">
      <w:pPr>
        <w:bidi w:val="0"/>
        <w:spacing w:after="0" w:line="240" w:lineRule="auto"/>
        <w:rPr>
          <w:b/>
        </w:rPr>
      </w:pPr>
    </w:p>
    <w:p w:rsidR="006D5DD0" w:rsidP="00627A2A">
      <w:pPr>
        <w:bidi w:val="0"/>
        <w:spacing w:after="0" w:line="240" w:lineRule="auto"/>
        <w:rPr>
          <w:b/>
        </w:rPr>
      </w:pPr>
    </w:p>
    <w:p w:rsidR="006D5DD0" w:rsidP="00627A2A">
      <w:pPr>
        <w:bidi w:val="0"/>
        <w:spacing w:after="0" w:line="240" w:lineRule="auto"/>
        <w:rPr>
          <w:b/>
        </w:rPr>
      </w:pPr>
    </w:p>
    <w:p w:rsidR="006D5DD0" w:rsidP="00627A2A">
      <w:pPr>
        <w:bidi w:val="0"/>
        <w:spacing w:after="0" w:line="240" w:lineRule="auto"/>
        <w:rPr>
          <w:b/>
        </w:rPr>
      </w:pPr>
    </w:p>
    <w:p w:rsidR="006D5DD0" w:rsidP="00627A2A">
      <w:pPr>
        <w:bidi w:val="0"/>
        <w:spacing w:after="0" w:line="240" w:lineRule="auto"/>
        <w:rPr>
          <w:b/>
        </w:rPr>
      </w:pPr>
    </w:p>
    <w:p w:rsidR="006D5DD0" w:rsidP="00627A2A">
      <w:pPr>
        <w:bidi w:val="0"/>
        <w:spacing w:after="0" w:line="240" w:lineRule="auto"/>
        <w:rPr>
          <w:b/>
        </w:rPr>
      </w:pPr>
    </w:p>
    <w:p w:rsidR="00A8025E" w:rsidP="00627A2A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A793A" w:rsidR="00627A2A">
        <w:rPr>
          <w:rFonts w:ascii="Times New Roman" w:hAnsi="Times New Roman"/>
          <w:b/>
          <w:sz w:val="24"/>
          <w:szCs w:val="24"/>
        </w:rPr>
        <w:t>Implicitné záväzky</w:t>
      </w:r>
    </w:p>
    <w:p w:rsidR="00AF0C99" w:rsidRPr="006A0C79" w:rsidP="00627A2A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0C99" w:rsidRPr="006A0C79" w:rsidP="00AF0C99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A0C79">
        <w:rPr>
          <w:rFonts w:ascii="Times New Roman" w:hAnsi="Times New Roman"/>
          <w:sz w:val="24"/>
          <w:szCs w:val="24"/>
        </w:rPr>
        <w:t>Implicitné záväzky sú podľa ústavného zákona č. 493/2011 Z. z. o rozpočtovej zodpovednosti definované ako rozdiel medzi očakávanými budúcimi výdavkami subjektov verejnej správy a očakávanými budúcimi príjmami subjektov verejnej správy, ktoré vyplývajú z finančných dôsledkov spôsobených budúcim uplatňovaním práv a povinností ustanovených právnym poriadkom Slovenskej republiky, ak tieto nie sú súčasťou dlhu verejnej správy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2"/>
      </w:r>
      <w:r w:rsidRPr="006A0C79">
        <w:rPr>
          <w:rFonts w:ascii="Times New Roman" w:hAnsi="Times New Roman"/>
          <w:sz w:val="24"/>
          <w:szCs w:val="24"/>
        </w:rPr>
        <w:t>.</w:t>
      </w:r>
    </w:p>
    <w:p w:rsidR="00AF0C99" w:rsidRPr="006A0C79" w:rsidP="00AF0C9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0C99" w:rsidRPr="006A0C79" w:rsidP="00AF0C99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A0C79">
        <w:rPr>
          <w:rFonts w:ascii="Times New Roman" w:hAnsi="Times New Roman"/>
          <w:sz w:val="24"/>
          <w:szCs w:val="24"/>
        </w:rPr>
        <w:t xml:space="preserve">Z uvedeného vyplýva, že nejde o záväzky vykázané v súvahe účtovných závierok subjektov verejnej správy, keďže ich ocenenie môže byť problematické. Napriek tomu však možno už dnes odhadnúť ich výšku. Medzi takéto implicitné záväzky sa zaraďujú najmä </w:t>
      </w:r>
      <w:r w:rsidRPr="006A0C79">
        <w:rPr>
          <w:rFonts w:ascii="Times New Roman" w:hAnsi="Times New Roman"/>
          <w:b/>
          <w:sz w:val="24"/>
          <w:szCs w:val="24"/>
        </w:rPr>
        <w:t>záväzky v sektore sociálnych vecí, zdravotníctva a školstva spojené so starnutím populácie</w:t>
      </w:r>
      <w:r w:rsidRPr="006A0C79">
        <w:rPr>
          <w:rFonts w:ascii="Times New Roman" w:hAnsi="Times New Roman"/>
          <w:sz w:val="24"/>
          <w:szCs w:val="24"/>
        </w:rPr>
        <w:t>.</w:t>
      </w:r>
    </w:p>
    <w:p w:rsidR="00AF0C99" w:rsidRPr="006A0C79" w:rsidP="00AF0C9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0C99" w:rsidRPr="006A0C79" w:rsidP="00AF0C99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A0C79">
        <w:rPr>
          <w:rFonts w:ascii="Times New Roman" w:hAnsi="Times New Roman"/>
          <w:sz w:val="24"/>
          <w:szCs w:val="24"/>
        </w:rPr>
        <w:t xml:space="preserve">Východiskom odhadu týchto položiek by mali byť predpoklady a projekcie pracovnej skupiny Európskej komisie (EK) zaoberajúcej sa vplyvmi starnutia populácie na verejné financie členských krajín – Ageing Working Group (AWG). Táto pracovná skupina publikovala v roku 2012 </w:t>
      </w:r>
      <w:r w:rsidRPr="006A0C79">
        <w:rPr>
          <w:rFonts w:ascii="Times New Roman" w:hAnsi="Times New Roman"/>
          <w:color w:val="000000"/>
          <w:sz w:val="24"/>
          <w:szCs w:val="24"/>
        </w:rPr>
        <w:t>dlhodobé projekcie príjmov a výdavkov citlivých na starnutie populácie do roku 2060 na základe projekcií demografického vývoja Eurostatu a dlhodobých makroekonomických projekcií EK</w:t>
      </w:r>
      <w:r>
        <w:rPr>
          <w:rStyle w:val="FootnoteReference"/>
          <w:rFonts w:ascii="Times New Roman" w:hAnsi="Times New Roman"/>
          <w:color w:val="000000"/>
          <w:sz w:val="24"/>
          <w:szCs w:val="24"/>
          <w:rtl w:val="0"/>
        </w:rPr>
        <w:footnoteReference w:id="3"/>
      </w:r>
      <w:r w:rsidRPr="006A0C79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6A0C79">
        <w:rPr>
          <w:rFonts w:ascii="Times New Roman" w:hAnsi="Times New Roman"/>
          <w:sz w:val="24"/>
          <w:szCs w:val="24"/>
        </w:rPr>
        <w:t xml:space="preserve">Predpoklady o nominálnej úrokovej miere a raste nominálneho HDP po roku 2015 sú takisto prevzaté z týchto projekcií. </w:t>
      </w:r>
    </w:p>
    <w:p w:rsidR="00AF0C99" w:rsidRPr="006A0C79" w:rsidP="00AF0C9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0C99" w:rsidRPr="006A0C79" w:rsidP="00AF0C99">
      <w:pPr>
        <w:bidi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A0C79">
        <w:rPr>
          <w:rFonts w:ascii="Times New Roman" w:hAnsi="Times New Roman"/>
          <w:sz w:val="24"/>
          <w:szCs w:val="24"/>
        </w:rPr>
        <w:t>Projekcie uvedené v tomto materiáli týkajúce sa výdavkov dôchodkového systému obsahujú voči odhadom EK jednu výnimku. M</w:t>
      </w:r>
      <w:r w:rsidR="006A0C79">
        <w:rPr>
          <w:rFonts w:ascii="Times New Roman" w:hAnsi="Times New Roman"/>
          <w:sz w:val="24"/>
          <w:szCs w:val="24"/>
        </w:rPr>
        <w:t xml:space="preserve">inisterstvo financií </w:t>
      </w:r>
      <w:r w:rsidRPr="006A0C79">
        <w:rPr>
          <w:rFonts w:ascii="Times New Roman" w:hAnsi="Times New Roman"/>
          <w:sz w:val="24"/>
          <w:szCs w:val="24"/>
        </w:rPr>
        <w:t>SR je dlhodobo členom pracovnej skupiny AWG, a teda dôchodkové projekcie publikované EK kvantifikuje práve M</w:t>
      </w:r>
      <w:r w:rsidR="006A0C79">
        <w:rPr>
          <w:rFonts w:ascii="Times New Roman" w:hAnsi="Times New Roman"/>
          <w:sz w:val="24"/>
          <w:szCs w:val="24"/>
        </w:rPr>
        <w:t>inisterstvo financií</w:t>
      </w:r>
      <w:r w:rsidRPr="006A0C79">
        <w:rPr>
          <w:rFonts w:ascii="Times New Roman" w:hAnsi="Times New Roman"/>
          <w:sz w:val="24"/>
          <w:szCs w:val="24"/>
        </w:rPr>
        <w:t xml:space="preserve"> SR. Vzhľadom na to, že predošlý model Svetovej banky (model PROST) už nevyhovoval pri kvantifikáciách dôchodkových výdavkov a reforiem, začalo M</w:t>
      </w:r>
      <w:r w:rsidR="006A0C79">
        <w:rPr>
          <w:rFonts w:ascii="Times New Roman" w:hAnsi="Times New Roman"/>
          <w:sz w:val="24"/>
          <w:szCs w:val="24"/>
        </w:rPr>
        <w:t>inisterstvo financií</w:t>
      </w:r>
      <w:r w:rsidRPr="006A0C79">
        <w:rPr>
          <w:rFonts w:ascii="Times New Roman" w:hAnsi="Times New Roman"/>
          <w:sz w:val="24"/>
          <w:szCs w:val="24"/>
        </w:rPr>
        <w:t xml:space="preserve"> SR v roku 2011 na uvedené účely používať nový model. Nový model v lepšej miere zachytáva parametre slovenského dôchodkového systému, keďže však ide o nový model, je potrebné ho priebežne spresňovať. Práve aktuálna reforma dôchodkového systému z augusta 2012, najmä zmeny v druhom pilieri, pomohli spresniť niektoré odhady v projekciách pre AWG. Predchádzajúca verzia modelu nadhodnocovala  verejné výdavk</w:t>
      </w:r>
      <w:r w:rsidR="006A0C79">
        <w:rPr>
          <w:rFonts w:ascii="Times New Roman" w:hAnsi="Times New Roman"/>
          <w:sz w:val="24"/>
          <w:szCs w:val="24"/>
        </w:rPr>
        <w:t>y</w:t>
      </w:r>
      <w:r w:rsidRPr="006A0C79">
        <w:rPr>
          <w:rFonts w:ascii="Times New Roman" w:hAnsi="Times New Roman"/>
          <w:sz w:val="24"/>
          <w:szCs w:val="24"/>
        </w:rPr>
        <w:t xml:space="preserve"> na dôchodky (v roku 2060 približne o 0,7 percenta HDP), keďže abstrahovala od budúcej úspory výdavkov na pozostalostné dôchodky vyplývajúce z existencie druhého piliera. Z tohto dôvodu sme pre účely </w:t>
      </w:r>
      <w:r w:rsidRPr="006A0C79">
        <w:rPr>
          <w:rFonts w:ascii="Times New Roman" w:hAnsi="Times New Roman"/>
          <w:i/>
          <w:sz w:val="24"/>
          <w:szCs w:val="24"/>
        </w:rPr>
        <w:t>scenára nezmenených politík</w:t>
      </w:r>
      <w:r w:rsidRPr="006A0C79">
        <w:rPr>
          <w:rFonts w:ascii="Times New Roman" w:hAnsi="Times New Roman"/>
          <w:sz w:val="24"/>
          <w:szCs w:val="24"/>
        </w:rPr>
        <w:t xml:space="preserve"> a výpočtu implicitných záväzkov použili revidované projekcie AWG, ktoré uvedený problém odstraňujú.      </w:t>
      </w:r>
    </w:p>
    <w:p w:rsidR="00AF0C99" w:rsidRPr="006A0C79" w:rsidP="00AF0C99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F0C99" w:rsidRPr="006A0C79" w:rsidP="00AF0C99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A0C79">
        <w:rPr>
          <w:rFonts w:ascii="Times New Roman" w:hAnsi="Times New Roman"/>
          <w:sz w:val="24"/>
          <w:szCs w:val="24"/>
        </w:rPr>
        <w:t>Základom pre odhad implicitných záväzkov je bilancia príjmov a výdavkov spojených so starnutím populácie do roku 2060. Za horizontom roku 2060 sa pri výpočtoch uvažuje s nezmenenou bilanciou v porovnaní s rokom 2060. Východiskovým rokom pre odhad je rok 2012, t.</w:t>
      </w:r>
      <w:r w:rsidR="006A0C79">
        <w:rPr>
          <w:rFonts w:ascii="Times New Roman" w:hAnsi="Times New Roman"/>
          <w:sz w:val="24"/>
          <w:szCs w:val="24"/>
        </w:rPr>
        <w:t xml:space="preserve"> </w:t>
      </w:r>
      <w:r w:rsidRPr="006A0C79">
        <w:rPr>
          <w:rFonts w:ascii="Times New Roman" w:hAnsi="Times New Roman"/>
          <w:sz w:val="24"/>
          <w:szCs w:val="24"/>
        </w:rPr>
        <w:t xml:space="preserve">j. rok, z ktorého sa vychádza pri zostavovaní rozpočtu verejnej správy na roky 2013 až 2015.  </w:t>
      </w:r>
    </w:p>
    <w:p w:rsidR="00AF0C99" w:rsidRPr="006A0C79" w:rsidP="00AF0C9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0C99" w:rsidRPr="006A0C79" w:rsidP="00AF0C99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A0C79">
        <w:rPr>
          <w:rFonts w:ascii="Times New Roman" w:hAnsi="Times New Roman"/>
          <w:sz w:val="24"/>
          <w:szCs w:val="24"/>
        </w:rPr>
        <w:t>Na strane príjmov ide konkrétne o príjmy Sociálnej poisťovne súvisiacich s dôchodkovým poistením a poistením v nezamestnanosti a zdravotných poisťovní zo zdravotného poistenia. Časť výdavkov citlivých na starnutie populácie je financovaná aj z daní a iných príjmov. Preto sa vo výpočtoch uvažuje aj s nimi tak, aby vo východiskovom roku vykryli rozdiel príjmov a výdavkov spojených so starnutím populácie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4"/>
      </w:r>
      <w:r w:rsidRPr="006A0C79">
        <w:rPr>
          <w:rFonts w:ascii="Times New Roman" w:hAnsi="Times New Roman"/>
          <w:sz w:val="24"/>
          <w:szCs w:val="24"/>
        </w:rPr>
        <w:t>. Vo všeobecnosti sa uvažuje s nezmeneným podielom uvedených príjmov na HDP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5"/>
      </w:r>
      <w:r w:rsidRPr="006A0C79">
        <w:rPr>
          <w:rFonts w:ascii="Times New Roman" w:hAnsi="Times New Roman"/>
          <w:sz w:val="24"/>
          <w:szCs w:val="24"/>
        </w:rPr>
        <w:t xml:space="preserve"> v prognózovanom období, čo zodpovedá teoretickému predpokladu o tom, že daňové príjmy a odvody by mali v dlhodobom horizonte rásť v súlade s rastom nominálneho HDP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6"/>
      </w:r>
      <w:r w:rsidRPr="006A0C79">
        <w:rPr>
          <w:rFonts w:ascii="Times New Roman" w:hAnsi="Times New Roman"/>
          <w:sz w:val="24"/>
          <w:szCs w:val="24"/>
        </w:rPr>
        <w:t>.</w:t>
      </w:r>
    </w:p>
    <w:p w:rsidR="00AF0C99" w:rsidRPr="006A0C79" w:rsidP="00AF0C9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0C99" w:rsidRPr="006A0C79" w:rsidP="00AF0C99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A0C79">
        <w:rPr>
          <w:rFonts w:ascii="Times New Roman" w:hAnsi="Times New Roman"/>
          <w:sz w:val="24"/>
          <w:szCs w:val="24"/>
        </w:rPr>
        <w:t>Na strane výdavkov ide o výdavky na dôchodkové dávky, zdravotnú a dlhodobú starostlivosť, školstvo a dávky v nezamestnanosti. Neuvažuje sa tu so zmenou úrokových nákladov vyvolaných zmenou primárneho salda verejnej správy v dôsledku starnutia populácie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7"/>
      </w:r>
      <w:r w:rsidRPr="006A0C79">
        <w:rPr>
          <w:rFonts w:ascii="Times New Roman" w:hAnsi="Times New Roman"/>
          <w:sz w:val="24"/>
          <w:szCs w:val="24"/>
        </w:rPr>
        <w:t xml:space="preserve">. </w:t>
      </w:r>
    </w:p>
    <w:p w:rsidR="00AF0C99" w:rsidRPr="006A0C79" w:rsidP="00AF0C99">
      <w:pPr>
        <w:bidi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TableNormal"/>
        <w:tblW w:w="9157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109"/>
        <w:gridCol w:w="728"/>
        <w:gridCol w:w="675"/>
        <w:gridCol w:w="729"/>
        <w:gridCol w:w="729"/>
        <w:gridCol w:w="729"/>
        <w:gridCol w:w="729"/>
        <w:gridCol w:w="729"/>
      </w:tblGrid>
      <w:tr>
        <w:tblPrEx>
          <w:tblW w:w="9157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9157" w:type="dxa"/>
            <w:gridSpan w:val="8"/>
            <w:tcBorders>
              <w:top w:val="nil"/>
              <w:left w:val="nil"/>
              <w:bottom w:val="none" w:sz="0" w:space="0" w:color="auto"/>
              <w:right w:val="nil"/>
            </w:tcBorders>
            <w:shd w:val="clear" w:color="000000" w:fill="A6A6A6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sk-SK"/>
              </w:rPr>
            </w:pPr>
            <w:r w:rsidRPr="006A0C79">
              <w:rPr>
                <w:rFonts w:ascii="Times New Roman" w:hAnsi="Times New Roman"/>
                <w:b/>
                <w:bCs/>
                <w:sz w:val="16"/>
                <w:szCs w:val="16"/>
                <w:lang w:eastAsia="sk-SK"/>
              </w:rPr>
              <w:t>Vplyv demografických zmien na príjmy a výdavky verejnej správy (% HDP, scenár nezmenených politík)</w:t>
            </w:r>
          </w:p>
        </w:tc>
      </w:tr>
      <w:tr>
        <w:tblPrEx>
          <w:tblW w:w="9157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sk-SK"/>
              </w:rPr>
            </w:pPr>
            <w:r w:rsidRPr="006A0C79">
              <w:rPr>
                <w:rFonts w:ascii="Times New Roman" w:hAnsi="Times New Roman"/>
                <w:b/>
                <w:bCs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k-SK"/>
              </w:rPr>
            </w:pPr>
            <w:r w:rsidRPr="006A0C79">
              <w:rPr>
                <w:rFonts w:ascii="Times New Roman" w:hAnsi="Times New Roman"/>
                <w:b/>
                <w:bCs/>
                <w:sz w:val="16"/>
                <w:szCs w:val="16"/>
                <w:lang w:eastAsia="sk-SK"/>
              </w:rPr>
              <w:t>2012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k-SK"/>
              </w:rPr>
            </w:pPr>
            <w:r w:rsidRPr="006A0C79">
              <w:rPr>
                <w:rFonts w:ascii="Times New Roman" w:hAnsi="Times New Roman"/>
                <w:b/>
                <w:bCs/>
                <w:sz w:val="16"/>
                <w:szCs w:val="16"/>
                <w:lang w:eastAsia="sk-SK"/>
              </w:rPr>
              <w:t>2013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k-SK"/>
              </w:rPr>
            </w:pPr>
            <w:r w:rsidRPr="006A0C79">
              <w:rPr>
                <w:rFonts w:ascii="Times New Roman" w:hAnsi="Times New Roman"/>
                <w:b/>
                <w:bCs/>
                <w:sz w:val="16"/>
                <w:szCs w:val="16"/>
                <w:lang w:eastAsia="sk-SK"/>
              </w:rPr>
              <w:t>2020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k-SK"/>
              </w:rPr>
            </w:pPr>
            <w:r w:rsidRPr="006A0C79">
              <w:rPr>
                <w:rFonts w:ascii="Times New Roman" w:hAnsi="Times New Roman"/>
                <w:b/>
                <w:bCs/>
                <w:sz w:val="16"/>
                <w:szCs w:val="16"/>
                <w:lang w:eastAsia="sk-SK"/>
              </w:rPr>
              <w:t>2030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k-SK"/>
              </w:rPr>
            </w:pPr>
            <w:r w:rsidRPr="006A0C79">
              <w:rPr>
                <w:rFonts w:ascii="Times New Roman" w:hAnsi="Times New Roman"/>
                <w:b/>
                <w:bCs/>
                <w:sz w:val="16"/>
                <w:szCs w:val="16"/>
                <w:lang w:eastAsia="sk-SK"/>
              </w:rPr>
              <w:t>2040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k-SK"/>
              </w:rPr>
            </w:pPr>
            <w:r w:rsidRPr="006A0C79">
              <w:rPr>
                <w:rFonts w:ascii="Times New Roman" w:hAnsi="Times New Roman"/>
                <w:b/>
                <w:bCs/>
                <w:sz w:val="16"/>
                <w:szCs w:val="16"/>
                <w:lang w:eastAsia="sk-SK"/>
              </w:rPr>
              <w:t>2050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k-SK"/>
              </w:rPr>
            </w:pPr>
            <w:r w:rsidRPr="006A0C79">
              <w:rPr>
                <w:rFonts w:ascii="Times New Roman" w:hAnsi="Times New Roman"/>
                <w:b/>
                <w:bCs/>
                <w:sz w:val="16"/>
                <w:szCs w:val="16"/>
                <w:lang w:eastAsia="sk-SK"/>
              </w:rPr>
              <w:t>2060</w:t>
            </w:r>
          </w:p>
        </w:tc>
      </w:tr>
      <w:tr>
        <w:tblPrEx>
          <w:tblW w:w="9157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4"/>
        </w:trPr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0C79">
              <w:rPr>
                <w:rFonts w:ascii="Times New Roman" w:hAnsi="Times New Roman"/>
                <w:b/>
                <w:bCs/>
                <w:sz w:val="16"/>
                <w:szCs w:val="16"/>
              </w:rPr>
              <w:t>A. Príjmy VS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0C79">
              <w:rPr>
                <w:rFonts w:ascii="Times New Roman" w:hAnsi="Times New Roman"/>
                <w:b/>
                <w:bCs/>
                <w:sz w:val="16"/>
                <w:szCs w:val="16"/>
              </w:rPr>
              <w:t>17,7%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0C79">
              <w:rPr>
                <w:rFonts w:ascii="Times New Roman" w:hAnsi="Times New Roman"/>
                <w:b/>
                <w:bCs/>
                <w:sz w:val="16"/>
                <w:szCs w:val="16"/>
              </w:rPr>
              <w:t>17,7%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0C79">
              <w:rPr>
                <w:rFonts w:ascii="Times New Roman" w:hAnsi="Times New Roman"/>
                <w:b/>
                <w:bCs/>
                <w:sz w:val="16"/>
                <w:szCs w:val="16"/>
              </w:rPr>
              <w:t>17,6%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0C79">
              <w:rPr>
                <w:rFonts w:ascii="Times New Roman" w:hAnsi="Times New Roman"/>
                <w:b/>
                <w:bCs/>
                <w:sz w:val="16"/>
                <w:szCs w:val="16"/>
              </w:rPr>
              <w:t>17,5%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0C79">
              <w:rPr>
                <w:rFonts w:ascii="Times New Roman" w:hAnsi="Times New Roman"/>
                <w:b/>
                <w:bCs/>
                <w:sz w:val="16"/>
                <w:szCs w:val="16"/>
              </w:rPr>
              <w:t>17,5%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0C79">
              <w:rPr>
                <w:rFonts w:ascii="Times New Roman" w:hAnsi="Times New Roman"/>
                <w:b/>
                <w:bCs/>
                <w:sz w:val="16"/>
                <w:szCs w:val="16"/>
              </w:rPr>
              <w:t>17,4%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0C79">
              <w:rPr>
                <w:rFonts w:ascii="Times New Roman" w:hAnsi="Times New Roman"/>
                <w:b/>
                <w:bCs/>
                <w:sz w:val="16"/>
                <w:szCs w:val="16"/>
              </w:rPr>
              <w:t>17,2%</w:t>
            </w:r>
          </w:p>
        </w:tc>
      </w:tr>
      <w:tr>
        <w:tblPrEx>
          <w:tblW w:w="9157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4"/>
        </w:trPr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AF0C99">
            <w:pPr>
              <w:bidi w:val="0"/>
              <w:spacing w:after="0" w:line="240" w:lineRule="auto"/>
              <w:ind w:firstLine="160" w:firstLineChars="100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 xml:space="preserve"> - dôchodkové poistenie (EAO + dlžné)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4,8%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4,8%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4,7%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4,7%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4,6%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4,5%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4,4%</w:t>
            </w:r>
          </w:p>
        </w:tc>
      </w:tr>
      <w:tr>
        <w:tblPrEx>
          <w:tblW w:w="9157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4"/>
        </w:trPr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AF0C99" w:rsidRPr="006A0C79" w:rsidP="00AF0C99">
            <w:pPr>
              <w:bidi w:val="0"/>
              <w:spacing w:after="0" w:line="240" w:lineRule="auto"/>
              <w:ind w:firstLine="160" w:firstLineChars="100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 xml:space="preserve"> - poistenie v nezamestnanosti (EAO + dlžné)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0,4%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0,4%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0,4%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0,4%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0,4%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0,4%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0,4%</w:t>
            </w:r>
          </w:p>
        </w:tc>
      </w:tr>
      <w:tr>
        <w:tblPrEx>
          <w:tblW w:w="9157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4"/>
        </w:trPr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AF0C99">
            <w:pPr>
              <w:bidi w:val="0"/>
              <w:spacing w:after="0" w:line="240" w:lineRule="auto"/>
              <w:ind w:firstLine="160" w:firstLineChars="100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 xml:space="preserve"> - zdravotné poistenie (EAO + dlžné)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3,4%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3,4%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3,4%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3,4%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3,4%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3,4%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3,4%</w:t>
            </w:r>
          </w:p>
        </w:tc>
      </w:tr>
      <w:tr>
        <w:tblPrEx>
          <w:tblW w:w="9157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4"/>
        </w:trPr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AF0C99">
            <w:pPr>
              <w:bidi w:val="0"/>
              <w:spacing w:after="0" w:line="240" w:lineRule="auto"/>
              <w:ind w:firstLine="160" w:firstLineChars="100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 xml:space="preserve"> - ostatné príjmy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9,1%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9,1%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9,1%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9,1%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9,1%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9,1%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9,1%</w:t>
            </w:r>
          </w:p>
        </w:tc>
      </w:tr>
      <w:tr>
        <w:tblPrEx>
          <w:tblW w:w="9157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4"/>
        </w:trPr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0C79">
              <w:rPr>
                <w:rFonts w:ascii="Times New Roman" w:hAnsi="Times New Roman"/>
                <w:b/>
                <w:bCs/>
                <w:sz w:val="16"/>
                <w:szCs w:val="16"/>
              </w:rPr>
              <w:t>B. Výdavky citlivé na starnutie populácie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0C79">
              <w:rPr>
                <w:rFonts w:ascii="Times New Roman" w:hAnsi="Times New Roman"/>
                <w:b/>
                <w:bCs/>
                <w:sz w:val="16"/>
                <w:szCs w:val="16"/>
              </w:rPr>
              <w:t>17,7%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0C79">
              <w:rPr>
                <w:rFonts w:ascii="Times New Roman" w:hAnsi="Times New Roman"/>
                <w:b/>
                <w:bCs/>
                <w:sz w:val="16"/>
                <w:szCs w:val="16"/>
              </w:rPr>
              <w:t>17,8%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0C79">
              <w:rPr>
                <w:rFonts w:ascii="Times New Roman" w:hAnsi="Times New Roman"/>
                <w:b/>
                <w:bCs/>
                <w:sz w:val="16"/>
                <w:szCs w:val="16"/>
              </w:rPr>
              <w:t>18,7%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0C79">
              <w:rPr>
                <w:rFonts w:ascii="Times New Roman" w:hAnsi="Times New Roman"/>
                <w:b/>
                <w:bCs/>
                <w:sz w:val="16"/>
                <w:szCs w:val="16"/>
              </w:rPr>
              <w:t>19,9%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0C79">
              <w:rPr>
                <w:rFonts w:ascii="Times New Roman" w:hAnsi="Times New Roman"/>
                <w:b/>
                <w:bCs/>
                <w:sz w:val="16"/>
                <w:szCs w:val="16"/>
              </w:rPr>
              <w:t>21,1%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0C79">
              <w:rPr>
                <w:rFonts w:ascii="Times New Roman" w:hAnsi="Times New Roman"/>
                <w:b/>
                <w:bCs/>
                <w:sz w:val="16"/>
                <w:szCs w:val="16"/>
              </w:rPr>
              <w:t>23,1%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0C79">
              <w:rPr>
                <w:rFonts w:ascii="Times New Roman" w:hAnsi="Times New Roman"/>
                <w:b/>
                <w:bCs/>
                <w:sz w:val="16"/>
                <w:szCs w:val="16"/>
              </w:rPr>
              <w:t>24,5%</w:t>
            </w:r>
          </w:p>
        </w:tc>
      </w:tr>
      <w:tr>
        <w:tblPrEx>
          <w:tblW w:w="9157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4"/>
        </w:trPr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AF0C99">
            <w:pPr>
              <w:bidi w:val="0"/>
              <w:spacing w:after="0" w:line="240" w:lineRule="auto"/>
              <w:ind w:firstLine="160" w:firstLineChars="100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 xml:space="preserve"> - dôchodkové dávky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7,9%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7,9%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8,6%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9,3%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10,1%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11,5%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12,5%</w:t>
            </w:r>
          </w:p>
        </w:tc>
      </w:tr>
      <w:tr>
        <w:tblPrEx>
          <w:tblW w:w="9157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4"/>
        </w:trPr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extDirection w:val="lrTb"/>
            <w:vAlign w:val="center"/>
          </w:tcPr>
          <w:p w:rsidR="00AF0C99" w:rsidRPr="006A0C79" w:rsidP="00CD67FF">
            <w:pPr>
              <w:bidi w:val="0"/>
              <w:spacing w:after="0" w:line="240" w:lineRule="auto"/>
              <w:ind w:firstLine="160" w:firstLineChars="100"/>
              <w:rPr>
                <w:rFonts w:ascii="Times New Roman" w:hAnsi="Times New Roman"/>
                <w:i/>
                <w:sz w:val="16"/>
                <w:szCs w:val="16"/>
              </w:rPr>
            </w:pPr>
            <w:r w:rsidRPr="006A0C79">
              <w:rPr>
                <w:rFonts w:ascii="Times New Roman" w:hAnsi="Times New Roman"/>
                <w:i/>
                <w:sz w:val="16"/>
                <w:szCs w:val="16"/>
              </w:rPr>
              <w:t xml:space="preserve">       - dôchodkové dávky (Ageing report 2012)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extDirection w:val="lrTb"/>
            <w:vAlign w:val="center"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6A0C79">
              <w:rPr>
                <w:rFonts w:ascii="Times New Roman" w:hAnsi="Times New Roman"/>
                <w:i/>
                <w:sz w:val="16"/>
                <w:szCs w:val="16"/>
              </w:rPr>
              <w:t>7,9%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extDirection w:val="lrTb"/>
            <w:vAlign w:val="center"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6A0C79">
              <w:rPr>
                <w:rFonts w:ascii="Times New Roman" w:hAnsi="Times New Roman"/>
                <w:i/>
                <w:sz w:val="16"/>
                <w:szCs w:val="16"/>
              </w:rPr>
              <w:t>7,9%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extDirection w:val="lrTb"/>
            <w:vAlign w:val="center"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6A0C79">
              <w:rPr>
                <w:rFonts w:ascii="Times New Roman" w:hAnsi="Times New Roman"/>
                <w:i/>
                <w:sz w:val="16"/>
                <w:szCs w:val="16"/>
              </w:rPr>
              <w:t>8,6%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extDirection w:val="lrTb"/>
            <w:vAlign w:val="center"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6A0C79">
              <w:rPr>
                <w:rFonts w:ascii="Times New Roman" w:hAnsi="Times New Roman"/>
                <w:i/>
                <w:sz w:val="16"/>
                <w:szCs w:val="16"/>
              </w:rPr>
              <w:t>9,5%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extDirection w:val="lrTb"/>
            <w:vAlign w:val="center"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6A0C79">
              <w:rPr>
                <w:rFonts w:ascii="Times New Roman" w:hAnsi="Times New Roman"/>
                <w:i/>
                <w:sz w:val="16"/>
                <w:szCs w:val="16"/>
              </w:rPr>
              <w:t>10,6%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extDirection w:val="lrTb"/>
            <w:vAlign w:val="center"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6A0C79">
              <w:rPr>
                <w:rFonts w:ascii="Times New Roman" w:hAnsi="Times New Roman"/>
                <w:i/>
                <w:sz w:val="16"/>
                <w:szCs w:val="16"/>
              </w:rPr>
              <w:t>12,2%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extDirection w:val="lrTb"/>
            <w:vAlign w:val="center"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6A0C79">
              <w:rPr>
                <w:rFonts w:ascii="Times New Roman" w:hAnsi="Times New Roman"/>
                <w:i/>
                <w:sz w:val="16"/>
                <w:szCs w:val="16"/>
              </w:rPr>
              <w:t>13,2%</w:t>
            </w:r>
          </w:p>
        </w:tc>
      </w:tr>
      <w:tr>
        <w:tblPrEx>
          <w:tblW w:w="9157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4"/>
        </w:trPr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AF0C99">
            <w:pPr>
              <w:bidi w:val="0"/>
              <w:spacing w:after="0" w:line="240" w:lineRule="auto"/>
              <w:ind w:firstLine="160" w:firstLineChars="100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 xml:space="preserve"> - zdravotná starostlivosť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6,3%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6,4%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6,8%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7,3%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7,8%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8,1%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8,3%</w:t>
            </w:r>
          </w:p>
        </w:tc>
      </w:tr>
      <w:tr>
        <w:tblPrEx>
          <w:tblW w:w="9157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4"/>
        </w:trPr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AF0C99">
            <w:pPr>
              <w:bidi w:val="0"/>
              <w:spacing w:after="0" w:line="240" w:lineRule="auto"/>
              <w:ind w:firstLine="160" w:firstLineChars="100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 xml:space="preserve"> - dlhodobá starostlivosť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0,3%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0,3%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0,3%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0,4%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0,5%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0,6%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0,7%</w:t>
            </w:r>
          </w:p>
        </w:tc>
      </w:tr>
      <w:tr>
        <w:tblPrEx>
          <w:tblW w:w="9157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4"/>
        </w:trPr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AF0C99" w:rsidRPr="006A0C79" w:rsidP="00AF0C99">
            <w:pPr>
              <w:bidi w:val="0"/>
              <w:spacing w:after="0" w:line="240" w:lineRule="auto"/>
              <w:ind w:firstLine="160" w:firstLineChars="100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 xml:space="preserve"> - školstvo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3,0%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2,9%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2,8%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2,8%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2,7%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2,8%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3,0%</w:t>
            </w:r>
          </w:p>
        </w:tc>
      </w:tr>
      <w:tr>
        <w:tblPrEx>
          <w:tblW w:w="9157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4"/>
        </w:trPr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center"/>
            <w:hideMark/>
          </w:tcPr>
          <w:p w:rsidR="00AF0C99" w:rsidRPr="006A0C79" w:rsidP="00AF0C99">
            <w:pPr>
              <w:bidi w:val="0"/>
              <w:spacing w:after="0" w:line="240" w:lineRule="auto"/>
              <w:ind w:firstLine="160" w:firstLineChars="100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 xml:space="preserve"> - dávky v nezamestnanosti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0,2%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0,2%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0,1%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0,1%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0,1%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0,1%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0,1%</w:t>
            </w:r>
          </w:p>
        </w:tc>
      </w:tr>
      <w:tr>
        <w:tblPrEx>
          <w:tblW w:w="9157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4"/>
        </w:trPr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0C79">
              <w:rPr>
                <w:rFonts w:ascii="Times New Roman" w:hAnsi="Times New Roman"/>
                <w:b/>
                <w:bCs/>
                <w:sz w:val="16"/>
                <w:szCs w:val="16"/>
              </w:rPr>
              <w:t>C. Primárne saldo (A-B)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0C79">
              <w:rPr>
                <w:rFonts w:ascii="Times New Roman" w:hAnsi="Times New Roman"/>
                <w:b/>
                <w:bCs/>
                <w:sz w:val="16"/>
                <w:szCs w:val="16"/>
              </w:rPr>
              <w:t>0,0%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0C79">
              <w:rPr>
                <w:rFonts w:ascii="Times New Roman" w:hAnsi="Times New Roman"/>
                <w:b/>
                <w:bCs/>
                <w:sz w:val="16"/>
                <w:szCs w:val="16"/>
              </w:rPr>
              <w:t>-0,1%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0C79">
              <w:rPr>
                <w:rFonts w:ascii="Times New Roman" w:hAnsi="Times New Roman"/>
                <w:b/>
                <w:bCs/>
                <w:sz w:val="16"/>
                <w:szCs w:val="16"/>
              </w:rPr>
              <w:t>-1,1%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0C79">
              <w:rPr>
                <w:rFonts w:ascii="Times New Roman" w:hAnsi="Times New Roman"/>
                <w:b/>
                <w:bCs/>
                <w:sz w:val="16"/>
                <w:szCs w:val="16"/>
              </w:rPr>
              <w:t>-2,4%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0C79">
              <w:rPr>
                <w:rFonts w:ascii="Times New Roman" w:hAnsi="Times New Roman"/>
                <w:b/>
                <w:bCs/>
                <w:sz w:val="16"/>
                <w:szCs w:val="16"/>
              </w:rPr>
              <w:t>-3,6%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0C79">
              <w:rPr>
                <w:rFonts w:ascii="Times New Roman" w:hAnsi="Times New Roman"/>
                <w:b/>
                <w:bCs/>
                <w:sz w:val="16"/>
                <w:szCs w:val="16"/>
              </w:rPr>
              <w:t>-5,7%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0C79">
              <w:rPr>
                <w:rFonts w:ascii="Times New Roman" w:hAnsi="Times New Roman"/>
                <w:b/>
                <w:bCs/>
                <w:sz w:val="16"/>
                <w:szCs w:val="16"/>
              </w:rPr>
              <w:t>-7,3%</w:t>
            </w:r>
          </w:p>
        </w:tc>
      </w:tr>
      <w:tr>
        <w:tblPrEx>
          <w:tblW w:w="9157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4"/>
        </w:trPr>
        <w:tc>
          <w:tcPr>
            <w:tcW w:w="4109" w:type="dxa"/>
            <w:tcBorders>
              <w:top w:val="single" w:sz="4" w:space="0" w:color="auto"/>
              <w:left w:val="nil"/>
              <w:bottom w:val="none" w:sz="0" w:space="0" w:color="auto"/>
              <w:right w:val="nil"/>
            </w:tcBorders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6A0C79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p.m. nominálny rast HDP (v %)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none" w:sz="0" w:space="0" w:color="auto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6A0C79">
              <w:rPr>
                <w:rFonts w:ascii="Times New Roman" w:hAnsi="Times New Roman"/>
                <w:i/>
                <w:iCs/>
                <w:sz w:val="16"/>
                <w:szCs w:val="16"/>
              </w:rPr>
              <w:t>3,7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none" w:sz="0" w:space="0" w:color="auto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6A0C79">
              <w:rPr>
                <w:rFonts w:ascii="Times New Roman" w:hAnsi="Times New Roman"/>
                <w:i/>
                <w:iCs/>
                <w:sz w:val="16"/>
                <w:szCs w:val="16"/>
              </w:rPr>
              <w:t>3,9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one" w:sz="0" w:space="0" w:color="auto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6A0C79">
              <w:rPr>
                <w:rFonts w:ascii="Times New Roman" w:hAnsi="Times New Roman"/>
                <w:i/>
                <w:iCs/>
                <w:sz w:val="16"/>
                <w:szCs w:val="16"/>
              </w:rPr>
              <w:t>5,0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one" w:sz="0" w:space="0" w:color="auto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6A0C79">
              <w:rPr>
                <w:rFonts w:ascii="Times New Roman" w:hAnsi="Times New Roman"/>
                <w:i/>
                <w:iCs/>
                <w:sz w:val="16"/>
                <w:szCs w:val="16"/>
              </w:rPr>
              <w:t>3,7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one" w:sz="0" w:space="0" w:color="auto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6A0C79">
              <w:rPr>
                <w:rFonts w:ascii="Times New Roman" w:hAnsi="Times New Roman"/>
                <w:i/>
                <w:iCs/>
                <w:sz w:val="16"/>
                <w:szCs w:val="16"/>
              </w:rPr>
              <w:t>2,9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one" w:sz="0" w:space="0" w:color="auto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6A0C79">
              <w:rPr>
                <w:rFonts w:ascii="Times New Roman" w:hAnsi="Times New Roman"/>
                <w:i/>
                <w:iCs/>
                <w:sz w:val="16"/>
                <w:szCs w:val="16"/>
              </w:rPr>
              <w:t>2,6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one" w:sz="0" w:space="0" w:color="auto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6A0C79">
              <w:rPr>
                <w:rFonts w:ascii="Times New Roman" w:hAnsi="Times New Roman"/>
                <w:i/>
                <w:iCs/>
                <w:sz w:val="16"/>
                <w:szCs w:val="16"/>
              </w:rPr>
              <w:t>3,0</w:t>
            </w:r>
          </w:p>
        </w:tc>
      </w:tr>
      <w:tr>
        <w:tblPrEx>
          <w:tblW w:w="9157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4"/>
        </w:trPr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 xml:space="preserve"> p.m. nominálna úroková miera (v %)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6A0C79">
              <w:rPr>
                <w:rFonts w:ascii="Times New Roman" w:hAnsi="Times New Roman"/>
                <w:i/>
                <w:iCs/>
                <w:sz w:val="16"/>
                <w:szCs w:val="16"/>
              </w:rPr>
              <w:t>4,3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6A0C79">
              <w:rPr>
                <w:rFonts w:ascii="Times New Roman" w:hAnsi="Times New Roman"/>
                <w:i/>
                <w:iCs/>
                <w:sz w:val="16"/>
                <w:szCs w:val="16"/>
              </w:rPr>
              <w:t>3,9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6A0C79">
              <w:rPr>
                <w:rFonts w:ascii="Times New Roman" w:hAnsi="Times New Roman"/>
                <w:i/>
                <w:iCs/>
                <w:sz w:val="16"/>
                <w:szCs w:val="16"/>
              </w:rPr>
              <w:t>5,1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6A0C79">
              <w:rPr>
                <w:rFonts w:ascii="Times New Roman" w:hAnsi="Times New Roman"/>
                <w:i/>
                <w:iCs/>
                <w:sz w:val="16"/>
                <w:szCs w:val="16"/>
              </w:rPr>
              <w:t>5,1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6A0C79">
              <w:rPr>
                <w:rFonts w:ascii="Times New Roman" w:hAnsi="Times New Roman"/>
                <w:i/>
                <w:iCs/>
                <w:sz w:val="16"/>
                <w:szCs w:val="16"/>
              </w:rPr>
              <w:t>5,1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6A0C79">
              <w:rPr>
                <w:rFonts w:ascii="Times New Roman" w:hAnsi="Times New Roman"/>
                <w:i/>
                <w:iCs/>
                <w:sz w:val="16"/>
                <w:szCs w:val="16"/>
              </w:rPr>
              <w:t>5,1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6A0C79">
              <w:rPr>
                <w:rFonts w:ascii="Times New Roman" w:hAnsi="Times New Roman"/>
                <w:i/>
                <w:iCs/>
                <w:sz w:val="16"/>
                <w:szCs w:val="16"/>
              </w:rPr>
              <w:t>5,1</w:t>
            </w:r>
          </w:p>
        </w:tc>
      </w:tr>
      <w:tr>
        <w:tblPrEx>
          <w:tblW w:w="9157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4"/>
        </w:trPr>
        <w:tc>
          <w:tcPr>
            <w:tcW w:w="41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AF0C99" w:rsidRPr="006A0C79" w:rsidP="00CD67F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AF0C99" w:rsidRPr="006A0C79" w:rsidP="00CD67F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AF0C99" w:rsidRPr="006A0C79" w:rsidP="00CD67F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AF0C99" w:rsidRPr="006A0C79" w:rsidP="00CD67F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291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color w:val="000000"/>
                <w:sz w:val="16"/>
                <w:szCs w:val="16"/>
                <w:lang w:eastAsia="sk-SK"/>
              </w:rPr>
            </w:pPr>
            <w:r w:rsidRPr="006A0C79">
              <w:rPr>
                <w:rFonts w:ascii="Times New Roman" w:hAnsi="Times New Roman"/>
                <w:i/>
                <w:color w:val="000000"/>
                <w:sz w:val="16"/>
                <w:szCs w:val="16"/>
                <w:lang w:eastAsia="sk-SK"/>
              </w:rPr>
              <w:t>Zdroj: MF SR, EK</w:t>
            </w:r>
          </w:p>
        </w:tc>
      </w:tr>
    </w:tbl>
    <w:p w:rsidR="00AF0C99" w:rsidRPr="006A0C79" w:rsidP="00AF0C99">
      <w:pPr>
        <w:bidi w:val="0"/>
        <w:spacing w:after="0" w:line="240" w:lineRule="auto"/>
        <w:jc w:val="both"/>
        <w:rPr>
          <w:rFonts w:ascii="Times New Roman" w:hAnsi="Times New Roman"/>
        </w:rPr>
      </w:pPr>
    </w:p>
    <w:p w:rsidR="00AF0C99" w:rsidRPr="006A0C79" w:rsidP="00AF0C99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6A0C79">
        <w:rPr>
          <w:rFonts w:ascii="Times New Roman" w:hAnsi="Times New Roman"/>
          <w:sz w:val="24"/>
        </w:rPr>
        <w:t xml:space="preserve">Výsledky v tabuľke možno interpretovať tak, že v roku 2060 dôjde v porovnaní s rokom 2012 k zhoršeniu primárneho salda kvôli starnutiu populácie o 7,3 p. b. </w:t>
      </w:r>
    </w:p>
    <w:p w:rsidR="00AF0C99" w:rsidRPr="006A0C79" w:rsidP="00AF0C99">
      <w:pPr>
        <w:bidi w:val="0"/>
        <w:spacing w:after="0" w:line="240" w:lineRule="auto"/>
        <w:jc w:val="both"/>
        <w:rPr>
          <w:rFonts w:ascii="Times New Roman" w:hAnsi="Times New Roman"/>
          <w:szCs w:val="20"/>
        </w:rPr>
      </w:pPr>
    </w:p>
    <w:p w:rsidR="00AF0C99" w:rsidRPr="006A0C79" w:rsidP="00AF0C99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6A0C79">
        <w:rPr>
          <w:rFonts w:ascii="Times New Roman" w:hAnsi="Times New Roman"/>
          <w:sz w:val="24"/>
        </w:rPr>
        <w:t xml:space="preserve">Vzhľadom na to, že v rámci prípravy rozpočtu verejnej správy na roky 2013 až 2015 sa navrhujú aj zmeny v oblasti dôchodkového systému a zdravotného poistenia, zmenia sa aj príjmy a výdavky spojené so starnutím populácie. Z toho dôvodu je potrebné uvažovať aj s </w:t>
      </w:r>
      <w:r w:rsidRPr="006A0C79">
        <w:rPr>
          <w:rFonts w:ascii="Times New Roman" w:hAnsi="Times New Roman"/>
          <w:b/>
          <w:sz w:val="24"/>
        </w:rPr>
        <w:t>druhým scenárom, ktorý by zahrnul všetky navrhované zmeny</w:t>
      </w:r>
      <w:r w:rsidRPr="006A0C79">
        <w:rPr>
          <w:rFonts w:ascii="Times New Roman" w:hAnsi="Times New Roman"/>
          <w:sz w:val="24"/>
        </w:rPr>
        <w:t xml:space="preserve"> (navrhované zmeny a ich vplyvy sú detailne popísané v boxe). </w:t>
      </w:r>
    </w:p>
    <w:p w:rsidR="00AF0C99" w:rsidRPr="006A0C79" w:rsidP="00AF0C99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AF0C99" w:rsidRPr="006A0C79" w:rsidP="00AF0C99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tbl>
      <w:tblPr>
        <w:tblStyle w:val="TableNormal"/>
        <w:tblW w:w="9072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311"/>
        <w:gridCol w:w="681"/>
        <w:gridCol w:w="680"/>
        <w:gridCol w:w="680"/>
        <w:gridCol w:w="680"/>
        <w:gridCol w:w="680"/>
        <w:gridCol w:w="680"/>
        <w:gridCol w:w="680"/>
      </w:tblGrid>
      <w:tr>
        <w:tblPrEx>
          <w:tblW w:w="9072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9072" w:type="dxa"/>
            <w:gridSpan w:val="8"/>
            <w:tcBorders>
              <w:top w:val="nil"/>
              <w:left w:val="nil"/>
              <w:bottom w:val="none" w:sz="0" w:space="0" w:color="auto"/>
              <w:right w:val="nil"/>
            </w:tcBorders>
            <w:shd w:val="clear" w:color="000000" w:fill="A6A6A6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sk-SK"/>
              </w:rPr>
            </w:pPr>
            <w:r w:rsidRPr="006A0C79">
              <w:rPr>
                <w:rFonts w:ascii="Times New Roman" w:hAnsi="Times New Roman"/>
                <w:b/>
                <w:bCs/>
                <w:sz w:val="16"/>
                <w:szCs w:val="16"/>
                <w:lang w:eastAsia="sk-SK"/>
              </w:rPr>
              <w:t>Vplyv demografických zmien na príjmy a výdavky verejnej správy (% HDP, scenár po reforme z augusta 2012)</w:t>
            </w:r>
          </w:p>
        </w:tc>
      </w:tr>
      <w:tr>
        <w:tblPrEx>
          <w:tblW w:w="9072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extDirection w:val="lrTb"/>
            <w:vAlign w:val="bottom"/>
            <w:hideMark/>
          </w:tcPr>
          <w:p w:rsidR="00AF0C99" w:rsidRPr="006A0C79" w:rsidP="00CD67FF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sk-SK"/>
              </w:rPr>
            </w:pPr>
            <w:r w:rsidRPr="006A0C79">
              <w:rPr>
                <w:rFonts w:ascii="Times New Roman" w:hAnsi="Times New Roman"/>
                <w:b/>
                <w:bCs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k-SK"/>
              </w:rPr>
            </w:pPr>
            <w:r w:rsidRPr="006A0C79">
              <w:rPr>
                <w:rFonts w:ascii="Times New Roman" w:hAnsi="Times New Roman"/>
                <w:b/>
                <w:bCs/>
                <w:sz w:val="16"/>
                <w:szCs w:val="16"/>
                <w:lang w:eastAsia="sk-SK"/>
              </w:rPr>
              <w:t>2012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k-SK"/>
              </w:rPr>
            </w:pPr>
            <w:r w:rsidRPr="006A0C79">
              <w:rPr>
                <w:rFonts w:ascii="Times New Roman" w:hAnsi="Times New Roman"/>
                <w:b/>
                <w:bCs/>
                <w:sz w:val="16"/>
                <w:szCs w:val="16"/>
                <w:lang w:eastAsia="sk-SK"/>
              </w:rPr>
              <w:t>2013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k-SK"/>
              </w:rPr>
            </w:pPr>
            <w:r w:rsidRPr="006A0C79">
              <w:rPr>
                <w:rFonts w:ascii="Times New Roman" w:hAnsi="Times New Roman"/>
                <w:b/>
                <w:bCs/>
                <w:sz w:val="16"/>
                <w:szCs w:val="16"/>
                <w:lang w:eastAsia="sk-SK"/>
              </w:rPr>
              <w:t>2020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k-SK"/>
              </w:rPr>
            </w:pPr>
            <w:r w:rsidRPr="006A0C79">
              <w:rPr>
                <w:rFonts w:ascii="Times New Roman" w:hAnsi="Times New Roman"/>
                <w:b/>
                <w:bCs/>
                <w:sz w:val="16"/>
                <w:szCs w:val="16"/>
                <w:lang w:eastAsia="sk-SK"/>
              </w:rPr>
              <w:t>2030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k-SK"/>
              </w:rPr>
            </w:pPr>
            <w:r w:rsidRPr="006A0C79">
              <w:rPr>
                <w:rFonts w:ascii="Times New Roman" w:hAnsi="Times New Roman"/>
                <w:b/>
                <w:bCs/>
                <w:sz w:val="16"/>
                <w:szCs w:val="16"/>
                <w:lang w:eastAsia="sk-SK"/>
              </w:rPr>
              <w:t>2040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k-SK"/>
              </w:rPr>
            </w:pPr>
            <w:r w:rsidRPr="006A0C79">
              <w:rPr>
                <w:rFonts w:ascii="Times New Roman" w:hAnsi="Times New Roman"/>
                <w:b/>
                <w:bCs/>
                <w:sz w:val="16"/>
                <w:szCs w:val="16"/>
                <w:lang w:eastAsia="sk-SK"/>
              </w:rPr>
              <w:t>2050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k-SK"/>
              </w:rPr>
            </w:pPr>
            <w:r w:rsidRPr="006A0C79">
              <w:rPr>
                <w:rFonts w:ascii="Times New Roman" w:hAnsi="Times New Roman"/>
                <w:b/>
                <w:bCs/>
                <w:sz w:val="16"/>
                <w:szCs w:val="16"/>
                <w:lang w:eastAsia="sk-SK"/>
              </w:rPr>
              <w:t>2060</w:t>
            </w:r>
          </w:p>
        </w:tc>
      </w:tr>
      <w:tr>
        <w:tblPrEx>
          <w:tblW w:w="9072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4"/>
        </w:trPr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0C79">
              <w:rPr>
                <w:rFonts w:ascii="Times New Roman" w:hAnsi="Times New Roman"/>
                <w:b/>
                <w:bCs/>
                <w:sz w:val="16"/>
                <w:szCs w:val="16"/>
              </w:rPr>
              <w:t>A. Príjmy VS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0C79">
              <w:rPr>
                <w:rFonts w:ascii="Times New Roman" w:hAnsi="Times New Roman"/>
                <w:b/>
                <w:bCs/>
                <w:sz w:val="16"/>
                <w:szCs w:val="16"/>
              </w:rPr>
              <w:t>17,7%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0C79">
              <w:rPr>
                <w:rFonts w:ascii="Times New Roman" w:hAnsi="Times New Roman"/>
                <w:b/>
                <w:bCs/>
                <w:sz w:val="16"/>
                <w:szCs w:val="16"/>
              </w:rPr>
              <w:t>18,5%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0C79">
              <w:rPr>
                <w:rFonts w:ascii="Times New Roman" w:hAnsi="Times New Roman"/>
                <w:b/>
                <w:bCs/>
                <w:sz w:val="16"/>
                <w:szCs w:val="16"/>
              </w:rPr>
              <w:t>18,5%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0C79">
              <w:rPr>
                <w:rFonts w:ascii="Times New Roman" w:hAnsi="Times New Roman"/>
                <w:b/>
                <w:bCs/>
                <w:sz w:val="16"/>
                <w:szCs w:val="16"/>
              </w:rPr>
              <w:t>18,4%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0C79">
              <w:rPr>
                <w:rFonts w:ascii="Times New Roman" w:hAnsi="Times New Roman"/>
                <w:b/>
                <w:bCs/>
                <w:sz w:val="16"/>
                <w:szCs w:val="16"/>
              </w:rPr>
              <w:t>18,6%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0C79">
              <w:rPr>
                <w:rFonts w:ascii="Times New Roman" w:hAnsi="Times New Roman"/>
                <w:b/>
                <w:bCs/>
                <w:sz w:val="16"/>
                <w:szCs w:val="16"/>
              </w:rPr>
              <w:t>18,8%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0C79">
              <w:rPr>
                <w:rFonts w:ascii="Times New Roman" w:hAnsi="Times New Roman"/>
                <w:b/>
                <w:bCs/>
                <w:sz w:val="16"/>
                <w:szCs w:val="16"/>
              </w:rPr>
              <w:t>18,9%</w:t>
            </w:r>
          </w:p>
        </w:tc>
      </w:tr>
      <w:tr>
        <w:tblPrEx>
          <w:tblW w:w="9072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4"/>
        </w:trPr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AF0C99">
            <w:pPr>
              <w:bidi w:val="0"/>
              <w:spacing w:after="0" w:line="240" w:lineRule="auto"/>
              <w:ind w:firstLine="160" w:firstLineChars="100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 xml:space="preserve"> - dôchodkové poistenie (EAO + dlžné)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4,9%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5,6%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5,5%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5,5%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5,7%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5,9%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5,9%</w:t>
            </w:r>
          </w:p>
        </w:tc>
      </w:tr>
      <w:tr>
        <w:tblPrEx>
          <w:tblW w:w="9072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4"/>
        </w:trPr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AF0C99" w:rsidRPr="006A0C79" w:rsidP="00AF0C99">
            <w:pPr>
              <w:bidi w:val="0"/>
              <w:spacing w:after="0" w:line="240" w:lineRule="auto"/>
              <w:ind w:firstLine="160" w:firstLineChars="100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 xml:space="preserve"> - poistenie v nezamestnanosti (EAO + dlžné)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0,4%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0,4%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0,4%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0,4%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0,4%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0,4%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0,4%</w:t>
            </w:r>
          </w:p>
        </w:tc>
      </w:tr>
      <w:tr>
        <w:tblPrEx>
          <w:tblW w:w="9072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4"/>
        </w:trPr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AF0C99">
            <w:pPr>
              <w:bidi w:val="0"/>
              <w:spacing w:after="0" w:line="240" w:lineRule="auto"/>
              <w:ind w:firstLine="160" w:firstLineChars="100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 xml:space="preserve"> - zdravotné poistenie (EAO + dlžné)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3,4%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3,5%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3,5%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3,5%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3,5%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3,5%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3,5%</w:t>
            </w:r>
          </w:p>
        </w:tc>
      </w:tr>
      <w:tr>
        <w:tblPrEx>
          <w:tblW w:w="9072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4"/>
        </w:trPr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AF0C99">
            <w:pPr>
              <w:bidi w:val="0"/>
              <w:spacing w:after="0" w:line="240" w:lineRule="auto"/>
              <w:ind w:firstLine="160" w:firstLineChars="100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 xml:space="preserve"> - ostatné príjmy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9,1%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9,1%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9,1%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9,1%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9,1%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9,1%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9,1%</w:t>
            </w:r>
          </w:p>
        </w:tc>
      </w:tr>
      <w:tr>
        <w:tblPrEx>
          <w:tblW w:w="9072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4"/>
        </w:trPr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0C79">
              <w:rPr>
                <w:rFonts w:ascii="Times New Roman" w:hAnsi="Times New Roman"/>
                <w:b/>
                <w:bCs/>
                <w:sz w:val="16"/>
                <w:szCs w:val="16"/>
              </w:rPr>
              <w:t>B. Výdavky citlivé na starnutie populácie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0C79">
              <w:rPr>
                <w:rFonts w:ascii="Times New Roman" w:hAnsi="Times New Roman"/>
                <w:b/>
                <w:bCs/>
                <w:sz w:val="16"/>
                <w:szCs w:val="16"/>
              </w:rPr>
              <w:t>17,7%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0C79">
              <w:rPr>
                <w:rFonts w:ascii="Times New Roman" w:hAnsi="Times New Roman"/>
                <w:b/>
                <w:bCs/>
                <w:sz w:val="16"/>
                <w:szCs w:val="16"/>
              </w:rPr>
              <w:t>17,8%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0C79">
              <w:rPr>
                <w:rFonts w:ascii="Times New Roman" w:hAnsi="Times New Roman"/>
                <w:b/>
                <w:bCs/>
                <w:sz w:val="16"/>
                <w:szCs w:val="16"/>
              </w:rPr>
              <w:t>18,2%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0C79">
              <w:rPr>
                <w:rFonts w:ascii="Times New Roman" w:hAnsi="Times New Roman"/>
                <w:b/>
                <w:bCs/>
                <w:sz w:val="16"/>
                <w:szCs w:val="16"/>
              </w:rPr>
              <w:t>18,9%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0C79">
              <w:rPr>
                <w:rFonts w:ascii="Times New Roman" w:hAnsi="Times New Roman"/>
                <w:b/>
                <w:bCs/>
                <w:sz w:val="16"/>
                <w:szCs w:val="16"/>
              </w:rPr>
              <w:t>19,9%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0C79">
              <w:rPr>
                <w:rFonts w:ascii="Times New Roman" w:hAnsi="Times New Roman"/>
                <w:b/>
                <w:bCs/>
                <w:sz w:val="16"/>
                <w:szCs w:val="16"/>
              </w:rPr>
              <w:t>21,6%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0C79">
              <w:rPr>
                <w:rFonts w:ascii="Times New Roman" w:hAnsi="Times New Roman"/>
                <w:b/>
                <w:bCs/>
                <w:sz w:val="16"/>
                <w:szCs w:val="16"/>
              </w:rPr>
              <w:t>23,6%</w:t>
            </w:r>
          </w:p>
        </w:tc>
      </w:tr>
      <w:tr>
        <w:tblPrEx>
          <w:tblW w:w="9072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4"/>
        </w:trPr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AF0C99">
            <w:pPr>
              <w:bidi w:val="0"/>
              <w:spacing w:after="0" w:line="240" w:lineRule="auto"/>
              <w:ind w:firstLine="160" w:firstLineChars="100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 xml:space="preserve"> - dôchodkové dávky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7,9%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7,9%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8,2%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8,3%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8,9%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9,9%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11,5%</w:t>
            </w:r>
          </w:p>
        </w:tc>
      </w:tr>
      <w:tr>
        <w:tblPrEx>
          <w:tblW w:w="9072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4"/>
        </w:trPr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AF0C99">
            <w:pPr>
              <w:bidi w:val="0"/>
              <w:spacing w:after="0" w:line="240" w:lineRule="auto"/>
              <w:ind w:firstLine="160" w:firstLineChars="100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 xml:space="preserve"> - zdravotná starostlivosť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6,3%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6,4%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6,8%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7,3%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7,8%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8,1%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8,3%</w:t>
            </w:r>
          </w:p>
        </w:tc>
      </w:tr>
      <w:tr>
        <w:tblPrEx>
          <w:tblW w:w="9072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4"/>
        </w:trPr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AF0C99">
            <w:pPr>
              <w:bidi w:val="0"/>
              <w:spacing w:after="0" w:line="240" w:lineRule="auto"/>
              <w:ind w:firstLine="160" w:firstLineChars="100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 xml:space="preserve"> - dlhodobá starostlivosť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0,3%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0,3%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0,3%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0,4%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0,5%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0,6%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0,7%</w:t>
            </w:r>
          </w:p>
        </w:tc>
      </w:tr>
      <w:tr>
        <w:tblPrEx>
          <w:tblW w:w="9072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4"/>
        </w:trPr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AF0C99" w:rsidRPr="006A0C79" w:rsidP="00AF0C99">
            <w:pPr>
              <w:bidi w:val="0"/>
              <w:spacing w:after="0" w:line="240" w:lineRule="auto"/>
              <w:ind w:firstLine="160" w:firstLineChars="100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 xml:space="preserve"> - školstvo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3,0%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2,9%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2,8%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2,8%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2,7%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2,8%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3,0%</w:t>
            </w:r>
          </w:p>
        </w:tc>
      </w:tr>
      <w:tr>
        <w:tblPrEx>
          <w:tblW w:w="9072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4"/>
        </w:trPr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center"/>
            <w:hideMark/>
          </w:tcPr>
          <w:p w:rsidR="00AF0C99" w:rsidRPr="006A0C79" w:rsidP="00AF0C99">
            <w:pPr>
              <w:bidi w:val="0"/>
              <w:spacing w:after="0" w:line="240" w:lineRule="auto"/>
              <w:ind w:firstLine="160" w:firstLineChars="100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 xml:space="preserve"> - dávky v nezamestnanosti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0,2%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0,2%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0,1%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0,1%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0,1%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0,1%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sz w:val="16"/>
                <w:szCs w:val="16"/>
              </w:rPr>
              <w:t>0,1%</w:t>
            </w:r>
          </w:p>
        </w:tc>
      </w:tr>
      <w:tr>
        <w:tblPrEx>
          <w:tblW w:w="9072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4"/>
        </w:trPr>
        <w:tc>
          <w:tcPr>
            <w:tcW w:w="4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0C79">
              <w:rPr>
                <w:rFonts w:ascii="Times New Roman" w:hAnsi="Times New Roman"/>
                <w:b/>
                <w:bCs/>
                <w:sz w:val="16"/>
                <w:szCs w:val="16"/>
              </w:rPr>
              <w:t>C. Primárne saldo (A-B)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0C79">
              <w:rPr>
                <w:rFonts w:ascii="Times New Roman" w:hAnsi="Times New Roman"/>
                <w:b/>
                <w:bCs/>
                <w:sz w:val="16"/>
                <w:szCs w:val="16"/>
              </w:rPr>
              <w:t>0,1%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0C79">
              <w:rPr>
                <w:rFonts w:ascii="Times New Roman" w:hAnsi="Times New Roman"/>
                <w:b/>
                <w:bCs/>
                <w:sz w:val="16"/>
                <w:szCs w:val="16"/>
              </w:rPr>
              <w:t>0,7%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0C79">
              <w:rPr>
                <w:rFonts w:ascii="Times New Roman" w:hAnsi="Times New Roman"/>
                <w:b/>
                <w:bCs/>
                <w:sz w:val="16"/>
                <w:szCs w:val="16"/>
              </w:rPr>
              <w:t>0,3%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0C79">
              <w:rPr>
                <w:rFonts w:ascii="Times New Roman" w:hAnsi="Times New Roman"/>
                <w:b/>
                <w:bCs/>
                <w:sz w:val="16"/>
                <w:szCs w:val="16"/>
              </w:rPr>
              <w:t>-0,5%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0C79">
              <w:rPr>
                <w:rFonts w:ascii="Times New Roman" w:hAnsi="Times New Roman"/>
                <w:b/>
                <w:bCs/>
                <w:sz w:val="16"/>
                <w:szCs w:val="16"/>
              </w:rPr>
              <w:t>-1,3%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0C79">
              <w:rPr>
                <w:rFonts w:ascii="Times New Roman" w:hAnsi="Times New Roman"/>
                <w:b/>
                <w:bCs/>
                <w:sz w:val="16"/>
                <w:szCs w:val="16"/>
              </w:rPr>
              <w:t>-2,7%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A0C79">
              <w:rPr>
                <w:rFonts w:ascii="Times New Roman" w:hAnsi="Times New Roman"/>
                <w:b/>
                <w:bCs/>
                <w:sz w:val="16"/>
                <w:szCs w:val="16"/>
              </w:rPr>
              <w:t>-4,7%</w:t>
            </w:r>
          </w:p>
        </w:tc>
      </w:tr>
      <w:tr>
        <w:tblPrEx>
          <w:tblW w:w="9072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4"/>
        </w:trPr>
        <w:tc>
          <w:tcPr>
            <w:tcW w:w="4311" w:type="dxa"/>
            <w:tcBorders>
              <w:top w:val="single" w:sz="4" w:space="0" w:color="auto"/>
              <w:left w:val="nil"/>
              <w:bottom w:val="none" w:sz="0" w:space="0" w:color="auto"/>
              <w:right w:val="nil"/>
            </w:tcBorders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6A0C79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p.m. nominálny rast HDP (v %)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none" w:sz="0" w:space="0" w:color="auto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6A0C79">
              <w:rPr>
                <w:rFonts w:ascii="Times New Roman" w:hAnsi="Times New Roman"/>
                <w:i/>
                <w:iCs/>
                <w:sz w:val="16"/>
                <w:szCs w:val="16"/>
              </w:rPr>
              <w:t>3,7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one" w:sz="0" w:space="0" w:color="auto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6A0C79">
              <w:rPr>
                <w:rFonts w:ascii="Times New Roman" w:hAnsi="Times New Roman"/>
                <w:i/>
                <w:iCs/>
                <w:sz w:val="16"/>
                <w:szCs w:val="16"/>
              </w:rPr>
              <w:t>3,9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one" w:sz="0" w:space="0" w:color="auto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6A0C79">
              <w:rPr>
                <w:rFonts w:ascii="Times New Roman" w:hAnsi="Times New Roman"/>
                <w:i/>
                <w:iCs/>
                <w:sz w:val="16"/>
                <w:szCs w:val="16"/>
              </w:rPr>
              <w:t>5,0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one" w:sz="0" w:space="0" w:color="auto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6A0C79">
              <w:rPr>
                <w:rFonts w:ascii="Times New Roman" w:hAnsi="Times New Roman"/>
                <w:i/>
                <w:iCs/>
                <w:sz w:val="16"/>
                <w:szCs w:val="16"/>
              </w:rPr>
              <w:t>3,7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one" w:sz="0" w:space="0" w:color="auto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6A0C79">
              <w:rPr>
                <w:rFonts w:ascii="Times New Roman" w:hAnsi="Times New Roman"/>
                <w:i/>
                <w:iCs/>
                <w:sz w:val="16"/>
                <w:szCs w:val="16"/>
              </w:rPr>
              <w:t>2,9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one" w:sz="0" w:space="0" w:color="auto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6A0C79">
              <w:rPr>
                <w:rFonts w:ascii="Times New Roman" w:hAnsi="Times New Roman"/>
                <w:i/>
                <w:iCs/>
                <w:sz w:val="16"/>
                <w:szCs w:val="16"/>
              </w:rPr>
              <w:t>2,6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one" w:sz="0" w:space="0" w:color="auto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6A0C79">
              <w:rPr>
                <w:rFonts w:ascii="Times New Roman" w:hAnsi="Times New Roman"/>
                <w:i/>
                <w:iCs/>
                <w:sz w:val="16"/>
                <w:szCs w:val="16"/>
              </w:rPr>
              <w:t>3,0</w:t>
            </w:r>
          </w:p>
        </w:tc>
      </w:tr>
      <w:tr>
        <w:tblPrEx>
          <w:tblW w:w="9072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4"/>
        </w:trPr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 xml:space="preserve"> p.m. nominálna úroková miera (v %)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6A0C79">
              <w:rPr>
                <w:rFonts w:ascii="Times New Roman" w:hAnsi="Times New Roman"/>
                <w:i/>
                <w:iCs/>
                <w:sz w:val="16"/>
                <w:szCs w:val="16"/>
              </w:rPr>
              <w:t>4,3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6A0C79">
              <w:rPr>
                <w:rFonts w:ascii="Times New Roman" w:hAnsi="Times New Roman"/>
                <w:i/>
                <w:iCs/>
                <w:sz w:val="16"/>
                <w:szCs w:val="16"/>
              </w:rPr>
              <w:t>3,9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6A0C79">
              <w:rPr>
                <w:rFonts w:ascii="Times New Roman" w:hAnsi="Times New Roman"/>
                <w:i/>
                <w:iCs/>
                <w:sz w:val="16"/>
                <w:szCs w:val="16"/>
              </w:rPr>
              <w:t>5,1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6A0C79">
              <w:rPr>
                <w:rFonts w:ascii="Times New Roman" w:hAnsi="Times New Roman"/>
                <w:i/>
                <w:iCs/>
                <w:sz w:val="16"/>
                <w:szCs w:val="16"/>
              </w:rPr>
              <w:t>5,1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6A0C79">
              <w:rPr>
                <w:rFonts w:ascii="Times New Roman" w:hAnsi="Times New Roman"/>
                <w:i/>
                <w:iCs/>
                <w:sz w:val="16"/>
                <w:szCs w:val="16"/>
              </w:rPr>
              <w:t>5,1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6A0C79">
              <w:rPr>
                <w:rFonts w:ascii="Times New Roman" w:hAnsi="Times New Roman"/>
                <w:i/>
                <w:iCs/>
                <w:sz w:val="16"/>
                <w:szCs w:val="16"/>
              </w:rPr>
              <w:t>5,1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6A0C79">
              <w:rPr>
                <w:rFonts w:ascii="Times New Roman" w:hAnsi="Times New Roman"/>
                <w:i/>
                <w:iCs/>
                <w:sz w:val="16"/>
                <w:szCs w:val="16"/>
              </w:rPr>
              <w:t>5,1</w:t>
            </w:r>
          </w:p>
        </w:tc>
      </w:tr>
      <w:tr>
        <w:tblPrEx>
          <w:tblW w:w="9072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4"/>
        </w:trPr>
        <w:tc>
          <w:tcPr>
            <w:tcW w:w="431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AF0C99" w:rsidRPr="006A0C79" w:rsidP="00CD67F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AF0C99" w:rsidRPr="006A0C79" w:rsidP="00CD67F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AF0C99" w:rsidRPr="006A0C79" w:rsidP="00CD67F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AF0C99" w:rsidRPr="006A0C79" w:rsidP="00CD67F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AF0C99" w:rsidRPr="006A0C79" w:rsidP="00CD67F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AF0C99" w:rsidRPr="006A0C79" w:rsidP="00CD67FF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6A0C79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  <w:lang w:eastAsia="sk-SK"/>
              </w:rPr>
              <w:t>Zdroj: MF SR, EK</w:t>
            </w:r>
          </w:p>
        </w:tc>
      </w:tr>
    </w:tbl>
    <w:p w:rsidR="00AF0C99" w:rsidRPr="006A0C79" w:rsidP="00AF0C99">
      <w:pPr>
        <w:bidi w:val="0"/>
        <w:spacing w:after="0" w:line="240" w:lineRule="auto"/>
        <w:jc w:val="both"/>
        <w:rPr>
          <w:rFonts w:ascii="Times New Roman" w:hAnsi="Times New Roman"/>
        </w:rPr>
      </w:pPr>
    </w:p>
    <w:p w:rsidR="00AF0C99" w:rsidRPr="006A0C79" w:rsidP="00AF0C99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6A0C79">
        <w:rPr>
          <w:rFonts w:ascii="Times New Roman" w:hAnsi="Times New Roman"/>
          <w:sz w:val="24"/>
        </w:rPr>
        <w:t xml:space="preserve">V tomto prípade je zhoršenie salda v roku 2060 v porovnaní s rokom 2012 nižšie, primárne saldo sa zhorší o 4,7 p. b. </w:t>
      </w:r>
    </w:p>
    <w:p w:rsidR="00AF0C99" w:rsidRPr="006A0C79" w:rsidP="00AF0C99">
      <w:pPr>
        <w:bidi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TableNormal"/>
        <w:tblpPr w:leftFromText="141" w:rightFromText="141" w:vertAnchor="text" w:tblpXSpec="center" w:tblpY="1"/>
        <w:tblOverlap w:val="never"/>
        <w:tblW w:w="9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</w:tblPr>
      <w:tblGrid>
        <w:gridCol w:w="9212"/>
      </w:tblGrid>
      <w:tr>
        <w:tblPrEx>
          <w:tblW w:w="914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96"/>
        </w:trPr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AF0C99" w:rsidRPr="006A0C79" w:rsidP="00AF0C99">
            <w:pPr>
              <w:bidi w:val="0"/>
              <w:suppressOverlap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bookmarkStart w:id="0" w:name="_Toc323117600"/>
            <w:r w:rsidRPr="006A0C79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BOX </w:t>
            </w:r>
            <w:r w:rsidRPr="006A0C79">
              <w:rPr>
                <w:rFonts w:ascii="Times New Roman" w:hAnsi="Times New Roman"/>
              </w:rPr>
              <w:t>–</w:t>
            </w:r>
            <w:r w:rsidRPr="006A0C79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bookmarkEnd w:id="0"/>
            <w:r w:rsidRPr="006A0C79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Opatrenia vplývajúce na príjmy a výdavky spojené so starnutím populácie </w:t>
            </w:r>
          </w:p>
          <w:p w:rsidR="00AF0C99" w:rsidRPr="006A0C79" w:rsidP="00776820">
            <w:pPr>
              <w:bidi w:val="0"/>
              <w:suppressOverlap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0C79">
              <w:rPr>
                <w:rFonts w:ascii="Times New Roman" w:hAnsi="Times New Roman"/>
                <w:sz w:val="20"/>
                <w:szCs w:val="20"/>
              </w:rPr>
              <w:t>Súčasťou konsolidačného balíčka sú nasledovné opatrenia v dôchodkovom systéme a systéme zdravotného poistenia, ktoré vplývajú na dlhodobú udržateľnosť verejných financií:</w:t>
            </w:r>
          </w:p>
          <w:p w:rsidR="00AF0C99" w:rsidRPr="006A0C79" w:rsidP="00776820">
            <w:pPr>
              <w:bidi w:val="0"/>
              <w:suppressOverlap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0C79">
              <w:rPr>
                <w:rFonts w:ascii="Times New Roman" w:hAnsi="Times New Roman"/>
                <w:b/>
                <w:sz w:val="20"/>
                <w:szCs w:val="20"/>
              </w:rPr>
              <w:t>Zmeny v II. pilieri dôchodkového systému</w:t>
            </w:r>
          </w:p>
          <w:p w:rsidR="00AF0C99" w:rsidRPr="006A0C79" w:rsidP="00776820">
            <w:pPr>
              <w:bidi w:val="0"/>
              <w:suppressOverlap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0C79">
              <w:rPr>
                <w:rFonts w:ascii="Times New Roman" w:hAnsi="Times New Roman"/>
                <w:sz w:val="20"/>
                <w:szCs w:val="20"/>
              </w:rPr>
              <w:t xml:space="preserve">Národná rada SR schválila </w:t>
            </w:r>
            <w:r w:rsidRPr="006A0C79">
              <w:rPr>
                <w:rFonts w:ascii="Times New Roman" w:hAnsi="Times New Roman"/>
                <w:b/>
                <w:sz w:val="20"/>
                <w:szCs w:val="20"/>
              </w:rPr>
              <w:t>zníženie príspevkovej sadzby do druhého piliera</w:t>
            </w:r>
            <w:r w:rsidRPr="006A0C79">
              <w:rPr>
                <w:rFonts w:ascii="Times New Roman" w:hAnsi="Times New Roman"/>
                <w:sz w:val="20"/>
                <w:szCs w:val="20"/>
              </w:rPr>
              <w:t xml:space="preserve"> (kapitalizačný pilier) dôchodkového systému </w:t>
            </w:r>
            <w:r w:rsidRPr="006A0C79">
              <w:rPr>
                <w:rFonts w:ascii="Times New Roman" w:hAnsi="Times New Roman"/>
                <w:b/>
                <w:sz w:val="20"/>
                <w:szCs w:val="20"/>
              </w:rPr>
              <w:t>zo súčasných 9 percent na 4 percentá od 1.</w:t>
            </w:r>
            <w:r w:rsidR="006A0C7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A0C79">
              <w:rPr>
                <w:rFonts w:ascii="Times New Roman" w:hAnsi="Times New Roman"/>
                <w:b/>
                <w:sz w:val="20"/>
                <w:szCs w:val="20"/>
              </w:rPr>
              <w:t>septembra 2012. Od roku 2017 sa príspevková sadzba bude zvyšovať ročne o 0,25 p.</w:t>
            </w:r>
            <w:r w:rsidR="006A0C7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A0C79">
              <w:rPr>
                <w:rFonts w:ascii="Times New Roman" w:hAnsi="Times New Roman"/>
                <w:b/>
                <w:sz w:val="20"/>
                <w:szCs w:val="20"/>
              </w:rPr>
              <w:t xml:space="preserve">b. až do roku 2024, kedy dosiahne konečnú úroveň </w:t>
            </w:r>
            <w:r w:rsidR="006A0C79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6A0C79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6A0C79">
              <w:rPr>
                <w:rFonts w:ascii="Times New Roman" w:hAnsi="Times New Roman"/>
                <w:b/>
                <w:sz w:val="20"/>
                <w:szCs w:val="20"/>
              </w:rPr>
              <w:t xml:space="preserve"> %</w:t>
            </w:r>
            <w:r w:rsidRPr="006A0C79">
              <w:rPr>
                <w:rFonts w:ascii="Times New Roman" w:hAnsi="Times New Roman"/>
                <w:b/>
                <w:sz w:val="20"/>
                <w:szCs w:val="20"/>
              </w:rPr>
              <w:t>. Zároveň sa od toho istého dátumu do konca januára 2013 umožnil výstup resp. vstup do tohto piliera.</w:t>
            </w:r>
            <w:r w:rsidRPr="006A0C79">
              <w:rPr>
                <w:rFonts w:ascii="Times New Roman" w:hAnsi="Times New Roman"/>
                <w:sz w:val="20"/>
                <w:szCs w:val="20"/>
              </w:rPr>
              <w:t xml:space="preserve"> Vzhľadom na to, že časť príspevkov odvádzaných do súkromných dôchodkových správcovských spoločností sa presmeruje do sektora verejnej správy, dôjde tým k okamžitému navýšeniu príjmov podľa ESA95. Výraznou zmenou je zároveň zmena </w:t>
            </w:r>
            <w:r w:rsidRPr="006A0C79">
              <w:rPr>
                <w:rFonts w:ascii="Times New Roman" w:hAnsi="Times New Roman"/>
                <w:b/>
                <w:sz w:val="20"/>
                <w:szCs w:val="20"/>
              </w:rPr>
              <w:t>pravidiel pre vstup nových účastníkov na trhu práce</w:t>
            </w:r>
            <w:r w:rsidRPr="006A0C79">
              <w:rPr>
                <w:rFonts w:ascii="Times New Roman" w:hAnsi="Times New Roman"/>
                <w:sz w:val="20"/>
                <w:szCs w:val="20"/>
              </w:rPr>
              <w:t>, kedy sa automaticky nestávajú účastníkmi II. piliera, ale o vstup musia sami žiadať (rozhodnúť sa môžu do veku 35 rokov). Tieto opatrenia budú v budúcnosti viesť ku vyšším výdavkom z priebežného piliera</w:t>
            </w:r>
            <w:r w:rsidRPr="006A0C7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A0C79">
              <w:rPr>
                <w:rFonts w:ascii="Times New Roman" w:hAnsi="Times New Roman"/>
                <w:sz w:val="20"/>
                <w:szCs w:val="20"/>
              </w:rPr>
              <w:t>dôchodkového systému.</w:t>
            </w:r>
          </w:p>
          <w:p w:rsidR="00AF0C99" w:rsidRPr="006A0C79" w:rsidP="00776820">
            <w:pPr>
              <w:bidi w:val="0"/>
              <w:suppressOverlap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0C79">
              <w:rPr>
                <w:rFonts w:ascii="Times New Roman" w:hAnsi="Times New Roman"/>
                <w:b/>
                <w:sz w:val="20"/>
                <w:szCs w:val="20"/>
              </w:rPr>
              <w:t xml:space="preserve">Naviazanie valorizačného mechanizmu dôchodkov na dôchodcovskú infláciu </w:t>
            </w:r>
          </w:p>
          <w:p w:rsidR="00AF0C99" w:rsidRPr="006A0C79" w:rsidP="00776820">
            <w:pPr>
              <w:bidi w:val="0"/>
              <w:suppressOverlap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0C79">
              <w:rPr>
                <w:rFonts w:ascii="Times New Roman" w:hAnsi="Times New Roman"/>
                <w:sz w:val="20"/>
                <w:szCs w:val="20"/>
              </w:rPr>
              <w:t xml:space="preserve">Súčasný spôsob zvyšovania dôchodkov (50 percent inflácia a 50 percent rast priemernej nominálnej mzdy v ekonomike) v sebe kombinuje jednoduchosť administrácie a dôchodcom z časti umožňuje benefitovať z rastu reálnych príjmov v ekonomike. Jeho hlavnou nevýhodou v porovnaní s inflačnou indexáciou sú rozpočtové náklady, ktoré majú  významný vplyv z pohľadu dlhodobej udržateľnosti systému. Súčasný návrh novelizácie dôchodkového systému predpokladá zmenu valorizačného mechanizmu dôchodkov s cieľom zvyšovať </w:t>
            </w:r>
            <w:r w:rsidRPr="006A0C79">
              <w:rPr>
                <w:rFonts w:ascii="Times New Roman" w:hAnsi="Times New Roman"/>
                <w:b/>
                <w:sz w:val="20"/>
                <w:szCs w:val="20"/>
              </w:rPr>
              <w:t>dôchodky percentuálne v závislosti len od inflácie za domácnosti dôchodcov (dôchodcovská inflácia)</w:t>
            </w:r>
            <w:r w:rsidRPr="006A0C79">
              <w:rPr>
                <w:rFonts w:ascii="Times New Roman" w:hAnsi="Times New Roman"/>
                <w:sz w:val="20"/>
                <w:szCs w:val="20"/>
              </w:rPr>
              <w:t xml:space="preserve"> od roku 2018. </w:t>
            </w:r>
          </w:p>
          <w:p w:rsidR="00AF0C99" w:rsidRPr="006A0C79" w:rsidP="00776820">
            <w:pPr>
              <w:bidi w:val="0"/>
              <w:suppressOverlap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0C79">
              <w:rPr>
                <w:rFonts w:ascii="Times New Roman" w:hAnsi="Times New Roman"/>
                <w:sz w:val="20"/>
                <w:szCs w:val="20"/>
              </w:rPr>
              <w:t xml:space="preserve">V období rokov 2013 až 2017 sa dôchodky budú dočasne zvyšovať o fixnú sumu vypočítanú ako percento valorizácie pre priemernú výšku daného typu dôchodkovej dávky (je stanovených viacero skupín, pre ktoré sa fixná suma počíta preto, aby nedochádzalo k neželaným redistribúciám napr. medzi nízkymi pozostalostnými dôchodkami a klasickými starobnými dôchodkami). V priebehu rokov 2014 až 2017 sa postupne bude zvyšovať váha inflácie </w:t>
            </w:r>
            <w:r w:rsidRPr="006A0C79">
              <w:rPr>
                <w:rFonts w:ascii="Times New Roman" w:hAnsi="Times New Roman"/>
                <w:i/>
                <w:sz w:val="20"/>
                <w:szCs w:val="20"/>
              </w:rPr>
              <w:t xml:space="preserve">zo súčasných 50 </w:t>
            </w:r>
            <w:r w:rsidR="006A0C79">
              <w:rPr>
                <w:rFonts w:ascii="Times New Roman" w:hAnsi="Times New Roman"/>
                <w:i/>
                <w:sz w:val="20"/>
                <w:szCs w:val="20"/>
              </w:rPr>
              <w:t>%</w:t>
            </w:r>
            <w:r w:rsidRPr="006A0C79">
              <w:rPr>
                <w:rFonts w:ascii="Times New Roman" w:hAnsi="Times New Roman"/>
                <w:i/>
                <w:sz w:val="20"/>
                <w:szCs w:val="20"/>
              </w:rPr>
              <w:t xml:space="preserve"> na 90 </w:t>
            </w:r>
            <w:r w:rsidR="006A0C79">
              <w:rPr>
                <w:rFonts w:ascii="Times New Roman" w:hAnsi="Times New Roman"/>
                <w:i/>
                <w:sz w:val="20"/>
                <w:szCs w:val="20"/>
              </w:rPr>
              <w:t>%</w:t>
            </w:r>
            <w:r w:rsidRPr="006A0C79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F0C99" w:rsidRPr="006A0C79" w:rsidP="00776820">
            <w:pPr>
              <w:bidi w:val="0"/>
              <w:suppressOverlap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0C79">
              <w:rPr>
                <w:rFonts w:ascii="Times New Roman" w:hAnsi="Times New Roman"/>
                <w:b/>
                <w:sz w:val="20"/>
                <w:szCs w:val="20"/>
              </w:rPr>
              <w:t>Zvýšenie maximálnych vymeriavacích základov</w:t>
            </w:r>
          </w:p>
          <w:p w:rsidR="00AF0C99" w:rsidRPr="006A0C79" w:rsidP="00776820">
            <w:pPr>
              <w:bidi w:val="0"/>
              <w:suppressOverlap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0C79">
              <w:rPr>
                <w:rFonts w:ascii="Times New Roman" w:hAnsi="Times New Roman"/>
                <w:sz w:val="20"/>
                <w:szCs w:val="20"/>
              </w:rPr>
              <w:t xml:space="preserve">Od roku 2013 sa </w:t>
            </w:r>
            <w:r w:rsidRPr="006A0C79">
              <w:rPr>
                <w:rFonts w:ascii="Times New Roman" w:hAnsi="Times New Roman"/>
                <w:b/>
                <w:sz w:val="20"/>
                <w:szCs w:val="20"/>
              </w:rPr>
              <w:t>zvýšia maximálne vymeriavacie základy pre platenie sociálneho a zdravotného poistenia na 5-násobok priemernej mzdy</w:t>
            </w:r>
            <w:r w:rsidRPr="006A0C79">
              <w:rPr>
                <w:rFonts w:ascii="Times New Roman" w:hAnsi="Times New Roman"/>
                <w:sz w:val="20"/>
                <w:szCs w:val="20"/>
              </w:rPr>
              <w:t xml:space="preserve"> v ekonomike, čo znamená zvýšenie príjmov tohto systému aj v dlhodobom horizonte. Toto opatrenie nebude mať vplyv na výdavky, keďže toto zvýšenie nebude znamenať zvýšenie dôchodkových nárokov poistenca. </w:t>
            </w:r>
          </w:p>
          <w:p w:rsidR="00AF0C99" w:rsidRPr="006A0C79" w:rsidP="00776820">
            <w:pPr>
              <w:bidi w:val="0"/>
              <w:suppressOverlap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0C79">
              <w:rPr>
                <w:rFonts w:ascii="Times New Roman" w:hAnsi="Times New Roman"/>
                <w:b/>
                <w:sz w:val="20"/>
                <w:szCs w:val="20"/>
              </w:rPr>
              <w:t>Naviazanie dôchodkového veku na vývoj strednej dĺžky života</w:t>
            </w:r>
          </w:p>
          <w:p w:rsidR="00AF0C99" w:rsidRPr="006A0C79" w:rsidP="00776820">
            <w:pPr>
              <w:bidi w:val="0"/>
              <w:suppressOverlap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0C79">
              <w:rPr>
                <w:rFonts w:ascii="Times New Roman" w:hAnsi="Times New Roman"/>
                <w:sz w:val="20"/>
                <w:szCs w:val="20"/>
              </w:rPr>
              <w:t>Vzhľadom na stále prebiehajúci proces zvyšovania dôchodkového veku pre ženy sa väzba medzi úpravou dôchodkového veku a strednou dĺžkou života zavedie až po tom, ako bezdetné ženy dosiahnu rovnaký dôchodkový vek ako muži (od roku 2017). Aby boli zmeny hladké a rovnomerné, bude sa zohľadňovať päťročný kĺzavý priemer strednej dĺžky života. Pri súčasných demografických projekciách</w:t>
            </w:r>
            <w:r w:rsidRPr="006A0C7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A0C79">
              <w:rPr>
                <w:rFonts w:ascii="Times New Roman" w:hAnsi="Times New Roman"/>
                <w:sz w:val="20"/>
                <w:szCs w:val="20"/>
              </w:rPr>
              <w:t xml:space="preserve">by to znamenalo ročný nárast dôchodkového veku približne </w:t>
            </w:r>
            <w:r w:rsidRPr="006A0C79">
              <w:rPr>
                <w:rFonts w:ascii="Times New Roman" w:hAnsi="Times New Roman"/>
                <w:i/>
                <w:sz w:val="20"/>
                <w:szCs w:val="20"/>
              </w:rPr>
              <w:t>o približne 50 dní</w:t>
            </w:r>
            <w:r w:rsidRPr="006A0C7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F0C99" w:rsidRPr="006A0C79" w:rsidP="00776820">
            <w:pPr>
              <w:bidi w:val="0"/>
              <w:suppressOverlap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0C79">
              <w:rPr>
                <w:rFonts w:ascii="Times New Roman" w:hAnsi="Times New Roman"/>
                <w:b/>
                <w:sz w:val="20"/>
                <w:szCs w:val="20"/>
              </w:rPr>
              <w:t>Posilnenie solidarity pri priznávaní dôchodkových dávok z priebežného piliera</w:t>
            </w:r>
          </w:p>
          <w:p w:rsidR="00AF0C99" w:rsidRPr="006A0C79" w:rsidP="00776820">
            <w:pPr>
              <w:bidi w:val="0"/>
              <w:suppressOverlap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0C79">
              <w:rPr>
                <w:rFonts w:ascii="Times New Roman" w:hAnsi="Times New Roman"/>
                <w:sz w:val="20"/>
                <w:szCs w:val="20"/>
              </w:rPr>
              <w:t>Tento cieľ sa dosiahne</w:t>
            </w:r>
            <w:r w:rsidRPr="006A0C7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A0C79">
              <w:rPr>
                <w:rFonts w:ascii="Times New Roman" w:hAnsi="Times New Roman"/>
                <w:sz w:val="20"/>
                <w:szCs w:val="20"/>
              </w:rPr>
              <w:t xml:space="preserve">úpravou koeficientov solidarity, kde sa nízke dôchodky mierne zvyšujú a vyššie dôchodky naopak mierne redukujú. Toto opatrenie bude mať postupný nábeh od roku 2013 do roku 2018 tak, aby nedochádzalo k vytváraniu veľkých rozdielov vo výškach dôchodkov ľudí s identickými parametrami (odpracované roky, kariérny príjem). Toto opatrenie je navrhnuté tak, aby </w:t>
            </w:r>
            <w:r w:rsidRPr="006A0C79">
              <w:rPr>
                <w:rFonts w:ascii="Times New Roman" w:hAnsi="Times New Roman"/>
                <w:b/>
                <w:sz w:val="20"/>
                <w:szCs w:val="20"/>
              </w:rPr>
              <w:t>v krátkodobom, ale aj dlhodobom horizonte malo neutrálny vplyv na výšku výdavkov na dôchodky</w:t>
            </w:r>
            <w:r w:rsidRPr="006A0C79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F0C99" w:rsidRPr="006A0C79" w:rsidP="00776820">
            <w:pPr>
              <w:bidi w:val="0"/>
              <w:suppressOverlap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0C79">
              <w:rPr>
                <w:rFonts w:ascii="Times New Roman" w:hAnsi="Times New Roman"/>
                <w:sz w:val="20"/>
                <w:szCs w:val="20"/>
              </w:rPr>
              <w:t xml:space="preserve">Nasledujúce grafy ukazujú príspevky jednotlivých opatrení k zmene primárneho salda verejnej správy. Zvyšovanie maximálnych vymeriavacích základov a posilnenie solidarity sú v grafe ukázané spolu s inými opatreniami, keďže tieto majú samostatne len zanedbateľný vplyv na dlhodobé projekcie príjmov a výdavkov spojených so starnutím populácie. </w:t>
            </w:r>
          </w:p>
          <w:tbl>
            <w:tblPr>
              <w:tblStyle w:val="TableNormal"/>
              <w:tblW w:w="9072" w:type="dxa"/>
              <w:jc w:val="center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CellMar>
                <w:left w:w="70" w:type="dxa"/>
                <w:right w:w="70" w:type="dxa"/>
              </w:tblCellMar>
              <w:tblLook w:val="01E0"/>
            </w:tblPr>
            <w:tblGrid>
              <w:gridCol w:w="4389"/>
              <w:gridCol w:w="253"/>
              <w:gridCol w:w="4430"/>
            </w:tblGrid>
            <w:tr>
              <w:tblPrEx>
                <w:tblW w:w="9072" w:type="dxa"/>
                <w:jc w:val="center"/>
                <w:tbl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  <w:insideH w:val="single" w:sz="4" w:space="0" w:color="C0C0C0"/>
                  <w:insideV w:val="single" w:sz="4" w:space="0" w:color="C0C0C0"/>
                </w:tblBorders>
                <w:tblCellMar>
                  <w:left w:w="70" w:type="dxa"/>
                  <w:right w:w="70" w:type="dxa"/>
                </w:tblCellMar>
                <w:tblLook w:val="01E0"/>
              </w:tblPrEx>
              <w:trPr>
                <w:trHeight w:val="161"/>
                <w:jc w:val="center"/>
              </w:trPr>
              <w:tc>
                <w:tcPr>
                  <w:tcW w:w="4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textDirection w:val="lrTb"/>
                  <w:vAlign w:val="center"/>
                </w:tcPr>
                <w:p w:rsidR="00AF0C99" w:rsidRPr="006A0C79" w:rsidP="00AF0C99">
                  <w:pPr>
                    <w:bidi w:val="0"/>
                    <w:suppressOverlap/>
                    <w:rPr>
                      <w:rFonts w:ascii="Times New Roman" w:hAnsi="Times New Roman"/>
                      <w:b/>
                      <w:sz w:val="20"/>
                    </w:rPr>
                  </w:pPr>
                  <w:r w:rsidRPr="006A0C79">
                    <w:rPr>
                      <w:rFonts w:ascii="Times New Roman" w:hAnsi="Times New Roman"/>
                      <w:b/>
                      <w:sz w:val="20"/>
                    </w:rPr>
                    <w:t>Zmena primárneho salda VS kvôli starnutiu populácie (% HDP, v porovnaní s rokom 2012)</w:t>
                  </w:r>
                </w:p>
              </w:tc>
              <w:tc>
                <w:tcPr>
                  <w:tcW w:w="253" w:type="dxa"/>
                  <w:tcBorders>
                    <w:top w:val="single" w:sz="4" w:space="0" w:color="C0C0C0"/>
                    <w:left w:val="single" w:sz="4" w:space="0" w:color="auto"/>
                    <w:bottom w:val="single" w:sz="4" w:space="0" w:color="C0C0C0"/>
                    <w:right w:val="single" w:sz="4" w:space="0" w:color="auto"/>
                  </w:tcBorders>
                  <w:textDirection w:val="lrTb"/>
                  <w:vAlign w:val="top"/>
                </w:tcPr>
                <w:p w:rsidR="00AF0C99" w:rsidRPr="006A0C79" w:rsidP="00AF0C99">
                  <w:pPr>
                    <w:bidi w:val="0"/>
                    <w:suppressOverlap/>
                    <w:rPr>
                      <w:rFonts w:ascii="Times New Roman" w:hAnsi="Times New Roman"/>
                      <w:b/>
                      <w:color w:val="FFFFFF"/>
                      <w:sz w:val="20"/>
                    </w:rPr>
                  </w:pPr>
                </w:p>
              </w:tc>
              <w:tc>
                <w:tcPr>
                  <w:tcW w:w="4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textDirection w:val="lrTb"/>
                  <w:vAlign w:val="top"/>
                </w:tcPr>
                <w:p w:rsidR="00AF0C99" w:rsidRPr="006A0C79" w:rsidP="00AF0C99">
                  <w:pPr>
                    <w:bidi w:val="0"/>
                    <w:suppressOverlap/>
                    <w:rPr>
                      <w:rFonts w:ascii="Times New Roman" w:hAnsi="Times New Roman"/>
                      <w:b/>
                      <w:sz w:val="20"/>
                    </w:rPr>
                  </w:pPr>
                  <w:r w:rsidRPr="006A0C79">
                    <w:rPr>
                      <w:rFonts w:ascii="Times New Roman" w:hAnsi="Times New Roman"/>
                      <w:b/>
                      <w:sz w:val="20"/>
                    </w:rPr>
                    <w:t>Príspevky jednotlivých opatrení na zmenu primárneho salda VS (% HDP, oproti scenáru nezmenených politík)</w:t>
                  </w:r>
                </w:p>
              </w:tc>
            </w:tr>
            <w:tr>
              <w:tblPrEx>
                <w:tblW w:w="9072" w:type="dxa"/>
                <w:jc w:val="center"/>
                <w:tblCellMar>
                  <w:left w:w="70" w:type="dxa"/>
                  <w:right w:w="70" w:type="dxa"/>
                </w:tblCellMar>
                <w:tblLook w:val="01E0"/>
              </w:tblPrEx>
              <w:trPr>
                <w:trHeight w:val="1531"/>
                <w:jc w:val="center"/>
              </w:trPr>
              <w:tc>
                <w:tcPr>
                  <w:tcW w:w="4389" w:type="dxa"/>
                  <w:tcBorders>
                    <w:top w:val="single" w:sz="4" w:space="0" w:color="auto"/>
                    <w:left w:val="single" w:sz="4" w:space="0" w:color="C0C0C0"/>
                    <w:bottom w:val="single" w:sz="4" w:space="0" w:color="auto"/>
                    <w:right w:val="single" w:sz="4" w:space="0" w:color="C0C0C0"/>
                  </w:tcBorders>
                  <w:textDirection w:val="lrTb"/>
                  <w:vAlign w:val="top"/>
                </w:tcPr>
                <w:p w:rsidR="00AF0C99" w:rsidRPr="006A0C79" w:rsidP="00AF0C99">
                  <w:pPr>
                    <w:bidi w:val="0"/>
                    <w:spacing w:before="40" w:after="40"/>
                    <w:suppressOverlap/>
                    <w:rPr>
                      <w:rFonts w:ascii="Times New Roman" w:hAnsi="Times New Roman"/>
                      <w:b/>
                      <w:sz w:val="16"/>
                    </w:rPr>
                  </w:pPr>
                  <w:r>
                    <w:rPr>
                      <w:rFonts w:ascii="Times New Roman" w:hAnsi="Times New Roman"/>
                      <w:b/>
                      <w:noProof/>
                      <w:sz w:val="16"/>
                      <w:rtl w:val="0"/>
                      <w:lang w:eastAsia="sk-SK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obrázek 1" o:spid="_x0000_i1025" type="#_x0000_t75" style="width:212.05pt;height:149.07pt;visibility:visible" filled="f" stroked="f">
                        <v:fill o:detectmouseclick="f"/>
                        <v:imagedata r:id="rId6" o:title=""/>
                        <o:lock v:ext="edit" aspectratio="t"/>
                      </v:shape>
                    </w:pict>
                  </w:r>
                </w:p>
              </w:tc>
              <w:tc>
                <w:tcPr>
                  <w:tcW w:w="253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textDirection w:val="lrTb"/>
                  <w:vAlign w:val="top"/>
                </w:tcPr>
                <w:p w:rsidR="00AF0C99" w:rsidRPr="006A0C79" w:rsidP="00AF0C99">
                  <w:pPr>
                    <w:bidi w:val="0"/>
                    <w:spacing w:before="40" w:after="40"/>
                    <w:suppressOverlap/>
                    <w:rPr>
                      <w:rFonts w:ascii="Times New Roman" w:hAnsi="Times New Roman"/>
                      <w:b/>
                      <w:sz w:val="16"/>
                    </w:rPr>
                  </w:pPr>
                </w:p>
              </w:tc>
              <w:tc>
                <w:tcPr>
                  <w:tcW w:w="4430" w:type="dxa"/>
                  <w:tcBorders>
                    <w:top w:val="single" w:sz="4" w:space="0" w:color="auto"/>
                    <w:left w:val="single" w:sz="4" w:space="0" w:color="C0C0C0"/>
                    <w:bottom w:val="single" w:sz="4" w:space="0" w:color="auto"/>
                    <w:right w:val="single" w:sz="4" w:space="0" w:color="C0C0C0"/>
                  </w:tcBorders>
                  <w:textDirection w:val="lrTb"/>
                  <w:vAlign w:val="top"/>
                </w:tcPr>
                <w:p w:rsidR="00AF0C99" w:rsidRPr="006A0C79" w:rsidP="00AF0C99">
                  <w:pPr>
                    <w:bidi w:val="0"/>
                    <w:spacing w:before="40" w:after="40"/>
                    <w:suppressOverlap/>
                    <w:rPr>
                      <w:rFonts w:ascii="Times New Roman" w:hAnsi="Times New Roman"/>
                      <w:b/>
                      <w:sz w:val="16"/>
                    </w:rPr>
                  </w:pPr>
                  <w:r>
                    <w:rPr>
                      <w:rFonts w:ascii="Times New Roman" w:hAnsi="Times New Roman"/>
                      <w:b/>
                      <w:noProof/>
                      <w:sz w:val="16"/>
                      <w:rtl w:val="0"/>
                      <w:lang w:eastAsia="sk-SK"/>
                    </w:rPr>
                    <w:pict>
                      <v:shape id="obrázek 2" o:spid="_x0000_i1026" type="#_x0000_t75" style="width:214.35pt;height:150.7pt;visibility:visible" filled="f" stroked="f">
                        <v:fill o:detectmouseclick="f"/>
                        <v:imagedata r:id="rId7" o:title=""/>
                        <o:lock v:ext="edit" aspectratio="t"/>
                      </v:shape>
                    </w:pict>
                  </w:r>
                </w:p>
              </w:tc>
            </w:tr>
            <w:tr>
              <w:tblPrEx>
                <w:tblW w:w="9072" w:type="dxa"/>
                <w:jc w:val="center"/>
                <w:tblCellMar>
                  <w:left w:w="70" w:type="dxa"/>
                  <w:right w:w="70" w:type="dxa"/>
                </w:tblCellMar>
                <w:tblLook w:val="01E0"/>
              </w:tblPrEx>
              <w:trPr>
                <w:jc w:val="center"/>
              </w:trPr>
              <w:tc>
                <w:tcPr>
                  <w:tcW w:w="4389" w:type="dxa"/>
                  <w:tcBorders>
                    <w:top w:val="single" w:sz="4" w:space="0" w:color="auto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textDirection w:val="lrTb"/>
                  <w:vAlign w:val="top"/>
                </w:tcPr>
                <w:p w:rsidR="00AF0C99" w:rsidRPr="006A0C79" w:rsidP="00AF0C99">
                  <w:pPr>
                    <w:bidi w:val="0"/>
                    <w:spacing w:before="40" w:after="40"/>
                    <w:suppressOverlap/>
                    <w:jc w:val="right"/>
                    <w:rPr>
                      <w:rFonts w:ascii="Times New Roman" w:hAnsi="Times New Roman"/>
                      <w:i/>
                      <w:sz w:val="16"/>
                    </w:rPr>
                  </w:pPr>
                  <w:r w:rsidRPr="006A0C79">
                    <w:rPr>
                      <w:rFonts w:ascii="Times New Roman" w:hAnsi="Times New Roman"/>
                      <w:i/>
                      <w:sz w:val="16"/>
                    </w:rPr>
                    <w:t>Zdroj: MF SR</w:t>
                  </w:r>
                </w:p>
              </w:tc>
              <w:tc>
                <w:tcPr>
                  <w:tcW w:w="253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textDirection w:val="lrTb"/>
                  <w:vAlign w:val="top"/>
                </w:tcPr>
                <w:p w:rsidR="00AF0C99" w:rsidRPr="006A0C79" w:rsidP="00AF0C99">
                  <w:pPr>
                    <w:bidi w:val="0"/>
                    <w:spacing w:before="40" w:after="40"/>
                    <w:suppressOverlap/>
                    <w:jc w:val="right"/>
                    <w:rPr>
                      <w:rFonts w:ascii="Times New Roman" w:hAnsi="Times New Roman"/>
                      <w:i/>
                      <w:sz w:val="16"/>
                    </w:rPr>
                  </w:pPr>
                </w:p>
              </w:tc>
              <w:tc>
                <w:tcPr>
                  <w:tcW w:w="4430" w:type="dxa"/>
                  <w:tcBorders>
                    <w:top w:val="single" w:sz="4" w:space="0" w:color="auto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textDirection w:val="lrTb"/>
                  <w:vAlign w:val="top"/>
                </w:tcPr>
                <w:p w:rsidR="00AF0C99" w:rsidRPr="006A0C79" w:rsidP="00AF0C99">
                  <w:pPr>
                    <w:bidi w:val="0"/>
                    <w:spacing w:before="40" w:after="40"/>
                    <w:suppressOverlap/>
                    <w:jc w:val="right"/>
                    <w:rPr>
                      <w:rFonts w:ascii="Times New Roman" w:hAnsi="Times New Roman"/>
                      <w:i/>
                      <w:sz w:val="16"/>
                    </w:rPr>
                  </w:pPr>
                  <w:r w:rsidRPr="006A0C79">
                    <w:rPr>
                      <w:rFonts w:ascii="Times New Roman" w:hAnsi="Times New Roman"/>
                      <w:i/>
                      <w:sz w:val="16"/>
                    </w:rPr>
                    <w:t>Zdroj: MF SR</w:t>
                  </w:r>
                </w:p>
              </w:tc>
            </w:tr>
          </w:tbl>
          <w:p w:rsidR="00AF0C99" w:rsidRPr="006A0C79" w:rsidP="00CD67FF">
            <w:pPr>
              <w:autoSpaceDE w:val="0"/>
              <w:autoSpaceDN w:val="0"/>
              <w:bidi w:val="0"/>
              <w:adjustRightInd w:val="0"/>
              <w:spacing w:after="0" w:line="240" w:lineRule="auto"/>
              <w:suppressOverlap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0C79">
              <w:rPr>
                <w:rFonts w:ascii="Times New Roman" w:hAnsi="Times New Roman"/>
                <w:sz w:val="20"/>
                <w:szCs w:val="20"/>
              </w:rPr>
              <w:t xml:space="preserve">Dôvody zmeny primárneho salda kvôli starnutiu populácie možno názornejšie ukázať na vývoji príjmov a výdavkov dôchodkového poistenia. </w:t>
            </w:r>
          </w:p>
          <w:p w:rsidR="00776820" w:rsidRPr="006A0C79" w:rsidP="00CD67FF">
            <w:pPr>
              <w:autoSpaceDE w:val="0"/>
              <w:autoSpaceDN w:val="0"/>
              <w:bidi w:val="0"/>
              <w:adjustRightInd w:val="0"/>
              <w:spacing w:after="0" w:line="240" w:lineRule="auto"/>
              <w:suppressOverlap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76820" w:rsidRPr="006A0C79" w:rsidP="00CD67FF">
            <w:pPr>
              <w:autoSpaceDE w:val="0"/>
              <w:autoSpaceDN w:val="0"/>
              <w:bidi w:val="0"/>
              <w:adjustRightInd w:val="0"/>
              <w:spacing w:after="0" w:line="240" w:lineRule="auto"/>
              <w:suppressOverlap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76820" w:rsidRPr="006A0C79" w:rsidP="00CD67FF">
            <w:pPr>
              <w:autoSpaceDE w:val="0"/>
              <w:autoSpaceDN w:val="0"/>
              <w:bidi w:val="0"/>
              <w:adjustRightInd w:val="0"/>
              <w:spacing w:after="0" w:line="240" w:lineRule="auto"/>
              <w:suppressOverlap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76820" w:rsidRPr="006A0C79" w:rsidP="00CD67FF">
            <w:pPr>
              <w:autoSpaceDE w:val="0"/>
              <w:autoSpaceDN w:val="0"/>
              <w:bidi w:val="0"/>
              <w:adjustRightInd w:val="0"/>
              <w:spacing w:after="0" w:line="240" w:lineRule="auto"/>
              <w:suppressOverlap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F0C99" w:rsidRPr="006A0C79" w:rsidP="00CD67FF">
            <w:pPr>
              <w:bidi w:val="0"/>
              <w:spacing w:after="0" w:line="240" w:lineRule="auto"/>
              <w:suppressOverlap/>
              <w:rPr>
                <w:rFonts w:ascii="Times New Roman" w:hAnsi="Times New Roman"/>
                <w:lang w:eastAsia="sk-SK"/>
              </w:rPr>
            </w:pPr>
          </w:p>
          <w:tbl>
            <w:tblPr>
              <w:tblStyle w:val="TableNormal"/>
              <w:tblW w:w="9072" w:type="dxa"/>
              <w:jc w:val="center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CellMar>
                <w:left w:w="70" w:type="dxa"/>
                <w:right w:w="70" w:type="dxa"/>
              </w:tblCellMar>
              <w:tblLook w:val="01E0"/>
            </w:tblPr>
            <w:tblGrid>
              <w:gridCol w:w="4430"/>
              <w:gridCol w:w="212"/>
              <w:gridCol w:w="4430"/>
            </w:tblGrid>
            <w:tr>
              <w:tblPrEx>
                <w:tblW w:w="9072" w:type="dxa"/>
                <w:jc w:val="center"/>
                <w:tbl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  <w:insideH w:val="single" w:sz="4" w:space="0" w:color="C0C0C0"/>
                  <w:insideV w:val="single" w:sz="4" w:space="0" w:color="C0C0C0"/>
                </w:tblBorders>
                <w:tblCellMar>
                  <w:left w:w="70" w:type="dxa"/>
                  <w:right w:w="70" w:type="dxa"/>
                </w:tblCellMar>
                <w:tblLook w:val="01E0"/>
              </w:tblPrEx>
              <w:trPr>
                <w:trHeight w:val="161"/>
                <w:jc w:val="center"/>
              </w:trPr>
              <w:tc>
                <w:tcPr>
                  <w:tcW w:w="4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textDirection w:val="lrTb"/>
                  <w:vAlign w:val="center"/>
                </w:tcPr>
                <w:p w:rsidR="00AF0C99" w:rsidRPr="006A0C79" w:rsidP="00AF0C99">
                  <w:pPr>
                    <w:bidi w:val="0"/>
                    <w:spacing w:before="40" w:after="40"/>
                    <w:suppressOverlap/>
                    <w:rPr>
                      <w:rFonts w:ascii="Times New Roman" w:hAnsi="Times New Roman"/>
                      <w:b/>
                      <w:sz w:val="20"/>
                    </w:rPr>
                  </w:pPr>
                  <w:r w:rsidRPr="006A0C79">
                    <w:rPr>
                      <w:rFonts w:ascii="Times New Roman" w:hAnsi="Times New Roman"/>
                      <w:b/>
                      <w:sz w:val="20"/>
                    </w:rPr>
                    <w:t xml:space="preserve">Vývoj príjmov z dôchodkového poistenia </w:t>
                  </w:r>
                  <w:r w:rsidR="006A0C79">
                    <w:rPr>
                      <w:rFonts w:ascii="Times New Roman" w:hAnsi="Times New Roman"/>
                      <w:b/>
                      <w:sz w:val="20"/>
                    </w:rPr>
                    <w:br/>
                  </w:r>
                  <w:r w:rsidRPr="006A0C79">
                    <w:rPr>
                      <w:rFonts w:ascii="Times New Roman" w:hAnsi="Times New Roman"/>
                      <w:b/>
                      <w:sz w:val="20"/>
                    </w:rPr>
                    <w:t>(% HDP)</w:t>
                  </w:r>
                </w:p>
              </w:tc>
              <w:tc>
                <w:tcPr>
                  <w:tcW w:w="293" w:type="dxa"/>
                  <w:tcBorders>
                    <w:top w:val="single" w:sz="4" w:space="0" w:color="C0C0C0"/>
                    <w:left w:val="single" w:sz="4" w:space="0" w:color="auto"/>
                    <w:bottom w:val="single" w:sz="4" w:space="0" w:color="C0C0C0"/>
                    <w:right w:val="single" w:sz="4" w:space="0" w:color="auto"/>
                  </w:tcBorders>
                  <w:textDirection w:val="lrTb"/>
                  <w:vAlign w:val="center"/>
                </w:tcPr>
                <w:p w:rsidR="00AF0C99" w:rsidRPr="006A0C79" w:rsidP="00AF0C99">
                  <w:pPr>
                    <w:bidi w:val="0"/>
                    <w:spacing w:before="60" w:after="60"/>
                    <w:suppressOverlap/>
                    <w:rPr>
                      <w:rFonts w:ascii="Times New Roman" w:hAnsi="Times New Roman"/>
                      <w:b/>
                      <w:color w:val="FFFFFF"/>
                      <w:sz w:val="20"/>
                    </w:rPr>
                  </w:pPr>
                </w:p>
              </w:tc>
              <w:tc>
                <w:tcPr>
                  <w:tcW w:w="4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textDirection w:val="lrTb"/>
                  <w:vAlign w:val="center"/>
                </w:tcPr>
                <w:p w:rsidR="00AF0C99" w:rsidRPr="006A0C79" w:rsidP="00AF0C99">
                  <w:pPr>
                    <w:bidi w:val="0"/>
                    <w:spacing w:before="40" w:after="40"/>
                    <w:suppressOverlap/>
                    <w:rPr>
                      <w:rFonts w:ascii="Times New Roman" w:hAnsi="Times New Roman"/>
                      <w:b/>
                      <w:sz w:val="20"/>
                    </w:rPr>
                  </w:pPr>
                  <w:r w:rsidRPr="006A0C79">
                    <w:rPr>
                      <w:rFonts w:ascii="Times New Roman" w:hAnsi="Times New Roman"/>
                      <w:b/>
                      <w:sz w:val="20"/>
                    </w:rPr>
                    <w:t>Vývoj výdavkov na dôchodkové dávky (% HDP)</w:t>
                  </w:r>
                </w:p>
              </w:tc>
            </w:tr>
            <w:tr>
              <w:tblPrEx>
                <w:tblW w:w="9072" w:type="dxa"/>
                <w:jc w:val="center"/>
                <w:tblCellMar>
                  <w:left w:w="70" w:type="dxa"/>
                  <w:right w:w="70" w:type="dxa"/>
                </w:tblCellMar>
                <w:tblLook w:val="01E0"/>
              </w:tblPrEx>
              <w:trPr>
                <w:trHeight w:val="1531"/>
                <w:jc w:val="center"/>
              </w:trPr>
              <w:tc>
                <w:tcPr>
                  <w:tcW w:w="4390" w:type="dxa"/>
                  <w:tcBorders>
                    <w:top w:val="single" w:sz="4" w:space="0" w:color="auto"/>
                    <w:left w:val="single" w:sz="4" w:space="0" w:color="C0C0C0"/>
                    <w:bottom w:val="single" w:sz="4" w:space="0" w:color="auto"/>
                    <w:right w:val="single" w:sz="4" w:space="0" w:color="C0C0C0"/>
                  </w:tcBorders>
                  <w:textDirection w:val="lrTb"/>
                  <w:vAlign w:val="top"/>
                </w:tcPr>
                <w:p w:rsidR="00AF0C99" w:rsidRPr="006A0C79" w:rsidP="00AF0C99">
                  <w:pPr>
                    <w:bidi w:val="0"/>
                    <w:spacing w:before="40" w:after="40"/>
                    <w:suppressOverlap/>
                    <w:rPr>
                      <w:rFonts w:ascii="Times New Roman" w:hAnsi="Times New Roman"/>
                      <w:b/>
                      <w:sz w:val="16"/>
                    </w:rPr>
                  </w:pPr>
                  <w:r>
                    <w:rPr>
                      <w:rFonts w:ascii="Times New Roman" w:hAnsi="Times New Roman"/>
                      <w:b/>
                      <w:noProof/>
                      <w:sz w:val="16"/>
                      <w:rtl w:val="0"/>
                      <w:lang w:eastAsia="sk-SK"/>
                    </w:rPr>
                    <w:pict>
                      <v:shape id="Picture 5" o:spid="_x0000_i1027" type="#_x0000_t75" style="width:214.29pt;height:149.19pt;visibility:visible" filled="f" stroked="f">
                        <v:fill o:detectmouseclick="f"/>
                        <v:imagedata r:id="rId8" o:title=""/>
                        <o:lock v:ext="edit" aspectratio="t"/>
                      </v:shape>
                    </w:pict>
                  </w:r>
                </w:p>
              </w:tc>
              <w:tc>
                <w:tcPr>
                  <w:tcW w:w="293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textDirection w:val="lrTb"/>
                  <w:vAlign w:val="top"/>
                </w:tcPr>
                <w:p w:rsidR="00AF0C99" w:rsidRPr="006A0C79" w:rsidP="00AF0C99">
                  <w:pPr>
                    <w:bidi w:val="0"/>
                    <w:spacing w:before="40" w:after="40"/>
                    <w:suppressOverlap/>
                    <w:rPr>
                      <w:rFonts w:ascii="Times New Roman" w:hAnsi="Times New Roman"/>
                      <w:b/>
                      <w:sz w:val="16"/>
                    </w:rPr>
                  </w:pPr>
                </w:p>
              </w:tc>
              <w:tc>
                <w:tcPr>
                  <w:tcW w:w="4389" w:type="dxa"/>
                  <w:tcBorders>
                    <w:top w:val="single" w:sz="4" w:space="0" w:color="auto"/>
                    <w:left w:val="single" w:sz="4" w:space="0" w:color="C0C0C0"/>
                    <w:bottom w:val="single" w:sz="4" w:space="0" w:color="auto"/>
                    <w:right w:val="single" w:sz="4" w:space="0" w:color="C0C0C0"/>
                  </w:tcBorders>
                  <w:textDirection w:val="lrTb"/>
                  <w:vAlign w:val="top"/>
                </w:tcPr>
                <w:p w:rsidR="00AF0C99" w:rsidRPr="006A0C79" w:rsidP="00AF0C99">
                  <w:pPr>
                    <w:bidi w:val="0"/>
                    <w:spacing w:before="40" w:after="40"/>
                    <w:suppressOverlap/>
                    <w:rPr>
                      <w:rFonts w:ascii="Times New Roman" w:hAnsi="Times New Roman"/>
                      <w:b/>
                      <w:sz w:val="16"/>
                    </w:rPr>
                  </w:pPr>
                  <w:r>
                    <w:rPr>
                      <w:rFonts w:ascii="Times New Roman" w:hAnsi="Times New Roman"/>
                      <w:b/>
                      <w:noProof/>
                      <w:sz w:val="16"/>
                      <w:rtl w:val="0"/>
                      <w:lang w:eastAsia="sk-SK"/>
                    </w:rPr>
                    <w:pict>
                      <v:shape id="Picture 6" o:spid="_x0000_i1028" type="#_x0000_t75" style="width:214.59pt;height:147pt;visibility:visible" filled="f" stroked="f">
                        <v:fill o:detectmouseclick="f"/>
                        <v:imagedata r:id="rId9" o:title=""/>
                        <o:lock v:ext="edit" aspectratio="t"/>
                      </v:shape>
                    </w:pict>
                  </w:r>
                </w:p>
              </w:tc>
            </w:tr>
            <w:tr>
              <w:tblPrEx>
                <w:tblW w:w="9072" w:type="dxa"/>
                <w:jc w:val="center"/>
                <w:tblCellMar>
                  <w:left w:w="70" w:type="dxa"/>
                  <w:right w:w="70" w:type="dxa"/>
                </w:tblCellMar>
                <w:tblLook w:val="01E0"/>
              </w:tblPrEx>
              <w:trPr>
                <w:jc w:val="center"/>
              </w:trPr>
              <w:tc>
                <w:tcPr>
                  <w:tcW w:w="4390" w:type="dxa"/>
                  <w:tcBorders>
                    <w:top w:val="single" w:sz="4" w:space="0" w:color="auto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textDirection w:val="lrTb"/>
                  <w:vAlign w:val="top"/>
                </w:tcPr>
                <w:p w:rsidR="00AF0C99" w:rsidRPr="006A0C79" w:rsidP="00AF0C99">
                  <w:pPr>
                    <w:bidi w:val="0"/>
                    <w:spacing w:before="40" w:after="40"/>
                    <w:suppressOverlap/>
                    <w:jc w:val="right"/>
                    <w:rPr>
                      <w:rFonts w:ascii="Times New Roman" w:hAnsi="Times New Roman"/>
                      <w:i/>
                      <w:sz w:val="16"/>
                    </w:rPr>
                  </w:pPr>
                  <w:r w:rsidRPr="006A0C79">
                    <w:rPr>
                      <w:rFonts w:ascii="Times New Roman" w:hAnsi="Times New Roman"/>
                      <w:i/>
                      <w:sz w:val="16"/>
                    </w:rPr>
                    <w:t>Zdroj: MF SR</w:t>
                  </w:r>
                </w:p>
              </w:tc>
              <w:tc>
                <w:tcPr>
                  <w:tcW w:w="293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textDirection w:val="lrTb"/>
                  <w:vAlign w:val="top"/>
                </w:tcPr>
                <w:p w:rsidR="00AF0C99" w:rsidRPr="006A0C79" w:rsidP="00AF0C99">
                  <w:pPr>
                    <w:bidi w:val="0"/>
                    <w:spacing w:before="40" w:after="40"/>
                    <w:suppressOverlap/>
                    <w:jc w:val="right"/>
                    <w:rPr>
                      <w:rFonts w:ascii="Times New Roman" w:hAnsi="Times New Roman"/>
                      <w:i/>
                      <w:sz w:val="16"/>
                    </w:rPr>
                  </w:pPr>
                </w:p>
              </w:tc>
              <w:tc>
                <w:tcPr>
                  <w:tcW w:w="4389" w:type="dxa"/>
                  <w:tcBorders>
                    <w:top w:val="single" w:sz="4" w:space="0" w:color="auto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textDirection w:val="lrTb"/>
                  <w:vAlign w:val="top"/>
                </w:tcPr>
                <w:p w:rsidR="00AF0C99" w:rsidRPr="006A0C79" w:rsidP="00AF0C99">
                  <w:pPr>
                    <w:bidi w:val="0"/>
                    <w:spacing w:before="40" w:after="40"/>
                    <w:suppressOverlap/>
                    <w:jc w:val="right"/>
                    <w:rPr>
                      <w:rFonts w:ascii="Times New Roman" w:hAnsi="Times New Roman"/>
                      <w:i/>
                      <w:sz w:val="16"/>
                    </w:rPr>
                  </w:pPr>
                  <w:r w:rsidRPr="006A0C79">
                    <w:rPr>
                      <w:rFonts w:ascii="Times New Roman" w:hAnsi="Times New Roman"/>
                      <w:i/>
                      <w:sz w:val="16"/>
                    </w:rPr>
                    <w:t>Zdroj: MF SR</w:t>
                  </w:r>
                </w:p>
              </w:tc>
            </w:tr>
          </w:tbl>
          <w:p w:rsidR="00AF0C99" w:rsidRPr="006A0C79" w:rsidP="00CD67FF">
            <w:pPr>
              <w:pStyle w:val="ListParagraph"/>
              <w:bidi w:val="0"/>
              <w:spacing w:after="0" w:line="240" w:lineRule="auto"/>
              <w:suppressOverlap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C99" w:rsidRPr="006A0C79" w:rsidP="00CD67FF">
            <w:pPr>
              <w:bidi w:val="0"/>
              <w:suppressOverlap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0C79">
              <w:rPr>
                <w:rFonts w:ascii="Times New Roman" w:hAnsi="Times New Roman"/>
                <w:sz w:val="20"/>
                <w:szCs w:val="20"/>
              </w:rPr>
              <w:t>Vplyvy jednotlivých opatrení na príjmy a výdavky systému dôchodkového poistenia možno popísať nasledovne:</w:t>
            </w:r>
          </w:p>
          <w:p w:rsidR="00AF0C99" w:rsidRPr="006A0C79" w:rsidP="00CD67FF">
            <w:pPr>
              <w:pStyle w:val="ListParagraph"/>
              <w:numPr>
                <w:numId w:val="3"/>
              </w:numPr>
              <w:bidi w:val="0"/>
              <w:spacing w:after="0" w:line="240" w:lineRule="auto"/>
              <w:suppressOverlap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0C79">
              <w:rPr>
                <w:rFonts w:ascii="Times New Roman" w:hAnsi="Times New Roman" w:cs="Times New Roman"/>
                <w:b/>
                <w:sz w:val="20"/>
                <w:szCs w:val="20"/>
              </w:rPr>
              <w:t>II. pilier</w:t>
            </w:r>
            <w:r w:rsidRPr="006A0C79">
              <w:rPr>
                <w:rFonts w:ascii="Times New Roman" w:hAnsi="Times New Roman" w:cs="Times New Roman"/>
                <w:sz w:val="20"/>
                <w:szCs w:val="20"/>
              </w:rPr>
              <w:t xml:space="preserve"> – zníženie príspevkovej sadzby na starobné dôchodkové sporenie z</w:t>
            </w:r>
            <w:r w:rsidR="006A0C7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A0C7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A0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0C79">
              <w:rPr>
                <w:rFonts w:ascii="Times New Roman" w:hAnsi="Times New Roman" w:cs="Times New Roman"/>
                <w:sz w:val="20"/>
                <w:szCs w:val="20"/>
              </w:rPr>
              <w:t>% na 4</w:t>
            </w:r>
            <w:r w:rsidR="006A0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0C79">
              <w:rPr>
                <w:rFonts w:ascii="Times New Roman" w:hAnsi="Times New Roman" w:cs="Times New Roman"/>
                <w:sz w:val="20"/>
                <w:szCs w:val="20"/>
              </w:rPr>
              <w:t>% a jej následný rast na 6</w:t>
            </w:r>
            <w:r w:rsidR="006A0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0C79">
              <w:rPr>
                <w:rFonts w:ascii="Times New Roman" w:hAnsi="Times New Roman" w:cs="Times New Roman"/>
                <w:sz w:val="20"/>
                <w:szCs w:val="20"/>
              </w:rPr>
              <w:t>% spolu so zavedením dobrovoľného vstupu pre nových na trhu práce vedie k okamžitému nárastu príjmov priebežného piliera a zároveň k nárastu výdavkov v budúcnosti. Vzhľadom k otvoreniam v rokoch 2008, 2009 a dobrovoľnému vstupu v rokoch 2008 až 2011 (veľmi nízky podiel tých, čo vtedy prvýkrát vstúpili na trh práce, vstupovalo do druhého piliera), budú v budúcnosti niektoré vekové skupiny dôchodcov poberať dôchodky iba z prvého piliera, čo sa prejaví okolo roku 2050 zvýšením výdavkov priebežného piliera už v základnom scenári. Zníženie príspevkovej sadzby a zdobrovoľnenie vstupu do druhého piliera preto v spomínanom období prinesie menšiu úsporu výdavkov. Z hľadiska salda príjmov a výdavkov preto došlo k posunu pozitívnych vplyvov z existencie II. piliera až za horizont roka 2060 (v projektovanom období do roku 2060 prevažujú teda najmä transformačné náklady).</w:t>
            </w:r>
          </w:p>
          <w:p w:rsidR="00AF0C99" w:rsidRPr="006A0C79" w:rsidP="00CD67FF">
            <w:pPr>
              <w:pStyle w:val="ListParagraph"/>
              <w:bidi w:val="0"/>
              <w:spacing w:after="0" w:line="240" w:lineRule="auto"/>
              <w:suppressOverlap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C99" w:rsidRPr="006A0C79" w:rsidP="00CD67FF">
            <w:pPr>
              <w:pStyle w:val="ListParagraph"/>
              <w:numPr>
                <w:numId w:val="3"/>
              </w:numPr>
              <w:bidi w:val="0"/>
              <w:spacing w:after="0" w:line="240" w:lineRule="auto"/>
              <w:suppressOverlap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0C79">
              <w:rPr>
                <w:rFonts w:ascii="Times New Roman" w:hAnsi="Times New Roman" w:cs="Times New Roman"/>
                <w:b/>
                <w:sz w:val="20"/>
                <w:szCs w:val="20"/>
              </w:rPr>
              <w:t>Valorizácia</w:t>
            </w:r>
            <w:r w:rsidRPr="006A0C79">
              <w:rPr>
                <w:rFonts w:ascii="Times New Roman" w:hAnsi="Times New Roman" w:cs="Times New Roman"/>
                <w:sz w:val="20"/>
                <w:szCs w:val="20"/>
              </w:rPr>
              <w:t xml:space="preserve"> – prechod na valorizáciu dôchodkov podľa tzv. dôchodcovskej inflácie bude viesť k výraznej úspore výdavkov. Ide o najvýznamnejšiu parametrickú zmenu priebežného piliera s pozitívnym vplyvom na udržateľnosť dôchodkového systému. </w:t>
            </w:r>
          </w:p>
          <w:p w:rsidR="00AF0C99" w:rsidRPr="006A0C79" w:rsidP="00CD67FF">
            <w:pPr>
              <w:pStyle w:val="ListParagraph"/>
              <w:bidi w:val="0"/>
              <w:spacing w:after="0" w:line="240" w:lineRule="auto"/>
              <w:suppressOverlap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C99" w:rsidRPr="006A0C79" w:rsidP="00CD67FF">
            <w:pPr>
              <w:pStyle w:val="ListParagraph"/>
              <w:numPr>
                <w:numId w:val="3"/>
              </w:numPr>
              <w:bidi w:val="0"/>
              <w:spacing w:after="0" w:line="240" w:lineRule="auto"/>
              <w:suppressOverlap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0C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Dôchodkový vek </w:t>
            </w:r>
            <w:r w:rsidRPr="006A0C79">
              <w:rPr>
                <w:rFonts w:ascii="Times New Roman" w:hAnsi="Times New Roman" w:cs="Times New Roman"/>
                <w:sz w:val="20"/>
                <w:szCs w:val="20"/>
              </w:rPr>
              <w:t xml:space="preserve">– druhou najvýznamnejšou parametrickou zmenou z pohľadu pozitívnych vplyvov na </w:t>
            </w:r>
            <w:r w:rsidRPr="006A0C79" w:rsidR="006A0C79">
              <w:rPr>
                <w:rFonts w:ascii="Times New Roman" w:hAnsi="Times New Roman" w:cs="Times New Roman"/>
                <w:sz w:val="20"/>
                <w:szCs w:val="20"/>
              </w:rPr>
              <w:t>udržateľnosť</w:t>
            </w:r>
            <w:r w:rsidRPr="006A0C79">
              <w:rPr>
                <w:rFonts w:ascii="Times New Roman" w:hAnsi="Times New Roman" w:cs="Times New Roman"/>
                <w:sz w:val="20"/>
                <w:szCs w:val="20"/>
              </w:rPr>
              <w:t xml:space="preserve"> dôchodkového systému je naviazanie dôchodkového veku na vývoj strednej dĺžky života. Toto opatrenie zabezpečí v budúcnosti rovnakú priemernú dobu poberania dôchodku ako je v súčasnosti (po dobehnutí zvyšovania dôchodkového veku u žien) a výrazne zníži nárast výdavkov priebežného piliera na dôchodky.</w:t>
            </w:r>
          </w:p>
        </w:tc>
      </w:tr>
    </w:tbl>
    <w:p w:rsidR="00AF0C99" w:rsidRPr="006A0C79" w:rsidP="00AF0C99">
      <w:pPr>
        <w:bidi w:val="0"/>
        <w:spacing w:after="0" w:line="240" w:lineRule="auto"/>
        <w:jc w:val="both"/>
        <w:rPr>
          <w:rFonts w:ascii="Times New Roman" w:hAnsi="Times New Roman"/>
        </w:rPr>
      </w:pPr>
    </w:p>
    <w:p w:rsidR="00AF0C99" w:rsidRPr="006A0C79" w:rsidP="006A0C79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6A0C79">
        <w:rPr>
          <w:rFonts w:ascii="Times New Roman" w:hAnsi="Times New Roman"/>
          <w:sz w:val="24"/>
        </w:rPr>
        <w:t>Na základe uvedených tabuliek možno odhadnúť implicitné záväzky pri oboch scenároch. Ide o diskontovanú hodnotu uvedených rozdielov medzi príjmami a výdavkami spojenými so starnutím populácie k roku 2012 vyjadrených na HDP roku 2012.</w:t>
      </w:r>
    </w:p>
    <w:p w:rsidR="00AF0C99" w:rsidRPr="006A0C79" w:rsidP="00AF0C99">
      <w:pPr>
        <w:bidi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TableNormal"/>
        <w:tblW w:w="907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287"/>
        <w:gridCol w:w="1785"/>
      </w:tblGrid>
      <w:tr>
        <w:tblPrEx>
          <w:tblW w:w="9072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7287" w:type="dxa"/>
            <w:tcBorders>
              <w:top w:val="nil"/>
              <w:left w:val="nil"/>
              <w:bottom w:val="none" w:sz="0" w:space="0" w:color="auto"/>
              <w:right w:val="nil"/>
            </w:tcBorders>
            <w:shd w:val="clear" w:color="000000" w:fill="A6A6A6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sk-SK"/>
              </w:rPr>
            </w:pPr>
            <w:r w:rsidRPr="006A0C79">
              <w:rPr>
                <w:rFonts w:ascii="Times New Roman" w:hAnsi="Times New Roman"/>
                <w:b/>
                <w:bCs/>
                <w:sz w:val="16"/>
                <w:szCs w:val="16"/>
                <w:lang w:eastAsia="sk-SK"/>
              </w:rPr>
              <w:t>Implicitné záväzky – hodnota k roku 2012 (v % HDP)</w:t>
            </w:r>
          </w:p>
        </w:tc>
        <w:tc>
          <w:tcPr>
            <w:tcW w:w="1785" w:type="dxa"/>
            <w:tcBorders>
              <w:top w:val="nil"/>
              <w:left w:val="nil"/>
              <w:bottom w:val="none" w:sz="0" w:space="0" w:color="auto"/>
              <w:right w:val="nil"/>
            </w:tcBorders>
            <w:shd w:val="clear" w:color="000000" w:fill="A6A6A6"/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  <w:lang w:eastAsia="sk-SK"/>
              </w:rPr>
            </w:pPr>
            <w:r w:rsidRPr="006A0C79"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  <w:lang w:eastAsia="sk-SK"/>
              </w:rPr>
              <w:t> </w:t>
            </w:r>
          </w:p>
        </w:tc>
      </w:tr>
      <w:tr>
        <w:tblPrEx>
          <w:tblW w:w="9072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21"/>
        </w:trPr>
        <w:tc>
          <w:tcPr>
            <w:tcW w:w="7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textDirection w:val="lrTb"/>
            <w:vAlign w:val="bottom"/>
            <w:hideMark/>
          </w:tcPr>
          <w:p w:rsidR="00AF0C99" w:rsidRPr="006A0C79" w:rsidP="00CD67FF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6A0C7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sk-SK"/>
              </w:rPr>
              <w:t>spolu</w:t>
            </w:r>
          </w:p>
        </w:tc>
      </w:tr>
      <w:tr>
        <w:tblPrEx>
          <w:tblW w:w="9072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84"/>
        </w:trPr>
        <w:tc>
          <w:tcPr>
            <w:tcW w:w="7287" w:type="dxa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1. Scenár za predpokladu nezmenených politík</w:t>
            </w:r>
          </w:p>
        </w:tc>
        <w:tc>
          <w:tcPr>
            <w:tcW w:w="1785" w:type="dxa"/>
            <w:tcBorders>
              <w:top w:val="nil"/>
              <w:left w:val="nil"/>
              <w:bottom w:val="none" w:sz="0" w:space="0" w:color="auto"/>
              <w:right w:val="nil"/>
            </w:tcBorders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315</w:t>
            </w:r>
          </w:p>
        </w:tc>
      </w:tr>
      <w:tr>
        <w:tblPrEx>
          <w:tblW w:w="9072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84"/>
        </w:trPr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2. Realizovanie navrhovaných opatrení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164</w:t>
            </w:r>
          </w:p>
        </w:tc>
      </w:tr>
      <w:tr>
        <w:tblPrEx>
          <w:tblW w:w="9072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84"/>
        </w:trPr>
        <w:tc>
          <w:tcPr>
            <w:tcW w:w="728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3. Celková zmena* (2-1)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-150</w:t>
            </w:r>
          </w:p>
        </w:tc>
      </w:tr>
      <w:tr>
        <w:tblPrEx>
          <w:tblW w:w="9072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84"/>
        </w:trPr>
        <w:tc>
          <w:tcPr>
            <w:tcW w:w="7287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AF0C99" w:rsidRPr="006A0C79" w:rsidP="006A0C79">
            <w:pPr>
              <w:bidi w:val="0"/>
              <w:spacing w:after="0" w:line="240" w:lineRule="auto"/>
              <w:ind w:firstLine="320" w:firstLineChars="20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- II. pilier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color w:val="000000"/>
                <w:sz w:val="16"/>
                <w:szCs w:val="16"/>
              </w:rPr>
              <w:t>-19</w:t>
            </w:r>
          </w:p>
        </w:tc>
      </w:tr>
      <w:tr>
        <w:tblPrEx>
          <w:tblW w:w="9072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84"/>
        </w:trPr>
        <w:tc>
          <w:tcPr>
            <w:tcW w:w="7287" w:type="dxa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center"/>
            <w:hideMark/>
          </w:tcPr>
          <w:p w:rsidR="00AF0C99" w:rsidRPr="006A0C79" w:rsidP="006A0C79">
            <w:pPr>
              <w:bidi w:val="0"/>
              <w:spacing w:after="0" w:line="240" w:lineRule="auto"/>
              <w:ind w:firstLine="320" w:firstLineChars="20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- max. VZ, zmena valorizácie</w:t>
            </w:r>
          </w:p>
        </w:tc>
        <w:tc>
          <w:tcPr>
            <w:tcW w:w="1785" w:type="dxa"/>
            <w:tcBorders>
              <w:top w:val="nil"/>
              <w:left w:val="nil"/>
              <w:bottom w:val="none" w:sz="0" w:space="0" w:color="auto"/>
              <w:right w:val="nil"/>
            </w:tcBorders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color w:val="000000"/>
                <w:sz w:val="16"/>
                <w:szCs w:val="16"/>
              </w:rPr>
              <w:t>-88</w:t>
            </w:r>
          </w:p>
        </w:tc>
      </w:tr>
      <w:tr>
        <w:tblPrEx>
          <w:tblW w:w="9072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84"/>
        </w:trPr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center"/>
            <w:hideMark/>
          </w:tcPr>
          <w:p w:rsidR="00AF0C99" w:rsidRPr="006A0C79" w:rsidP="006A0C79">
            <w:pPr>
              <w:bidi w:val="0"/>
              <w:spacing w:after="0" w:line="240" w:lineRule="auto"/>
              <w:ind w:firstLine="320" w:firstLineChars="20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- úprava dôchodkového veku, zvýšenie solidarity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A0C79">
              <w:rPr>
                <w:rFonts w:ascii="Times New Roman" w:hAnsi="Times New Roman"/>
                <w:color w:val="000000"/>
                <w:sz w:val="16"/>
                <w:szCs w:val="16"/>
              </w:rPr>
              <w:t>-43</w:t>
            </w:r>
          </w:p>
        </w:tc>
      </w:tr>
      <w:tr>
        <w:tblPrEx>
          <w:tblW w:w="9072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84"/>
        </w:trPr>
        <w:tc>
          <w:tcPr>
            <w:tcW w:w="728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rPr>
                <w:rFonts w:ascii="Times New Roman" w:hAnsi="Times New Roman"/>
                <w:i/>
                <w:color w:val="000000"/>
                <w:sz w:val="16"/>
                <w:szCs w:val="16"/>
                <w:lang w:eastAsia="sk-SK"/>
              </w:rPr>
            </w:pPr>
            <w:r w:rsidRPr="006A0C79">
              <w:rPr>
                <w:rFonts w:ascii="Times New Roman" w:hAnsi="Times New Roman"/>
                <w:i/>
                <w:color w:val="000000"/>
                <w:sz w:val="16"/>
                <w:szCs w:val="16"/>
                <w:lang w:eastAsia="sk-SK"/>
              </w:rPr>
              <w:t>* (-) pokles a (+) nárast implicitných záväzkov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AF0C99" w:rsidRPr="006A0C79" w:rsidP="00CD67FF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6A0C79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  <w:lang w:eastAsia="sk-SK"/>
              </w:rPr>
              <w:t>Zdroj: MF SR</w:t>
            </w:r>
          </w:p>
        </w:tc>
      </w:tr>
    </w:tbl>
    <w:p w:rsidR="00AF0C99" w:rsidRPr="006A0C79" w:rsidP="00AF0C99">
      <w:pPr>
        <w:bidi w:val="0"/>
        <w:spacing w:after="0" w:line="240" w:lineRule="auto"/>
        <w:jc w:val="both"/>
        <w:rPr>
          <w:rFonts w:ascii="Times New Roman" w:hAnsi="Times New Roman"/>
        </w:rPr>
      </w:pPr>
    </w:p>
    <w:p w:rsidR="00AF0C99" w:rsidRPr="006A0C79" w:rsidP="006A0C79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6A0C79">
        <w:rPr>
          <w:rFonts w:ascii="Times New Roman" w:hAnsi="Times New Roman"/>
          <w:sz w:val="24"/>
        </w:rPr>
        <w:t xml:space="preserve">Implicitné záväzky prepočítané na hodnotu roku 2012 by dosiahli pri predpoklade nezmenených politík úroveň 315 </w:t>
      </w:r>
      <w:r w:rsidRPr="006A0C79" w:rsidR="006A0C79">
        <w:rPr>
          <w:rFonts w:ascii="Times New Roman" w:hAnsi="Times New Roman"/>
          <w:sz w:val="24"/>
        </w:rPr>
        <w:t>%</w:t>
      </w:r>
      <w:r w:rsidRPr="006A0C79">
        <w:rPr>
          <w:rFonts w:ascii="Times New Roman" w:hAnsi="Times New Roman"/>
          <w:sz w:val="24"/>
        </w:rPr>
        <w:t xml:space="preserve"> HDP. Prijatie penzijnej reformy z augusta 2012 implicitný dlh znížilo na hodnotu 164 </w:t>
      </w:r>
      <w:r w:rsidRPr="006A0C79" w:rsidR="006A0C79">
        <w:rPr>
          <w:rFonts w:ascii="Times New Roman" w:hAnsi="Times New Roman"/>
          <w:sz w:val="24"/>
        </w:rPr>
        <w:t>%</w:t>
      </w:r>
      <w:r w:rsidRPr="006A0C79">
        <w:rPr>
          <w:rFonts w:ascii="Times New Roman" w:hAnsi="Times New Roman"/>
          <w:sz w:val="24"/>
        </w:rPr>
        <w:t xml:space="preserve"> HDP. Najväčšou mierou sa na tomto pozitívnom vývoji podieľa zmena valorizácie dôchodkov. </w:t>
      </w:r>
    </w:p>
    <w:p w:rsidR="00AF0C99" w:rsidRPr="006A0C79" w:rsidP="00AF0C99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="006A0C79">
        <w:rPr>
          <w:rFonts w:ascii="Times New Roman" w:hAnsi="Times New Roman"/>
          <w:sz w:val="24"/>
        </w:rPr>
        <w:t xml:space="preserve"> </w:t>
      </w:r>
    </w:p>
    <w:p w:rsidR="00AF0C99" w:rsidRPr="006A0C79" w:rsidP="006A0C79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6A0C79">
        <w:rPr>
          <w:rFonts w:ascii="Times New Roman" w:hAnsi="Times New Roman"/>
          <w:sz w:val="24"/>
        </w:rPr>
        <w:t xml:space="preserve">V porovnaní s predošlou verziou tohto materiálu, ktorá bola prílohou návrhu rozpočtu verejnej správy na roky 2013 až 2015 z augusta 2012 došlo k trom zmenám, ktoré ovplyvnili výpočet implicitných záväzkov. Do kvantifikácie bol doplnený vplyv prijatého poslaneckého pozmeňovacieho návrhu, ktorým sa príspevková </w:t>
      </w:r>
      <w:r w:rsidRPr="006A0C79" w:rsidR="006A0C79">
        <w:rPr>
          <w:rFonts w:ascii="Times New Roman" w:hAnsi="Times New Roman"/>
          <w:sz w:val="24"/>
        </w:rPr>
        <w:t>sadzby</w:t>
      </w:r>
      <w:r w:rsidRPr="006A0C79">
        <w:rPr>
          <w:rFonts w:ascii="Times New Roman" w:hAnsi="Times New Roman"/>
          <w:sz w:val="24"/>
        </w:rPr>
        <w:t xml:space="preserve"> do druhého piliera do roku 2024 postupne zvýši z</w:t>
      </w:r>
      <w:r w:rsidR="006A0C79">
        <w:rPr>
          <w:rFonts w:ascii="Times New Roman" w:hAnsi="Times New Roman"/>
          <w:sz w:val="24"/>
        </w:rPr>
        <w:t>o</w:t>
      </w:r>
      <w:r w:rsidRPr="006A0C79">
        <w:rPr>
          <w:rFonts w:ascii="Times New Roman" w:hAnsi="Times New Roman"/>
          <w:sz w:val="24"/>
        </w:rPr>
        <w:t xml:space="preserve"> 4 </w:t>
      </w:r>
      <w:r w:rsidR="006A0C79">
        <w:rPr>
          <w:rFonts w:ascii="Times New Roman" w:hAnsi="Times New Roman"/>
          <w:sz w:val="24"/>
        </w:rPr>
        <w:t>%</w:t>
      </w:r>
      <w:r w:rsidRPr="006A0C79">
        <w:rPr>
          <w:rFonts w:ascii="Times New Roman" w:hAnsi="Times New Roman"/>
          <w:sz w:val="24"/>
        </w:rPr>
        <w:t xml:space="preserve"> na 6 </w:t>
      </w:r>
      <w:r w:rsidR="006A0C79">
        <w:rPr>
          <w:rFonts w:ascii="Times New Roman" w:hAnsi="Times New Roman"/>
          <w:sz w:val="24"/>
        </w:rPr>
        <w:t>%</w:t>
      </w:r>
      <w:r w:rsidRPr="006A0C79">
        <w:rPr>
          <w:rFonts w:ascii="Times New Roman" w:hAnsi="Times New Roman"/>
          <w:sz w:val="24"/>
        </w:rPr>
        <w:t xml:space="preserve"> vymeriavacieho základu. Druhou zmenou je revízia scenára nezmenených politík opísaná v úvode, ktorej základom je revidovaná prognóza AWG.</w:t>
      </w:r>
      <w:r w:rsidR="006A0C79">
        <w:rPr>
          <w:rFonts w:ascii="Times New Roman" w:hAnsi="Times New Roman"/>
          <w:sz w:val="24"/>
        </w:rPr>
        <w:t xml:space="preserve"> </w:t>
      </w:r>
      <w:r w:rsidRPr="006A0C79">
        <w:rPr>
          <w:rFonts w:ascii="Times New Roman" w:hAnsi="Times New Roman"/>
          <w:sz w:val="24"/>
        </w:rPr>
        <w:t xml:space="preserve">Zároveň boli zaktualizované predpoklady o makroekonomickom vývoji a úrokových nákladoch dlhu do roku 2015. </w:t>
      </w:r>
    </w:p>
    <w:p w:rsidR="00AF0C99" w:rsidRPr="006A0C79" w:rsidP="00AF0C99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="006A0C79">
        <w:rPr>
          <w:rFonts w:ascii="Times New Roman" w:hAnsi="Times New Roman"/>
          <w:sz w:val="24"/>
        </w:rPr>
        <w:t xml:space="preserve"> </w:t>
      </w:r>
    </w:p>
    <w:p w:rsidR="00AF0C99" w:rsidRPr="006A0C79" w:rsidP="006A0C79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6A0C79">
        <w:rPr>
          <w:rFonts w:ascii="Times New Roman" w:hAnsi="Times New Roman"/>
          <w:sz w:val="24"/>
        </w:rPr>
        <w:t>Vplyv zmien v II. pilieri je podľa použitej štandardnej metodiky výpočtu a dostupnosti údajov do roku 2060 mierne pozitívny a prispieva k znižovaniu implicitných záväzkov. Je to spôsobené tým, že po úvodných pozitívnych sa negatívne vplyvy na verejné financie z jeho zmenšenia majú prejaviť až za horizontom roku 2060</w:t>
      </w:r>
      <w:r>
        <w:rPr>
          <w:rStyle w:val="FootnoteReference"/>
          <w:rFonts w:ascii="Times New Roman" w:hAnsi="Times New Roman"/>
          <w:sz w:val="24"/>
          <w:rtl w:val="0"/>
        </w:rPr>
        <w:footnoteReference w:id="8"/>
      </w:r>
      <w:r w:rsidRPr="006A0C79">
        <w:rPr>
          <w:rFonts w:ascii="Times New Roman" w:hAnsi="Times New Roman"/>
          <w:sz w:val="24"/>
        </w:rPr>
        <w:t xml:space="preserve">. Je veľmi pravdepodobné, že zohľadnenie týchto zmien po roku 2060 by viedlo k nárastu implicitných záväzkov. </w:t>
      </w:r>
    </w:p>
    <w:p w:rsidR="00AF0C99" w:rsidRPr="006A0C79" w:rsidP="00AF0C99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AF0C99" w:rsidRPr="006A0C79" w:rsidP="006A0C79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6A0C79">
        <w:rPr>
          <w:rFonts w:ascii="Times New Roman" w:hAnsi="Times New Roman"/>
          <w:sz w:val="24"/>
        </w:rPr>
        <w:t>Štandardná metodika vychádzajúca z projekcií EK, ktorá stanovuje horizont projekcií (v tomto prípade do roku 2060), limituje možnosť presnejšej kvantifikácie implicitných záväzkov. Pre objektívnejšie posúdenie výšky implicitných záväzkov by bolo vhodné v budúcnosti predĺžiť horizont dlhodobých projekcií príjmov a výdavkov výraznejšie aj za horizont roku 2060</w:t>
      </w:r>
      <w:r>
        <w:rPr>
          <w:rStyle w:val="FootnoteReference"/>
          <w:rFonts w:ascii="Times New Roman" w:hAnsi="Times New Roman"/>
          <w:sz w:val="24"/>
          <w:rtl w:val="0"/>
        </w:rPr>
        <w:footnoteReference w:id="9"/>
      </w:r>
      <w:r w:rsidRPr="006A0C79">
        <w:rPr>
          <w:rFonts w:ascii="Times New Roman" w:hAnsi="Times New Roman"/>
          <w:sz w:val="24"/>
        </w:rPr>
        <w:t>.</w:t>
      </w:r>
    </w:p>
    <w:p w:rsidR="003A36B7" w:rsidRPr="006A0C79" w:rsidP="00627A2A">
      <w:pPr>
        <w:bidi w:val="0"/>
        <w:spacing w:after="0" w:line="240" w:lineRule="auto"/>
        <w:rPr>
          <w:rFonts w:ascii="Times New Roman" w:hAnsi="Times New Roman"/>
          <w:sz w:val="32"/>
          <w:szCs w:val="24"/>
        </w:rPr>
      </w:pPr>
    </w:p>
    <w:sectPr w:rsidSect="006D5DD0">
      <w:footerReference w:type="default" r:id="rId10"/>
      <w:pgSz w:w="11906" w:h="16838"/>
      <w:pgMar w:top="1417" w:right="1417" w:bottom="1417" w:left="1417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altName w:val="Book Antiqua"/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709" w:rsidRPr="000E6709">
    <w:pPr>
      <w:pStyle w:val="Footer"/>
      <w:bidi w:val="0"/>
      <w:jc w:val="center"/>
      <w:rPr>
        <w:rFonts w:ascii="Times New Roman" w:hAnsi="Times New Roman"/>
        <w:sz w:val="24"/>
      </w:rPr>
    </w:pPr>
    <w:r w:rsidRPr="000E6709">
      <w:rPr>
        <w:rFonts w:ascii="Times New Roman" w:hAnsi="Times New Roman"/>
        <w:sz w:val="24"/>
      </w:rPr>
      <w:fldChar w:fldCharType="begin"/>
    </w:r>
    <w:r w:rsidRPr="000E6709">
      <w:rPr>
        <w:rFonts w:ascii="Times New Roman" w:hAnsi="Times New Roman"/>
        <w:sz w:val="24"/>
      </w:rPr>
      <w:instrText>PAGE   \* MERGEFORMAT</w:instrText>
    </w:r>
    <w:r w:rsidRPr="000E6709">
      <w:rPr>
        <w:rFonts w:ascii="Times New Roman" w:hAnsi="Times New Roman"/>
        <w:sz w:val="24"/>
      </w:rPr>
      <w:fldChar w:fldCharType="separate"/>
    </w:r>
    <w:r w:rsidR="004A3236">
      <w:rPr>
        <w:rFonts w:ascii="Times New Roman" w:hAnsi="Times New Roman"/>
        <w:noProof/>
        <w:sz w:val="24"/>
      </w:rPr>
      <w:t>7</w:t>
    </w:r>
    <w:r w:rsidRPr="000E6709">
      <w:rPr>
        <w:rFonts w:ascii="Times New Roman" w:hAnsi="Times New Roman"/>
        <w:sz w:val="24"/>
      </w:rPr>
      <w:fldChar w:fldCharType="end"/>
    </w:r>
  </w:p>
  <w:p w:rsidR="007B46E1">
    <w:pPr>
      <w:pStyle w:val="Footer"/>
      <w:bidi w:val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557D" w:rsidP="00FA25AD">
      <w:pPr>
        <w:bidi w:val="0"/>
        <w:spacing w:after="0" w:line="240" w:lineRule="auto"/>
      </w:pPr>
      <w:r>
        <w:separator/>
      </w:r>
    </w:p>
  </w:footnote>
  <w:footnote w:type="continuationSeparator" w:id="1">
    <w:p w:rsidR="007C557D" w:rsidP="00FA25AD">
      <w:pPr>
        <w:bidi w:val="0"/>
        <w:spacing w:after="0" w:line="240" w:lineRule="auto"/>
      </w:pPr>
      <w:r>
        <w:continuationSeparator/>
      </w:r>
    </w:p>
  </w:footnote>
  <w:footnote w:id="2">
    <w:p w:rsidP="00AF0C99">
      <w:pPr>
        <w:pStyle w:val="FootnoteText"/>
        <w:bidi w:val="0"/>
        <w:ind w:left="159" w:hanging="159"/>
        <w:jc w:val="both"/>
      </w:pPr>
      <w:r w:rsidRPr="00AF0C99" w:rsidR="00AF0C99">
        <w:rPr>
          <w:rStyle w:val="FootnoteReference"/>
          <w:rFonts w:ascii="Times New Roman" w:hAnsi="Times New Roman"/>
          <w:sz w:val="16"/>
          <w:szCs w:val="18"/>
        </w:rPr>
        <w:footnoteRef/>
      </w:r>
      <w:r w:rsidRPr="00AF0C99" w:rsidR="00AF0C99">
        <w:rPr>
          <w:rFonts w:ascii="Times New Roman" w:hAnsi="Times New Roman"/>
          <w:sz w:val="16"/>
          <w:szCs w:val="18"/>
        </w:rPr>
        <w:t xml:space="preserve"> Definícia implicitných záväzkov v zákone o rozpočtovej zodpovednosti je založená na koncepte čistých implicitných záväzkov, teda okrem budúcich výdavkov zohľadňuje aj budúce príjmy. Ide o odlišnú definíciu v porovnaní s definíciou implicitných záväzkov v národných účtoch (</w:t>
      </w:r>
      <w:hyperlink r:id="rId1" w:history="1">
        <w:r w:rsidRPr="00AF0C99" w:rsidR="00AF0C99">
          <w:rPr>
            <w:rStyle w:val="Hyperlink"/>
            <w:rFonts w:ascii="Times New Roman" w:hAnsi="Times New Roman"/>
            <w:sz w:val="16"/>
            <w:szCs w:val="18"/>
          </w:rPr>
          <w:t>http://www.ecb.int/pub/pdf/other/techn_comp_gd_pens_dt_nat_accts_201201en.pdf</w:t>
        </w:r>
      </w:hyperlink>
      <w:r w:rsidRPr="00AF0C99" w:rsidR="00AF0C99">
        <w:rPr>
          <w:rFonts w:ascii="Times New Roman" w:hAnsi="Times New Roman"/>
          <w:sz w:val="16"/>
          <w:szCs w:val="18"/>
        </w:rPr>
        <w:t>), ktorá zohľadňuje iba budúce výdavky (hrubé implicitné záväzky).</w:t>
      </w:r>
    </w:p>
  </w:footnote>
  <w:footnote w:id="3">
    <w:p w:rsidP="00AF0C99">
      <w:pPr>
        <w:pStyle w:val="FootnoteText"/>
        <w:bidi w:val="0"/>
        <w:ind w:left="159" w:hanging="159"/>
        <w:jc w:val="both"/>
      </w:pPr>
      <w:r w:rsidRPr="00AF0C99" w:rsidR="00AF0C99">
        <w:rPr>
          <w:rStyle w:val="FootnoteReference"/>
          <w:rFonts w:ascii="Times New Roman" w:hAnsi="Times New Roman"/>
          <w:sz w:val="16"/>
          <w:szCs w:val="18"/>
        </w:rPr>
        <w:footnoteRef/>
      </w:r>
      <w:r w:rsidRPr="00AF0C99" w:rsidR="00AF0C99">
        <w:rPr>
          <w:rFonts w:ascii="Times New Roman" w:hAnsi="Times New Roman"/>
          <w:sz w:val="16"/>
          <w:szCs w:val="18"/>
        </w:rPr>
        <w:t xml:space="preserve"> Detailný popis výsledkov a predpokladov použitých pri kvantifikácii dlhodobých projekcií je uvedený v tzv. Country fiche, ktorý je sprievodným dokumentom k projekciám predkladaným EK (</w:t>
      </w:r>
      <w:hyperlink r:id="rId2" w:history="1">
        <w:r w:rsidRPr="00AF0C99" w:rsidR="00AF0C99">
          <w:rPr>
            <w:rStyle w:val="Hyperlink"/>
            <w:rFonts w:ascii="Times New Roman" w:hAnsi="Times New Roman"/>
            <w:sz w:val="16"/>
            <w:szCs w:val="18"/>
          </w:rPr>
          <w:t>http://europa.eu/epc/pdf/latest_version_country_fiches.zip</w:t>
        </w:r>
      </w:hyperlink>
      <w:r w:rsidRPr="00AF0C99" w:rsidR="00AF0C99">
        <w:rPr>
          <w:rFonts w:ascii="Times New Roman" w:hAnsi="Times New Roman"/>
          <w:sz w:val="16"/>
          <w:szCs w:val="18"/>
        </w:rPr>
        <w:t>).</w:t>
      </w:r>
    </w:p>
  </w:footnote>
  <w:footnote w:id="4">
    <w:p w:rsidP="00AF0C99">
      <w:pPr>
        <w:pStyle w:val="FootnoteText"/>
        <w:bidi w:val="0"/>
        <w:ind w:left="142" w:hanging="142"/>
        <w:jc w:val="both"/>
      </w:pPr>
      <w:r w:rsidRPr="00AF0C99" w:rsidR="00AF0C99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AF0C99" w:rsidR="00AF0C99">
        <w:rPr>
          <w:rFonts w:ascii="Times New Roman" w:hAnsi="Times New Roman"/>
          <w:sz w:val="18"/>
          <w:szCs w:val="18"/>
        </w:rPr>
        <w:t xml:space="preserve"> Keďže cieľom tejto časti je odhadnúť veľkosť implicitných záväzkov spojených so starnutím populácie, vychádza sa z predpokladu vyrovnanej bilancie príjmov a výdavkov vo východiskovom roku. Znamená to, že implicitné záväzky vznikajú len z odchýlok príjmov a výdavkov spojených so starnutím populácie od hodnôt vo východiskovom roku. </w:t>
      </w:r>
    </w:p>
  </w:footnote>
  <w:footnote w:id="5">
    <w:p w:rsidP="00AF0C99">
      <w:pPr>
        <w:pStyle w:val="FootnoteText"/>
        <w:bidi w:val="0"/>
        <w:ind w:left="142" w:hanging="142"/>
        <w:jc w:val="both"/>
      </w:pPr>
      <w:r w:rsidRPr="00AF0C99" w:rsidR="00AF0C99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AF0C99" w:rsidR="00AF0C99">
        <w:rPr>
          <w:rFonts w:ascii="Times New Roman" w:hAnsi="Times New Roman"/>
          <w:sz w:val="18"/>
          <w:szCs w:val="18"/>
        </w:rPr>
        <w:t xml:space="preserve"> Zmena podielu príjmov z dôchodkového poistenia na HDP v čase súvisí s tým, že časť odvodov je presmerovaná do II. piliera dôchodkového systému, t.</w:t>
      </w:r>
      <w:r w:rsidR="006A0C79">
        <w:rPr>
          <w:rFonts w:ascii="Times New Roman" w:hAnsi="Times New Roman"/>
          <w:sz w:val="18"/>
          <w:szCs w:val="18"/>
        </w:rPr>
        <w:t xml:space="preserve"> </w:t>
      </w:r>
      <w:r w:rsidRPr="00AF0C99" w:rsidR="00AF0C99">
        <w:rPr>
          <w:rFonts w:ascii="Times New Roman" w:hAnsi="Times New Roman"/>
          <w:sz w:val="18"/>
          <w:szCs w:val="18"/>
        </w:rPr>
        <w:t xml:space="preserve">j. mimo sektora verejnej správy, pričom táto časť sa v čase mení z titulu zmeny podielu sporiteľov na celkovom počte poistencov. </w:t>
      </w:r>
    </w:p>
  </w:footnote>
  <w:footnote w:id="6">
    <w:p w:rsidP="00AF0C99">
      <w:pPr>
        <w:pStyle w:val="FootnoteText"/>
        <w:bidi w:val="0"/>
        <w:ind w:left="142" w:hanging="142"/>
        <w:jc w:val="both"/>
      </w:pPr>
      <w:r w:rsidRPr="00AF0C99" w:rsidR="00AF0C99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AF0C99" w:rsidR="00AF0C99">
        <w:rPr>
          <w:rFonts w:ascii="Times New Roman" w:hAnsi="Times New Roman"/>
          <w:sz w:val="18"/>
          <w:szCs w:val="18"/>
        </w:rPr>
        <w:t xml:space="preserve">  Takýto prístup k projekcii príjmov sa používa aj v rámci pracovnej skupiny AWG.</w:t>
      </w:r>
    </w:p>
  </w:footnote>
  <w:footnote w:id="7">
    <w:p w:rsidP="00AF0C99">
      <w:pPr>
        <w:pStyle w:val="FootnoteText"/>
        <w:bidi w:val="0"/>
        <w:ind w:left="142" w:hanging="142"/>
        <w:jc w:val="both"/>
      </w:pPr>
      <w:r w:rsidRPr="00AF0C99" w:rsidR="00AF0C99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AF0C99" w:rsidR="00AF0C99">
        <w:rPr>
          <w:rFonts w:ascii="Times New Roman" w:hAnsi="Times New Roman"/>
          <w:sz w:val="18"/>
          <w:szCs w:val="18"/>
        </w:rPr>
        <w:t xml:space="preserve"> Pri zmenách primárneho salda dochádza aj k zmenám v úrokových nákladoch</w:t>
      </w:r>
      <w:r w:rsidR="006A0C79">
        <w:rPr>
          <w:rFonts w:ascii="Times New Roman" w:hAnsi="Times New Roman"/>
          <w:sz w:val="18"/>
          <w:szCs w:val="18"/>
        </w:rPr>
        <w:t>,</w:t>
      </w:r>
      <w:r w:rsidRPr="00AF0C99" w:rsidR="00AF0C99">
        <w:rPr>
          <w:rFonts w:ascii="Times New Roman" w:hAnsi="Times New Roman"/>
          <w:sz w:val="18"/>
          <w:szCs w:val="18"/>
        </w:rPr>
        <w:t xml:space="preserve"> resp. úrokových príjmoch (pokiaľ sa nekumuluje dlh, ale aktíva) verejnej správy. Ak vláda uskutoční opatrenia zlepšujúce primárne saldo, automaticky to povedie aj k poklesu úrokových nákladov</w:t>
      </w:r>
      <w:r w:rsidR="006A0C79">
        <w:rPr>
          <w:rFonts w:ascii="Times New Roman" w:hAnsi="Times New Roman"/>
          <w:sz w:val="18"/>
          <w:szCs w:val="18"/>
        </w:rPr>
        <w:t>,</w:t>
      </w:r>
      <w:r w:rsidRPr="00AF0C99" w:rsidR="00AF0C99">
        <w:rPr>
          <w:rFonts w:ascii="Times New Roman" w:hAnsi="Times New Roman"/>
          <w:sz w:val="18"/>
          <w:szCs w:val="18"/>
        </w:rPr>
        <w:t xml:space="preserve"> resp. nárastu úrokových príjmov. </w:t>
      </w:r>
    </w:p>
  </w:footnote>
  <w:footnote w:id="8">
    <w:p w:rsidP="00AF0C99">
      <w:pPr>
        <w:pStyle w:val="FootnoteText"/>
        <w:bidi w:val="0"/>
        <w:ind w:left="142" w:hanging="142"/>
        <w:jc w:val="both"/>
      </w:pPr>
      <w:r w:rsidRPr="004A3236" w:rsidR="00AF0C99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4A3236" w:rsidR="00AF0C99">
        <w:rPr>
          <w:rFonts w:ascii="Times New Roman" w:hAnsi="Times New Roman"/>
          <w:sz w:val="18"/>
          <w:szCs w:val="18"/>
        </w:rPr>
        <w:t xml:space="preserve"> Keďže metodika výpočtu implicitných záväzkov uvažuje v období po roku 2060 s nezmeneným saldom príjmov a výdavkov spojených so starnutím populácie v porovnaní s rokom 2060, žiadne zmeny po tomto roku sa nepremietnu do výpočtu implicitných záväzkov.</w:t>
      </w:r>
    </w:p>
  </w:footnote>
  <w:footnote w:id="9">
    <w:p w:rsidP="00AF0C99">
      <w:pPr>
        <w:pStyle w:val="FootnoteText"/>
        <w:bidi w:val="0"/>
        <w:ind w:left="159" w:hanging="159"/>
        <w:jc w:val="both"/>
      </w:pPr>
      <w:r w:rsidRPr="004A3236" w:rsidR="00AF0C99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4A3236" w:rsidR="00AF0C99">
        <w:rPr>
          <w:rFonts w:ascii="Times New Roman" w:hAnsi="Times New Roman"/>
          <w:sz w:val="18"/>
          <w:szCs w:val="18"/>
        </w:rPr>
        <w:t xml:space="preserve"> Predĺženie dlhodobých projekcií až za horizont roku 2060 je podstatné najmä v prípade, ak krajina prijíma opatrenia, ktoré sa v plnej miere prejavia až po roku 2060. Príkladom je zavedenie kapitalizačného piliera dôchodkového systému.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323C5"/>
    <w:multiLevelType w:val="hybridMultilevel"/>
    <w:tmpl w:val="D37CF8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300B5B7D"/>
    <w:multiLevelType w:val="hybridMultilevel"/>
    <w:tmpl w:val="5902153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6C74A6"/>
    <w:multiLevelType w:val="hybridMultilevel"/>
    <w:tmpl w:val="7084ED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compat/>
  <w:rsids>
    <w:rsidRoot w:val="00627A2A"/>
    <w:rsid w:val="0002171B"/>
    <w:rsid w:val="00050159"/>
    <w:rsid w:val="00051089"/>
    <w:rsid w:val="00073117"/>
    <w:rsid w:val="00090047"/>
    <w:rsid w:val="000B3E5D"/>
    <w:rsid w:val="000C39EC"/>
    <w:rsid w:val="000D6D87"/>
    <w:rsid w:val="000E2871"/>
    <w:rsid w:val="000E3E92"/>
    <w:rsid w:val="000E6709"/>
    <w:rsid w:val="000F2F51"/>
    <w:rsid w:val="00144C2C"/>
    <w:rsid w:val="0015119F"/>
    <w:rsid w:val="0017284D"/>
    <w:rsid w:val="00182E17"/>
    <w:rsid w:val="001B57C8"/>
    <w:rsid w:val="001C210F"/>
    <w:rsid w:val="001C40A3"/>
    <w:rsid w:val="001D661E"/>
    <w:rsid w:val="001E65C4"/>
    <w:rsid w:val="001E6853"/>
    <w:rsid w:val="00210ABF"/>
    <w:rsid w:val="00226CB4"/>
    <w:rsid w:val="00236706"/>
    <w:rsid w:val="00237F5B"/>
    <w:rsid w:val="002660E1"/>
    <w:rsid w:val="002A48DC"/>
    <w:rsid w:val="002F7139"/>
    <w:rsid w:val="00310BC7"/>
    <w:rsid w:val="00345338"/>
    <w:rsid w:val="00371ABB"/>
    <w:rsid w:val="0039762B"/>
    <w:rsid w:val="00397E9A"/>
    <w:rsid w:val="003A36B7"/>
    <w:rsid w:val="003C5779"/>
    <w:rsid w:val="00401A00"/>
    <w:rsid w:val="00413366"/>
    <w:rsid w:val="004347DE"/>
    <w:rsid w:val="0044008E"/>
    <w:rsid w:val="004535C5"/>
    <w:rsid w:val="004658C0"/>
    <w:rsid w:val="0048706A"/>
    <w:rsid w:val="004A3236"/>
    <w:rsid w:val="004A3E24"/>
    <w:rsid w:val="004C4D57"/>
    <w:rsid w:val="004C7FD4"/>
    <w:rsid w:val="004D68B4"/>
    <w:rsid w:val="004E503C"/>
    <w:rsid w:val="00553882"/>
    <w:rsid w:val="00565053"/>
    <w:rsid w:val="00583D06"/>
    <w:rsid w:val="00595577"/>
    <w:rsid w:val="005C70C9"/>
    <w:rsid w:val="005D02DB"/>
    <w:rsid w:val="005D6E9E"/>
    <w:rsid w:val="005F26F8"/>
    <w:rsid w:val="005F3E30"/>
    <w:rsid w:val="00627A2A"/>
    <w:rsid w:val="00696199"/>
    <w:rsid w:val="006A0C79"/>
    <w:rsid w:val="006A1E54"/>
    <w:rsid w:val="006A4E24"/>
    <w:rsid w:val="006B105F"/>
    <w:rsid w:val="006B40D5"/>
    <w:rsid w:val="006C663A"/>
    <w:rsid w:val="006D5DD0"/>
    <w:rsid w:val="006D7CB3"/>
    <w:rsid w:val="006E6950"/>
    <w:rsid w:val="006F385E"/>
    <w:rsid w:val="00746170"/>
    <w:rsid w:val="00772EE8"/>
    <w:rsid w:val="00776820"/>
    <w:rsid w:val="007A2BD6"/>
    <w:rsid w:val="007A43D0"/>
    <w:rsid w:val="007B2B74"/>
    <w:rsid w:val="007B46E1"/>
    <w:rsid w:val="007B70A2"/>
    <w:rsid w:val="007C557D"/>
    <w:rsid w:val="007F211C"/>
    <w:rsid w:val="007F4A3D"/>
    <w:rsid w:val="0080034D"/>
    <w:rsid w:val="00852376"/>
    <w:rsid w:val="0088390C"/>
    <w:rsid w:val="008C10D5"/>
    <w:rsid w:val="008D2D7D"/>
    <w:rsid w:val="0092074F"/>
    <w:rsid w:val="0092626C"/>
    <w:rsid w:val="00933FD2"/>
    <w:rsid w:val="00934778"/>
    <w:rsid w:val="00945941"/>
    <w:rsid w:val="0094656C"/>
    <w:rsid w:val="009530C6"/>
    <w:rsid w:val="009605C5"/>
    <w:rsid w:val="00965759"/>
    <w:rsid w:val="00980AD7"/>
    <w:rsid w:val="009B1E2F"/>
    <w:rsid w:val="009C0A3A"/>
    <w:rsid w:val="009F1F95"/>
    <w:rsid w:val="00A02F78"/>
    <w:rsid w:val="00A203F3"/>
    <w:rsid w:val="00A25859"/>
    <w:rsid w:val="00A6498C"/>
    <w:rsid w:val="00A8025E"/>
    <w:rsid w:val="00A84A65"/>
    <w:rsid w:val="00A92872"/>
    <w:rsid w:val="00AA01F1"/>
    <w:rsid w:val="00AA6F75"/>
    <w:rsid w:val="00AA758F"/>
    <w:rsid w:val="00AC19E7"/>
    <w:rsid w:val="00AC3F9A"/>
    <w:rsid w:val="00AD5D10"/>
    <w:rsid w:val="00AE6760"/>
    <w:rsid w:val="00AF0C99"/>
    <w:rsid w:val="00B07057"/>
    <w:rsid w:val="00B14475"/>
    <w:rsid w:val="00B23F02"/>
    <w:rsid w:val="00B669F1"/>
    <w:rsid w:val="00BB4385"/>
    <w:rsid w:val="00BB6823"/>
    <w:rsid w:val="00BB77B5"/>
    <w:rsid w:val="00BC2413"/>
    <w:rsid w:val="00BD64C5"/>
    <w:rsid w:val="00BE14F8"/>
    <w:rsid w:val="00BE4E2F"/>
    <w:rsid w:val="00C21229"/>
    <w:rsid w:val="00C22539"/>
    <w:rsid w:val="00C40D05"/>
    <w:rsid w:val="00C827C1"/>
    <w:rsid w:val="00C956FA"/>
    <w:rsid w:val="00CA793A"/>
    <w:rsid w:val="00CC0F85"/>
    <w:rsid w:val="00CC1448"/>
    <w:rsid w:val="00CC2A7F"/>
    <w:rsid w:val="00CD07AE"/>
    <w:rsid w:val="00CD67FF"/>
    <w:rsid w:val="00D22ABF"/>
    <w:rsid w:val="00D3362A"/>
    <w:rsid w:val="00DE0D2A"/>
    <w:rsid w:val="00DF4E74"/>
    <w:rsid w:val="00E412F5"/>
    <w:rsid w:val="00E51A0A"/>
    <w:rsid w:val="00EB5146"/>
    <w:rsid w:val="00EB66FC"/>
    <w:rsid w:val="00ED284C"/>
    <w:rsid w:val="00ED46C9"/>
    <w:rsid w:val="00EE51DE"/>
    <w:rsid w:val="00F26535"/>
    <w:rsid w:val="00F300A0"/>
    <w:rsid w:val="00F34603"/>
    <w:rsid w:val="00F50A82"/>
    <w:rsid w:val="00F6396A"/>
    <w:rsid w:val="00F65AF5"/>
    <w:rsid w:val="00F90C0A"/>
    <w:rsid w:val="00FA25AD"/>
    <w:rsid w:val="00FB07B8"/>
    <w:rsid w:val="00FB08C9"/>
    <w:rsid w:val="00FB2A5D"/>
    <w:rsid w:val="00FB544B"/>
    <w:rsid w:val="00FF3A31"/>
    <w:rsid w:val="00FF4CD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Arial Narrow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950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Arial Narrow" w:hAnsi="Arial Narrow" w:cs="Times New Roman"/>
      <w:sz w:val="22"/>
      <w:szCs w:val="36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4C4D57"/>
    <w:pPr>
      <w:keepNext/>
      <w:keepLines/>
      <w:spacing w:before="480" w:after="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Char24 Char Char,Char24 Char Char Char"/>
    <w:basedOn w:val="Heading1"/>
    <w:next w:val="Normal"/>
    <w:link w:val="Nadpis2Char"/>
    <w:uiPriority w:val="99"/>
    <w:qFormat/>
    <w:rsid w:val="004C4D57"/>
    <w:pPr>
      <w:keepLines w:val="0"/>
      <w:spacing w:before="120" w:after="120" w:line="240" w:lineRule="auto"/>
      <w:jc w:val="both"/>
      <w:outlineLvl w:val="1"/>
    </w:pPr>
    <w:rPr>
      <w:rFonts w:ascii="Arial Narrow" w:eastAsia="Times New Roman" w:hAnsi="Arial Narrow" w:cs="Book Antiqua"/>
      <w:b w:val="0"/>
      <w:bCs w:val="0"/>
      <w:color w:val="auto"/>
      <w:sz w:val="24"/>
      <w:szCs w:val="22"/>
      <w:lang w:eastAsia="sk-SK"/>
    </w:rPr>
  </w:style>
  <w:style w:type="paragraph" w:styleId="Heading3">
    <w:name w:val="heading 3"/>
    <w:aliases w:val="Tab"/>
    <w:basedOn w:val="Normal"/>
    <w:next w:val="Normal"/>
    <w:link w:val="Nadpis3Char"/>
    <w:uiPriority w:val="99"/>
    <w:qFormat/>
    <w:rsid w:val="004C4D57"/>
    <w:pPr>
      <w:keepNext/>
      <w:spacing w:after="0" w:line="240" w:lineRule="auto"/>
      <w:jc w:val="left"/>
      <w:outlineLvl w:val="2"/>
    </w:pPr>
    <w:rPr>
      <w:rFonts w:cs="Arial"/>
      <w:b/>
      <w:bCs/>
      <w:sz w:val="20"/>
      <w:szCs w:val="26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4C4D57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</w:rPr>
  </w:style>
  <w:style w:type="character" w:customStyle="1" w:styleId="Nadpis2Char">
    <w:name w:val="Nadpis 2 Char"/>
    <w:aliases w:val="Char24 Char Char Char Char,Char24 Char Char Char1"/>
    <w:basedOn w:val="DefaultParagraphFont"/>
    <w:link w:val="Heading2"/>
    <w:uiPriority w:val="99"/>
    <w:locked/>
    <w:rsid w:val="004C4D57"/>
    <w:rPr>
      <w:rFonts w:eastAsia="Times New Roman" w:cs="Book Antiqua"/>
      <w:sz w:val="22"/>
      <w:szCs w:val="22"/>
      <w:rtl w:val="0"/>
      <w:cs w:val="0"/>
      <w:lang w:val="x-none" w:eastAsia="sk-SK"/>
    </w:rPr>
  </w:style>
  <w:style w:type="character" w:customStyle="1" w:styleId="Nadpis3Char">
    <w:name w:val="Nadpis 3 Char"/>
    <w:aliases w:val="Tab Char"/>
    <w:basedOn w:val="DefaultParagraphFont"/>
    <w:link w:val="Heading3"/>
    <w:uiPriority w:val="99"/>
    <w:locked/>
    <w:rsid w:val="004C4D57"/>
    <w:rPr>
      <w:rFonts w:eastAsia="Times New Roman" w:cs="Arial"/>
      <w:b/>
      <w:bCs/>
      <w:sz w:val="26"/>
      <w:szCs w:val="26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4C4D57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C4D57"/>
    <w:rPr>
      <w:rFonts w:ascii="Tahoma" w:hAnsi="Tahoma" w:cs="Tahoma"/>
      <w:sz w:val="16"/>
      <w:szCs w:val="16"/>
      <w:rtl w:val="0"/>
      <w:cs w:val="0"/>
    </w:rPr>
  </w:style>
  <w:style w:type="paragraph" w:styleId="ListParagraph">
    <w:name w:val="List Paragraph"/>
    <w:basedOn w:val="Normal"/>
    <w:uiPriority w:val="99"/>
    <w:qFormat/>
    <w:rsid w:val="00FF3A31"/>
    <w:pPr>
      <w:spacing w:after="0" w:line="240" w:lineRule="auto"/>
      <w:ind w:left="720"/>
      <w:contextualSpacing/>
      <w:jc w:val="left"/>
    </w:pPr>
    <w:rPr>
      <w:rFonts w:cs="Book Antiqua"/>
      <w:szCs w:val="22"/>
      <w:lang w:eastAsia="sk-SK"/>
    </w:rPr>
  </w:style>
  <w:style w:type="paragraph" w:styleId="Header">
    <w:name w:val="header"/>
    <w:basedOn w:val="Normal"/>
    <w:link w:val="HlavikaChar"/>
    <w:uiPriority w:val="99"/>
    <w:unhideWhenUsed/>
    <w:rsid w:val="00FA25AD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FA25AD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FA25AD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FA25AD"/>
    <w:rPr>
      <w:rFonts w:cs="Times New Roman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746170"/>
    <w:pPr>
      <w:spacing w:after="0" w:line="240" w:lineRule="auto"/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746170"/>
    <w:rPr>
      <w:rFonts w:cs="Times New Roman"/>
      <w:sz w:val="20"/>
      <w:szCs w:val="20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746170"/>
    <w:rPr>
      <w:rFonts w:cs="Times New Roman"/>
      <w:vertAlign w:val="superscript"/>
      <w:rtl w:val="0"/>
      <w:cs w:val="0"/>
    </w:rPr>
  </w:style>
  <w:style w:type="character" w:styleId="Hyperlink">
    <w:name w:val="Hyperlink"/>
    <w:basedOn w:val="DefaultParagraphFont"/>
    <w:uiPriority w:val="99"/>
    <w:unhideWhenUsed/>
    <w:rsid w:val="00AC3F9A"/>
    <w:rPr>
      <w:rFonts w:cs="Times New Roman"/>
      <w:color w:val="0000FF" w:themeColor="hlink" w:themeShade="FF"/>
      <w:u w:val="single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210ABF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210ABF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210ABF"/>
    <w:rPr>
      <w:rFonts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210ABF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210AB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D5DD0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character" w:styleId="FollowedHyperlink">
    <w:name w:val="FollowedHyperlink"/>
    <w:basedOn w:val="DefaultParagraphFont"/>
    <w:uiPriority w:val="99"/>
    <w:semiHidden/>
    <w:unhideWhenUsed/>
    <w:rsid w:val="00144C2C"/>
    <w:rPr>
      <w:rFonts w:cs="Times New Roman"/>
      <w:color w:val="800080" w:themeColor="folHlink" w:themeShade="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image" Target="media/image1.emf" /><Relationship Id="rId7" Type="http://schemas.openxmlformats.org/officeDocument/2006/relationships/image" Target="media/image2.emf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_rels/footnotes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ecb.int/pub/pdf/other/techn_comp_gd_pens_dt_nat_accts_201201en.pdf" TargetMode="External" /><Relationship Id="rId2" Type="http://schemas.openxmlformats.org/officeDocument/2006/relationships/hyperlink" Target="http://europa.eu/epc/pdf/latest_version_country_fiches.zip" TargetMode="Externa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1C6EF-1DAF-4C10-B313-80ABE5BA9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85</TotalTime>
  <Pages>7</Pages>
  <Words>2304</Words>
  <Characters>13135</Characters>
  <Application>Microsoft Office Word</Application>
  <DocSecurity>0</DocSecurity>
  <Lines>0</Lines>
  <Paragraphs>0</Paragraphs>
  <ScaleCrop>false</ScaleCrop>
  <Company>Ministerstvo financií</Company>
  <LinksUpToDate>false</LinksUpToDate>
  <CharactersWithSpaces>15409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ebugyi</dc:creator>
  <cp:lastModifiedBy>mmichlo</cp:lastModifiedBy>
  <cp:revision>24</cp:revision>
  <cp:lastPrinted>2012-08-09T11:42:00Z</cp:lastPrinted>
  <dcterms:created xsi:type="dcterms:W3CDTF">2012-08-10T07:45:00Z</dcterms:created>
  <dcterms:modified xsi:type="dcterms:W3CDTF">2012-10-08T11:34:00Z</dcterms:modified>
</cp:coreProperties>
</file>