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93975" w:rsidRPr="00D52EED" w:rsidP="002108FB">
      <w:pPr>
        <w:tabs>
          <w:tab w:val="left" w:pos="0"/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360" w:lineRule="auto"/>
        <w:ind w:left="360" w:hanging="360"/>
        <w:jc w:val="center"/>
        <w:rPr>
          <w:b/>
          <w:szCs w:val="24"/>
        </w:rPr>
      </w:pPr>
      <w:r w:rsidRPr="00D52EED">
        <w:rPr>
          <w:b/>
          <w:szCs w:val="24"/>
        </w:rPr>
        <w:t xml:space="preserve">Doložka zlučiteľnosti </w:t>
      </w:r>
    </w:p>
    <w:p w:rsidR="00993975" w:rsidP="002108FB">
      <w:pPr>
        <w:tabs>
          <w:tab w:val="left" w:pos="0"/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360" w:lineRule="auto"/>
        <w:ind w:left="360" w:hanging="360"/>
        <w:jc w:val="center"/>
        <w:rPr>
          <w:b/>
          <w:szCs w:val="24"/>
        </w:rPr>
      </w:pPr>
      <w:r w:rsidRPr="00D52EED">
        <w:rPr>
          <w:b/>
          <w:szCs w:val="24"/>
        </w:rPr>
        <w:t>právneho predpisu s právom Európskej únie</w:t>
      </w:r>
    </w:p>
    <w:p w:rsidR="002108FB" w:rsidRPr="002108FB" w:rsidP="002108FB">
      <w:pPr>
        <w:tabs>
          <w:tab w:val="left" w:pos="0"/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360" w:lineRule="auto"/>
        <w:ind w:left="360" w:hanging="360"/>
        <w:jc w:val="center"/>
        <w:rPr>
          <w:b/>
          <w:szCs w:val="24"/>
        </w:rPr>
      </w:pPr>
    </w:p>
    <w:p w:rsidR="00471241" w:rsidRPr="00D52EED" w:rsidP="00471241">
      <w:pPr>
        <w:tabs>
          <w:tab w:val="left" w:pos="0"/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360" w:lineRule="auto"/>
        <w:ind w:left="360" w:hanging="360"/>
        <w:jc w:val="both"/>
        <w:rPr>
          <w:szCs w:val="24"/>
        </w:rPr>
      </w:pPr>
      <w:r w:rsidRPr="00D52EED" w:rsidR="00EA48ED">
        <w:rPr>
          <w:b/>
          <w:szCs w:val="24"/>
        </w:rPr>
        <w:t>1</w:t>
      </w:r>
      <w:r w:rsidR="00FC0AEF">
        <w:rPr>
          <w:b/>
          <w:szCs w:val="24"/>
        </w:rPr>
        <w:t>.</w:t>
      </w:r>
      <w:r w:rsidR="00D35F61">
        <w:rPr>
          <w:b/>
          <w:szCs w:val="24"/>
        </w:rPr>
        <w:t xml:space="preserve"> </w:t>
      </w:r>
      <w:r w:rsidRPr="00D52EED" w:rsidR="00993975">
        <w:rPr>
          <w:b/>
          <w:szCs w:val="24"/>
        </w:rPr>
        <w:t>Predkladateľ právneho predpisu:</w:t>
      </w:r>
      <w:r w:rsidRPr="00D52EED" w:rsidR="00EA48ED">
        <w:rPr>
          <w:b/>
          <w:szCs w:val="24"/>
        </w:rPr>
        <w:t xml:space="preserve"> </w:t>
      </w:r>
      <w:r w:rsidRPr="00D52EED" w:rsidR="00993975">
        <w:rPr>
          <w:szCs w:val="24"/>
        </w:rPr>
        <w:t>Ministerstvo životného prostredia Slovenskej republiky</w:t>
      </w:r>
    </w:p>
    <w:p w:rsidR="001566B7" w:rsidRPr="00471241" w:rsidP="00471241">
      <w:pPr>
        <w:autoSpaceDE w:val="0"/>
        <w:autoSpaceDN w:val="0"/>
        <w:adjustRightInd w:val="0"/>
        <w:spacing w:line="360" w:lineRule="auto"/>
        <w:jc w:val="both"/>
        <w:rPr>
          <w:b/>
          <w:color w:val="000000"/>
          <w:szCs w:val="24"/>
        </w:rPr>
      </w:pPr>
      <w:r w:rsidR="00FC0AEF">
        <w:rPr>
          <w:b/>
          <w:szCs w:val="24"/>
        </w:rPr>
        <w:t>2.</w:t>
      </w:r>
      <w:r w:rsidRPr="00D52EED" w:rsidR="00993975">
        <w:rPr>
          <w:b/>
          <w:szCs w:val="24"/>
        </w:rPr>
        <w:t xml:space="preserve"> Názov návrhu právneho predpisu:</w:t>
      </w:r>
      <w:r w:rsidRPr="00D52EED" w:rsidR="00993975">
        <w:rPr>
          <w:szCs w:val="24"/>
        </w:rPr>
        <w:t xml:space="preserve"> </w:t>
      </w:r>
      <w:r w:rsidRPr="00D52EED" w:rsidR="00377F2F">
        <w:rPr>
          <w:szCs w:val="24"/>
        </w:rPr>
        <w:t>Návrh z</w:t>
      </w:r>
      <w:r w:rsidRPr="00D52EED" w:rsidR="00993975">
        <w:rPr>
          <w:szCs w:val="24"/>
        </w:rPr>
        <w:t>ákon</w:t>
      </w:r>
      <w:r w:rsidRPr="00D52EED">
        <w:rPr>
          <w:szCs w:val="24"/>
        </w:rPr>
        <w:t>a</w:t>
      </w:r>
      <w:r w:rsidRPr="00D52EED" w:rsidR="00A965BE">
        <w:rPr>
          <w:szCs w:val="24"/>
        </w:rPr>
        <w:t>, ktorým sa mení a dopĺňa zákon</w:t>
      </w:r>
      <w:r w:rsidRPr="00D52EED" w:rsidR="00993975">
        <w:rPr>
          <w:szCs w:val="24"/>
        </w:rPr>
        <w:t xml:space="preserve"> </w:t>
      </w:r>
      <w:r w:rsidR="00C937B1">
        <w:rPr>
          <w:szCs w:val="24"/>
        </w:rPr>
        <w:t xml:space="preserve">            </w:t>
      </w:r>
      <w:r w:rsidRPr="00D52EED">
        <w:rPr>
          <w:szCs w:val="24"/>
        </w:rPr>
        <w:t>č. 223/20</w:t>
      </w:r>
      <w:r w:rsidRPr="00D52EED">
        <w:rPr>
          <w:szCs w:val="24"/>
        </w:rPr>
        <w:t xml:space="preserve">01 Z. z. o odpadoch a o zmene a doplnení niektorých zákonov v </w:t>
      </w:r>
      <w:r w:rsidRPr="00D52EED">
        <w:rPr>
          <w:color w:val="000000"/>
          <w:szCs w:val="24"/>
        </w:rPr>
        <w:t>znení neskorších predpisov a</w:t>
      </w:r>
      <w:r w:rsidR="002D5ED7">
        <w:rPr>
          <w:color w:val="000000"/>
          <w:szCs w:val="24"/>
        </w:rPr>
        <w:t> o zm</w:t>
      </w:r>
      <w:r w:rsidR="007659A6">
        <w:rPr>
          <w:color w:val="000000"/>
          <w:szCs w:val="24"/>
        </w:rPr>
        <w:t>e</w:t>
      </w:r>
      <w:r w:rsidR="002D5ED7">
        <w:rPr>
          <w:color w:val="000000"/>
          <w:szCs w:val="24"/>
        </w:rPr>
        <w:t xml:space="preserve">ne a doplnení niektorých zákonov </w:t>
      </w:r>
    </w:p>
    <w:p w:rsidR="00993975" w:rsidRPr="00D52EED" w:rsidP="002108FB">
      <w:pPr>
        <w:tabs>
          <w:tab w:val="left" w:pos="0"/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360" w:lineRule="auto"/>
        <w:ind w:left="360" w:hanging="360"/>
        <w:jc w:val="both"/>
        <w:rPr>
          <w:b/>
          <w:szCs w:val="24"/>
        </w:rPr>
      </w:pPr>
      <w:r w:rsidR="00FC0AEF">
        <w:rPr>
          <w:b/>
          <w:szCs w:val="24"/>
        </w:rPr>
        <w:t>3.</w:t>
      </w:r>
      <w:r w:rsidRPr="00D52EED">
        <w:rPr>
          <w:b/>
          <w:szCs w:val="24"/>
        </w:rPr>
        <w:t xml:space="preserve">  Problematika návrhu právneho predpisu:</w:t>
      </w:r>
    </w:p>
    <w:p w:rsidR="00993975" w:rsidRPr="00D52EED" w:rsidP="002108FB">
      <w:pPr>
        <w:tabs>
          <w:tab w:val="left" w:pos="0"/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360" w:lineRule="auto"/>
        <w:ind w:left="360" w:hanging="360"/>
        <w:jc w:val="both"/>
        <w:rPr>
          <w:b/>
          <w:szCs w:val="24"/>
        </w:rPr>
      </w:pPr>
      <w:r w:rsidRPr="00D52EED">
        <w:rPr>
          <w:b/>
          <w:szCs w:val="24"/>
        </w:rPr>
        <w:t xml:space="preserve">A) je upravená v práve Európskej únie:  </w:t>
      </w:r>
    </w:p>
    <w:p w:rsidR="00993975" w:rsidRPr="00D52EED" w:rsidP="002108FB">
      <w:pPr>
        <w:spacing w:line="360" w:lineRule="auto"/>
        <w:jc w:val="both"/>
        <w:rPr>
          <w:szCs w:val="24"/>
          <w:u w:val="single"/>
        </w:rPr>
      </w:pPr>
      <w:r w:rsidRPr="00D52EED">
        <w:rPr>
          <w:szCs w:val="24"/>
        </w:rPr>
        <w:t xml:space="preserve">- </w:t>
      </w:r>
      <w:r w:rsidRPr="00D52EED">
        <w:rPr>
          <w:szCs w:val="24"/>
          <w:u w:val="single"/>
        </w:rPr>
        <w:t>primárnom:</w:t>
      </w:r>
    </w:p>
    <w:p w:rsidR="00993975" w:rsidRPr="00D52EED" w:rsidP="00471241">
      <w:pPr>
        <w:spacing w:line="360" w:lineRule="auto"/>
        <w:ind w:left="900"/>
        <w:jc w:val="both"/>
        <w:rPr>
          <w:szCs w:val="24"/>
        </w:rPr>
      </w:pPr>
      <w:r w:rsidRPr="00D52EED">
        <w:rPr>
          <w:szCs w:val="24"/>
        </w:rPr>
        <w:t>- v Hlave XX Životné prostred</w:t>
      </w:r>
      <w:r w:rsidRPr="00D52EED">
        <w:rPr>
          <w:szCs w:val="24"/>
        </w:rPr>
        <w:t>ie Zmluvy o fungovaní Európskej únie,</w:t>
      </w:r>
    </w:p>
    <w:p w:rsidR="00FC0AEF" w:rsidRPr="00D52EED" w:rsidP="002108FB">
      <w:pPr>
        <w:numPr>
          <w:ilvl w:val="0"/>
          <w:numId w:val="9"/>
        </w:numPr>
        <w:tabs>
          <w:tab w:val="left" w:pos="0"/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360" w:lineRule="auto"/>
        <w:jc w:val="both"/>
        <w:rPr>
          <w:szCs w:val="24"/>
          <w:u w:val="single"/>
        </w:rPr>
      </w:pPr>
      <w:r w:rsidRPr="00D52EED" w:rsidR="00A569B0">
        <w:rPr>
          <w:szCs w:val="24"/>
          <w:u w:val="single"/>
        </w:rPr>
        <w:t>s</w:t>
      </w:r>
      <w:r w:rsidRPr="00D52EED" w:rsidR="00993975">
        <w:rPr>
          <w:szCs w:val="24"/>
          <w:u w:val="single"/>
        </w:rPr>
        <w:t>ekundárnom</w:t>
      </w:r>
      <w:r w:rsidRPr="00D52EED" w:rsidR="00A569B0">
        <w:rPr>
          <w:szCs w:val="24"/>
          <w:u w:val="single"/>
        </w:rPr>
        <w:t xml:space="preserve"> (do Lisabonskej zmluvy):</w:t>
      </w:r>
    </w:p>
    <w:p w:rsidR="00FC0AEF" w:rsidRPr="00BC55DB" w:rsidP="002108FB">
      <w:pPr>
        <w:pStyle w:val="ListParagraph"/>
        <w:spacing w:line="360" w:lineRule="auto"/>
        <w:ind w:left="0"/>
        <w:jc w:val="both"/>
        <w:rPr>
          <w:rFonts w:ascii="Times New Roman" w:hAnsi="Times New Roman"/>
          <w:iCs/>
          <w:sz w:val="24"/>
          <w:szCs w:val="24"/>
        </w:rPr>
      </w:pPr>
      <w:r w:rsidRPr="00BC55DB" w:rsidR="000918ED">
        <w:rPr>
          <w:rFonts w:ascii="Times New Roman" w:hAnsi="Times New Roman"/>
          <w:iCs/>
          <w:sz w:val="24"/>
          <w:szCs w:val="24"/>
        </w:rPr>
        <w:t>1. Smernica Európskeho parlamentu a Rady 94/62/ES z 20. decembra 1994 o obaloch a odpadoch z obalov (Mimoriadne vydanie Ú. v. EÚ, kap. 13/zv. 13) v platnom znení.</w:t>
      </w:r>
    </w:p>
    <w:p w:rsidR="000918ED" w:rsidRPr="00BC55DB" w:rsidP="002108FB">
      <w:pPr>
        <w:pStyle w:val="ListParagraph"/>
        <w:spacing w:line="360" w:lineRule="auto"/>
        <w:ind w:left="0"/>
        <w:jc w:val="both"/>
        <w:rPr>
          <w:rFonts w:ascii="Times New Roman" w:hAnsi="Times New Roman"/>
          <w:iCs/>
          <w:sz w:val="24"/>
          <w:szCs w:val="24"/>
        </w:rPr>
      </w:pPr>
      <w:r w:rsidRPr="00BC55DB">
        <w:rPr>
          <w:rFonts w:ascii="Times New Roman" w:hAnsi="Times New Roman"/>
          <w:iCs/>
          <w:sz w:val="24"/>
          <w:szCs w:val="24"/>
        </w:rPr>
        <w:t>2. Smernica Európskeho parlamentu a Rady 2008/98/ES z 19. novembra 2008 o odpade a o zrušen</w:t>
      </w:r>
      <w:r w:rsidRPr="00BC55DB">
        <w:rPr>
          <w:rFonts w:ascii="Times New Roman" w:hAnsi="Times New Roman"/>
          <w:iCs/>
          <w:sz w:val="24"/>
          <w:szCs w:val="24"/>
        </w:rPr>
        <w:t>í určitých smerníc (Ú. v. EÚ L 312, 22.11.2008).</w:t>
      </w:r>
    </w:p>
    <w:p w:rsidR="005677C5" w:rsidRPr="00BC55DB" w:rsidP="002108FB">
      <w:pPr>
        <w:pStyle w:val="ListParagraph"/>
        <w:spacing w:line="36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BC55DB" w:rsidR="000918ED">
        <w:rPr>
          <w:rFonts w:ascii="Times New Roman" w:hAnsi="Times New Roman"/>
          <w:iCs/>
          <w:sz w:val="24"/>
          <w:szCs w:val="24"/>
        </w:rPr>
        <w:t>3. N</w:t>
      </w:r>
      <w:r w:rsidRPr="00BC55DB" w:rsidR="000918ED">
        <w:rPr>
          <w:rFonts w:ascii="Times New Roman" w:hAnsi="Times New Roman"/>
          <w:sz w:val="24"/>
          <w:szCs w:val="24"/>
        </w:rPr>
        <w:t>ariadenie Európskeho parlamentu a Rady (ES) č. 1069/2009 z  21. októbra 2009, ktorým sa ustanovujú zdravotné predpisy týkajúce sa vedľajších živočíšnych produktov a odvodených produktov neurčených na ľudskú spotrebu a ktorým sa zrušuje nariadenie (ES) č. 1774/2002 (nariadenie o vedľajších živočíšnych produktoch) (Ú. v. EÚ L 300, 14.11.2009) v platnom znení</w:t>
      </w:r>
      <w:r w:rsidRPr="00BC55DB" w:rsidR="000918ED">
        <w:rPr>
          <w:rFonts w:ascii="Times New Roman" w:hAnsi="Times New Roman"/>
          <w:i/>
          <w:sz w:val="24"/>
          <w:szCs w:val="24"/>
        </w:rPr>
        <w:t>.</w:t>
      </w:r>
    </w:p>
    <w:p w:rsidR="00A569B0" w:rsidRPr="00D52EED" w:rsidP="002108FB">
      <w:pPr>
        <w:numPr>
          <w:ilvl w:val="0"/>
          <w:numId w:val="9"/>
        </w:numPr>
        <w:tabs>
          <w:tab w:val="left" w:pos="0"/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360" w:lineRule="auto"/>
        <w:jc w:val="both"/>
        <w:rPr>
          <w:szCs w:val="24"/>
          <w:u w:val="single"/>
        </w:rPr>
      </w:pPr>
      <w:r w:rsidRPr="00D52EED">
        <w:rPr>
          <w:szCs w:val="24"/>
          <w:u w:val="single"/>
        </w:rPr>
        <w:t>sekundárnom (po Lisabonskej zmluve):</w:t>
      </w:r>
    </w:p>
    <w:p w:rsidR="00993975" w:rsidP="002108FB">
      <w:pPr>
        <w:tabs>
          <w:tab w:val="left" w:pos="0"/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360" w:lineRule="auto"/>
        <w:ind w:left="60"/>
        <w:jc w:val="both"/>
        <w:rPr>
          <w:szCs w:val="24"/>
        </w:rPr>
      </w:pPr>
      <w:r w:rsidRPr="00D52EED" w:rsidR="00A569B0">
        <w:rPr>
          <w:i/>
          <w:szCs w:val="24"/>
        </w:rPr>
        <w:t>a) legislatívne</w:t>
      </w:r>
      <w:r w:rsidRPr="00D52EED">
        <w:rPr>
          <w:szCs w:val="24"/>
        </w:rPr>
        <w:t>:</w:t>
      </w:r>
    </w:p>
    <w:p w:rsidR="00BC55DB" w:rsidRPr="00A93CB5" w:rsidP="002108FB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iCs/>
          <w:sz w:val="24"/>
          <w:szCs w:val="24"/>
        </w:rPr>
      </w:pPr>
      <w:r w:rsidRPr="00A93CB5" w:rsidR="00A93CB5">
        <w:rPr>
          <w:rFonts w:ascii="Times New Roman" w:hAnsi="Times New Roman"/>
          <w:iCs/>
          <w:sz w:val="24"/>
          <w:szCs w:val="24"/>
        </w:rPr>
        <w:t>1. Nariadenie Rady (EÚ) č. 333/2011 z  31. marca 2011, ktorým sa ustanovujú kritériá na určenie toho, kedy určité druhy kovového šrotu prestávajú byť odpadom podľa smernice Európskeho parlamentu a Rady 2008/</w:t>
      </w:r>
      <w:r w:rsidR="006E7AAA">
        <w:rPr>
          <w:rFonts w:ascii="Times New Roman" w:hAnsi="Times New Roman"/>
          <w:iCs/>
          <w:sz w:val="24"/>
          <w:szCs w:val="24"/>
        </w:rPr>
        <w:t>98/ES (Ú. v. EÚ L 94, 8.4.2011),</w:t>
      </w:r>
    </w:p>
    <w:p w:rsidR="00A93CB5" w:rsidRPr="007503ED" w:rsidP="007503ED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iCs/>
          <w:sz w:val="24"/>
          <w:szCs w:val="24"/>
        </w:rPr>
      </w:pPr>
      <w:r w:rsidRPr="007503ED">
        <w:rPr>
          <w:rFonts w:ascii="Times New Roman" w:hAnsi="Times New Roman"/>
          <w:sz w:val="24"/>
          <w:szCs w:val="24"/>
        </w:rPr>
        <w:t>2. Smernica Rady 2011/97/EÚ z  5. decembra 2011 , ktorou sa mení a dopĺňa smernica 1999/31/ES, pokiaľ ide o osobitné kritériá skladovania kovovej ortuti považovanej za odpad (Ú. v. EÚ L 328, 10.12.2011).</w:t>
      </w:r>
    </w:p>
    <w:p w:rsidR="00993975" w:rsidRPr="00D52EED" w:rsidP="002108FB">
      <w:pPr>
        <w:tabs>
          <w:tab w:val="left" w:pos="0"/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360" w:lineRule="auto"/>
        <w:ind w:left="60"/>
        <w:jc w:val="both"/>
        <w:rPr>
          <w:szCs w:val="24"/>
        </w:rPr>
      </w:pPr>
      <w:r w:rsidRPr="00D52EED" w:rsidR="00A569B0">
        <w:rPr>
          <w:i/>
          <w:szCs w:val="24"/>
        </w:rPr>
        <w:t>b) nelegislatívne</w:t>
      </w:r>
      <w:r w:rsidRPr="00D52EED" w:rsidR="00A569B0">
        <w:rPr>
          <w:szCs w:val="24"/>
        </w:rPr>
        <w:t>:</w:t>
      </w:r>
    </w:p>
    <w:p w:rsidR="00BD3BE1" w:rsidRPr="00D52EED" w:rsidP="002108FB">
      <w:pPr>
        <w:spacing w:line="360" w:lineRule="auto"/>
        <w:ind w:left="426" w:hanging="426"/>
        <w:rPr>
          <w:b/>
          <w:szCs w:val="24"/>
        </w:rPr>
      </w:pPr>
      <w:r w:rsidRPr="00D52EED">
        <w:rPr>
          <w:b/>
          <w:szCs w:val="24"/>
        </w:rPr>
        <w:t xml:space="preserve">B) obsiahnutá v judikatúre Súdneho dvora Európskej únie.  </w:t>
      </w:r>
    </w:p>
    <w:p w:rsidR="00BD3BE1" w:rsidRPr="00D52EED" w:rsidP="002108FB">
      <w:pPr>
        <w:tabs>
          <w:tab w:val="left" w:pos="360"/>
          <w:tab w:val="left" w:pos="720"/>
        </w:tabs>
        <w:suppressAutoHyphens/>
        <w:spacing w:line="360" w:lineRule="auto"/>
        <w:ind w:left="397"/>
        <w:jc w:val="both"/>
        <w:rPr>
          <w:rStyle w:val="Strong"/>
          <w:b w:val="0"/>
          <w:szCs w:val="24"/>
        </w:rPr>
      </w:pPr>
      <w:r w:rsidRPr="00D52EED" w:rsidR="00B350CF">
        <w:rPr>
          <w:b/>
          <w:szCs w:val="24"/>
        </w:rPr>
        <w:t>-</w:t>
      </w:r>
      <w:r w:rsidRPr="00D52EED" w:rsidR="00B350CF">
        <w:rPr>
          <w:rStyle w:val="ListBullet2"/>
          <w:b/>
          <w:szCs w:val="24"/>
        </w:rPr>
        <w:t xml:space="preserve"> </w:t>
      </w:r>
      <w:r w:rsidRPr="00D52EED" w:rsidR="00B350CF">
        <w:rPr>
          <w:rStyle w:val="Strong"/>
          <w:b w:val="0"/>
          <w:szCs w:val="24"/>
        </w:rPr>
        <w:t>vec C-358/11: Návrh na začatie pr</w:t>
      </w:r>
      <w:r w:rsidRPr="00D52EED" w:rsidR="00B350CF">
        <w:rPr>
          <w:rStyle w:val="Strong"/>
          <w:b w:val="0"/>
          <w:szCs w:val="24"/>
        </w:rPr>
        <w:t>ejudiciálneho konania, ktorý podal Korkein hallinto-oikeus (Fínsko) 8. júla 2011 — Lapin elinkeino-, liikenne- ja ympäristökeskuksen liikenne ja infrastruktuuri-vastuualue</w:t>
      </w:r>
    </w:p>
    <w:p w:rsidR="00A72B49" w:rsidRPr="00D52EED" w:rsidP="002108FB">
      <w:pPr>
        <w:tabs>
          <w:tab w:val="left" w:pos="360"/>
          <w:tab w:val="left" w:pos="720"/>
        </w:tabs>
        <w:suppressAutoHyphens/>
        <w:spacing w:line="360" w:lineRule="auto"/>
        <w:ind w:left="397"/>
        <w:jc w:val="both"/>
        <w:rPr>
          <w:rStyle w:val="Strong"/>
          <w:b w:val="0"/>
          <w:szCs w:val="24"/>
        </w:rPr>
      </w:pPr>
      <w:r w:rsidRPr="00D52EED" w:rsidR="00BB5C03">
        <w:rPr>
          <w:rStyle w:val="Strong"/>
          <w:b w:val="0"/>
          <w:szCs w:val="24"/>
        </w:rPr>
        <w:t>- v</w:t>
      </w:r>
      <w:r w:rsidRPr="00D52EED">
        <w:rPr>
          <w:rStyle w:val="Strong"/>
          <w:b w:val="0"/>
          <w:szCs w:val="24"/>
        </w:rPr>
        <w:t>ec C-188/07: Rozsudok Súdneho dvora (veľká komora) z  24. júna 2008 (návrh na zač</w:t>
      </w:r>
      <w:r w:rsidRPr="00D52EED">
        <w:rPr>
          <w:rStyle w:val="Strong"/>
          <w:b w:val="0"/>
          <w:szCs w:val="24"/>
        </w:rPr>
        <w:t>atie prejudiciálneho konania, ktorý podal Cour de cassation – Francúzsko) – Commune de Mesquer/Total France SA, Total International Ltd</w:t>
      </w:r>
    </w:p>
    <w:p w:rsidR="00C574C4" w:rsidRPr="00D52EED" w:rsidP="002108FB">
      <w:pPr>
        <w:tabs>
          <w:tab w:val="left" w:pos="360"/>
          <w:tab w:val="left" w:pos="720"/>
        </w:tabs>
        <w:suppressAutoHyphens/>
        <w:spacing w:line="360" w:lineRule="auto"/>
        <w:ind w:left="397"/>
        <w:jc w:val="both"/>
        <w:rPr>
          <w:rStyle w:val="Strong"/>
          <w:b w:val="0"/>
          <w:szCs w:val="24"/>
        </w:rPr>
      </w:pPr>
      <w:r w:rsidRPr="00D52EED">
        <w:rPr>
          <w:rStyle w:val="Strong"/>
          <w:b w:val="0"/>
          <w:szCs w:val="24"/>
        </w:rPr>
        <w:t>- vec C-129/96 Inter –Environnement Wallonie ASBL</w:t>
      </w:r>
    </w:p>
    <w:p w:rsidR="00903791" w:rsidRPr="00D52EED" w:rsidP="002108FB">
      <w:pPr>
        <w:tabs>
          <w:tab w:val="left" w:pos="360"/>
          <w:tab w:val="left" w:pos="720"/>
        </w:tabs>
        <w:suppressAutoHyphens/>
        <w:spacing w:line="360" w:lineRule="auto"/>
        <w:ind w:left="397"/>
        <w:jc w:val="both"/>
        <w:rPr>
          <w:rStyle w:val="Strong"/>
          <w:b w:val="0"/>
          <w:szCs w:val="24"/>
        </w:rPr>
      </w:pPr>
      <w:r w:rsidRPr="00D52EED">
        <w:rPr>
          <w:rStyle w:val="Strong"/>
          <w:b w:val="0"/>
          <w:szCs w:val="24"/>
        </w:rPr>
        <w:t>- trestná vec C-457/02 Antonio Niselli</w:t>
      </w:r>
    </w:p>
    <w:p w:rsidR="00C574C4" w:rsidRPr="00D52EED" w:rsidP="002108FB">
      <w:pPr>
        <w:tabs>
          <w:tab w:val="left" w:pos="360"/>
          <w:tab w:val="left" w:pos="720"/>
        </w:tabs>
        <w:suppressAutoHyphens/>
        <w:spacing w:line="360" w:lineRule="auto"/>
        <w:ind w:left="397"/>
        <w:jc w:val="both"/>
        <w:rPr>
          <w:rStyle w:val="Strong"/>
          <w:b w:val="0"/>
          <w:szCs w:val="24"/>
        </w:rPr>
      </w:pPr>
      <w:r w:rsidRPr="00D52EED">
        <w:rPr>
          <w:rStyle w:val="Strong"/>
          <w:b w:val="0"/>
          <w:szCs w:val="24"/>
        </w:rPr>
        <w:t>- vec C-9/00 Palin Granit Oy</w:t>
      </w:r>
    </w:p>
    <w:p w:rsidR="00C3794D" w:rsidRPr="00D52EED" w:rsidP="002108FB">
      <w:pPr>
        <w:tabs>
          <w:tab w:val="left" w:pos="360"/>
          <w:tab w:val="left" w:pos="720"/>
        </w:tabs>
        <w:suppressAutoHyphens/>
        <w:spacing w:line="360" w:lineRule="auto"/>
        <w:ind w:left="397"/>
        <w:jc w:val="both"/>
        <w:rPr>
          <w:rStyle w:val="Strong"/>
          <w:b w:val="0"/>
          <w:szCs w:val="24"/>
        </w:rPr>
      </w:pPr>
      <w:r w:rsidRPr="00D52EED" w:rsidR="00042DBE">
        <w:rPr>
          <w:rStyle w:val="Strong"/>
          <w:b w:val="0"/>
          <w:szCs w:val="24"/>
        </w:rPr>
        <w:t>- vec C-419/97 ARCO Chemie Nederlande LtD</w:t>
      </w:r>
    </w:p>
    <w:p w:rsidR="00903791" w:rsidRPr="00D52EED" w:rsidP="002108FB">
      <w:pPr>
        <w:tabs>
          <w:tab w:val="left" w:pos="360"/>
          <w:tab w:val="left" w:pos="720"/>
        </w:tabs>
        <w:suppressAutoHyphens/>
        <w:spacing w:line="360" w:lineRule="auto"/>
        <w:ind w:left="397"/>
        <w:jc w:val="both"/>
        <w:rPr>
          <w:b/>
          <w:szCs w:val="24"/>
        </w:rPr>
      </w:pPr>
      <w:r w:rsidRPr="00D52EED">
        <w:rPr>
          <w:rStyle w:val="Strong"/>
          <w:b w:val="0"/>
          <w:szCs w:val="24"/>
        </w:rPr>
        <w:t>- vec C-263/05 Európska komisia proti Talianskej republike</w:t>
      </w:r>
    </w:p>
    <w:p w:rsidR="00BD3BE1" w:rsidRPr="00D52EED" w:rsidP="002108FB">
      <w:pPr>
        <w:tabs>
          <w:tab w:val="left" w:pos="0"/>
          <w:tab w:val="left" w:pos="27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360" w:lineRule="auto"/>
        <w:ind w:left="360" w:hanging="360"/>
        <w:jc w:val="both"/>
        <w:rPr>
          <w:szCs w:val="24"/>
        </w:rPr>
      </w:pPr>
    </w:p>
    <w:p w:rsidR="00BD3BE1" w:rsidRPr="00D52EED" w:rsidP="002108FB">
      <w:pPr>
        <w:tabs>
          <w:tab w:val="left" w:pos="0"/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360" w:lineRule="auto"/>
        <w:ind w:left="360" w:hanging="360"/>
        <w:jc w:val="both"/>
        <w:rPr>
          <w:b/>
          <w:szCs w:val="24"/>
        </w:rPr>
      </w:pPr>
      <w:r w:rsidRPr="00D52EED" w:rsidR="00EB1A70">
        <w:rPr>
          <w:b/>
          <w:szCs w:val="24"/>
        </w:rPr>
        <w:t>4</w:t>
      </w:r>
      <w:r w:rsidR="00FC0AEF">
        <w:rPr>
          <w:b/>
          <w:szCs w:val="24"/>
        </w:rPr>
        <w:t xml:space="preserve">. </w:t>
      </w:r>
      <w:r w:rsidRPr="00D52EED">
        <w:rPr>
          <w:b/>
          <w:szCs w:val="24"/>
        </w:rPr>
        <w:t xml:space="preserve"> Záväzky Slovenskej republiky vo vzťahu k Európskej únii:</w:t>
      </w:r>
    </w:p>
    <w:p w:rsidR="00BD3BE1" w:rsidRPr="00D52EED" w:rsidP="002108FB">
      <w:pPr>
        <w:tabs>
          <w:tab w:val="left" w:pos="0"/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360" w:lineRule="auto"/>
        <w:ind w:left="360" w:hanging="360"/>
        <w:jc w:val="both"/>
        <w:rPr>
          <w:szCs w:val="24"/>
        </w:rPr>
      </w:pPr>
      <w:r w:rsidRPr="00D52EED">
        <w:rPr>
          <w:szCs w:val="24"/>
        </w:rPr>
        <w:tab/>
        <w:t>a) lehota na prebra</w:t>
      </w:r>
      <w:r w:rsidRPr="00D52EED" w:rsidR="0048534A">
        <w:rPr>
          <w:szCs w:val="24"/>
        </w:rPr>
        <w:t>t</w:t>
      </w:r>
      <w:r w:rsidRPr="00D52EED">
        <w:rPr>
          <w:szCs w:val="24"/>
        </w:rPr>
        <w:t>ie smernice alebo lehota na implementáciu nari</w:t>
      </w:r>
      <w:r w:rsidRPr="00D52EED" w:rsidR="006F1512">
        <w:rPr>
          <w:szCs w:val="24"/>
        </w:rPr>
        <w:t>adenia alebo rozhodnutia z nich</w:t>
      </w:r>
    </w:p>
    <w:p w:rsidR="00BD3BE1" w:rsidRPr="00D52EED" w:rsidP="002108FB">
      <w:pPr>
        <w:tabs>
          <w:tab w:val="left" w:pos="360"/>
          <w:tab w:val="left" w:pos="708"/>
        </w:tabs>
        <w:suppressAutoHyphens/>
        <w:spacing w:line="360" w:lineRule="auto"/>
        <w:ind w:left="397"/>
        <w:jc w:val="both"/>
        <w:rPr>
          <w:szCs w:val="24"/>
        </w:rPr>
      </w:pPr>
      <w:r w:rsidR="00A96C45">
        <w:rPr>
          <w:szCs w:val="24"/>
        </w:rPr>
        <w:t xml:space="preserve">- </w:t>
      </w:r>
      <w:r w:rsidRPr="00D52EED">
        <w:rPr>
          <w:szCs w:val="24"/>
        </w:rPr>
        <w:t>lehota na prebra</w:t>
      </w:r>
      <w:r w:rsidRPr="00D52EED" w:rsidR="001254E8">
        <w:rPr>
          <w:szCs w:val="24"/>
        </w:rPr>
        <w:t>t</w:t>
      </w:r>
      <w:r w:rsidRPr="00D52EED">
        <w:rPr>
          <w:szCs w:val="24"/>
        </w:rPr>
        <w:t xml:space="preserve">ie Smernice </w:t>
      </w:r>
      <w:r w:rsidRPr="00D52EED" w:rsidR="00457BF9">
        <w:rPr>
          <w:szCs w:val="24"/>
        </w:rPr>
        <w:t xml:space="preserve">Európskeho parlamentu a </w:t>
      </w:r>
      <w:r w:rsidRPr="00D52EED">
        <w:rPr>
          <w:szCs w:val="24"/>
        </w:rPr>
        <w:t>Rady 2008/98/ES  z 19.novembra 2008 o odpade a o zrušení určitých smerníc</w:t>
      </w:r>
      <w:r w:rsidRPr="00D52EED" w:rsidR="00C01F72">
        <w:rPr>
          <w:szCs w:val="24"/>
        </w:rPr>
        <w:t xml:space="preserve"> do 12.12.2010</w:t>
      </w:r>
      <w:r w:rsidRPr="00D52EED">
        <w:rPr>
          <w:szCs w:val="24"/>
        </w:rPr>
        <w:t xml:space="preserve"> </w:t>
      </w:r>
    </w:p>
    <w:p w:rsidR="004904B6" w:rsidRPr="00D52EED" w:rsidP="002108FB">
      <w:pPr>
        <w:tabs>
          <w:tab w:val="left" w:pos="360"/>
          <w:tab w:val="left" w:pos="708"/>
        </w:tabs>
        <w:suppressAutoHyphens/>
        <w:spacing w:line="360" w:lineRule="auto"/>
        <w:ind w:left="397"/>
        <w:jc w:val="both"/>
        <w:rPr>
          <w:szCs w:val="24"/>
        </w:rPr>
      </w:pPr>
    </w:p>
    <w:p w:rsidR="00BD3BE1" w:rsidP="002108FB">
      <w:pPr>
        <w:tabs>
          <w:tab w:val="left" w:pos="360"/>
        </w:tabs>
        <w:suppressAutoHyphens/>
        <w:spacing w:line="360" w:lineRule="auto"/>
        <w:ind w:left="360"/>
        <w:jc w:val="both"/>
        <w:rPr>
          <w:szCs w:val="24"/>
        </w:rPr>
      </w:pPr>
      <w:r w:rsidR="00A96C45">
        <w:rPr>
          <w:szCs w:val="24"/>
        </w:rPr>
        <w:t xml:space="preserve">- </w:t>
      </w:r>
      <w:r w:rsidRPr="00D52EED">
        <w:rPr>
          <w:szCs w:val="24"/>
        </w:rPr>
        <w:t>lehota na prebratie Smernica Rady 2011/97/EÚ z 5. decembra 2011, ktorou sa mení a dopĺňa smernica 1</w:t>
      </w:r>
      <w:r w:rsidRPr="00D52EED">
        <w:rPr>
          <w:szCs w:val="24"/>
        </w:rPr>
        <w:t>999/31/ES, pokiaľ ide o osobitné kritéria skladovania kovovej ortuti považovanej za odpad je do 15. marca 2013</w:t>
      </w:r>
    </w:p>
    <w:p w:rsidR="00FC0AEF" w:rsidRPr="00D52EED" w:rsidP="002108FB">
      <w:pPr>
        <w:tabs>
          <w:tab w:val="left" w:pos="360"/>
        </w:tabs>
        <w:suppressAutoHyphens/>
        <w:spacing w:line="360" w:lineRule="auto"/>
        <w:ind w:left="360"/>
        <w:jc w:val="both"/>
        <w:rPr>
          <w:szCs w:val="24"/>
        </w:rPr>
      </w:pPr>
    </w:p>
    <w:p w:rsidR="00DE531C" w:rsidP="002108FB">
      <w:pPr>
        <w:tabs>
          <w:tab w:val="left" w:pos="360"/>
        </w:tabs>
        <w:suppressAutoHyphens/>
        <w:spacing w:line="360" w:lineRule="auto"/>
        <w:ind w:left="360"/>
        <w:jc w:val="both"/>
        <w:rPr>
          <w:iCs/>
          <w:szCs w:val="24"/>
        </w:rPr>
      </w:pPr>
      <w:r w:rsidRPr="00903EE5" w:rsidR="00AB774E">
        <w:rPr>
          <w:szCs w:val="24"/>
        </w:rPr>
        <w:t xml:space="preserve">- lehota na prebratie </w:t>
      </w:r>
      <w:r w:rsidRPr="00903EE5" w:rsidR="003B5516">
        <w:rPr>
          <w:iCs/>
          <w:szCs w:val="24"/>
        </w:rPr>
        <w:t>Smernica Európskeho parlamentu a Rady 94/62/ES z 20. decembra 1994 o o</w:t>
      </w:r>
      <w:r w:rsidRPr="00903EE5" w:rsidR="003C0B9C">
        <w:rPr>
          <w:iCs/>
          <w:szCs w:val="24"/>
        </w:rPr>
        <w:t xml:space="preserve">baloch a odpadoch z obalov je </w:t>
      </w:r>
      <w:r w:rsidR="003C0B9C">
        <w:rPr>
          <w:iCs/>
          <w:szCs w:val="24"/>
        </w:rPr>
        <w:t xml:space="preserve">nadobudnutím účinnosti </w:t>
      </w:r>
      <w:r w:rsidR="0069383D">
        <w:rPr>
          <w:iCs/>
          <w:szCs w:val="24"/>
        </w:rPr>
        <w:t>Zmluvy o pristúpení SR k Európskej únii.</w:t>
      </w:r>
    </w:p>
    <w:p w:rsidR="00FC0AEF" w:rsidRPr="00D52EED" w:rsidP="002108FB">
      <w:pPr>
        <w:tabs>
          <w:tab w:val="left" w:pos="360"/>
        </w:tabs>
        <w:suppressAutoHyphens/>
        <w:spacing w:line="360" w:lineRule="auto"/>
        <w:ind w:left="360"/>
        <w:jc w:val="both"/>
        <w:rPr>
          <w:szCs w:val="24"/>
        </w:rPr>
      </w:pPr>
    </w:p>
    <w:p w:rsidR="00FC0AEF" w:rsidRPr="002108FB" w:rsidP="002108FB">
      <w:pPr>
        <w:spacing w:line="360" w:lineRule="auto"/>
        <w:ind w:left="567" w:hanging="283"/>
        <w:jc w:val="both"/>
        <w:rPr>
          <w:szCs w:val="24"/>
        </w:rPr>
      </w:pPr>
      <w:r>
        <w:rPr>
          <w:szCs w:val="24"/>
        </w:rPr>
        <w:t xml:space="preserve"> b)</w:t>
      </w:r>
      <w:r w:rsidR="00072E75">
        <w:rPr>
          <w:szCs w:val="24"/>
        </w:rPr>
        <w:t xml:space="preserve"> </w:t>
      </w:r>
      <w:r w:rsidRPr="00D52EED" w:rsidR="00BD3BE1">
        <w:rPr>
          <w:szCs w:val="24"/>
        </w:rPr>
        <w:t xml:space="preserve">lehota určená na predloženie návrhu právneho predpisu na rokovanie vlády podľa </w:t>
      </w:r>
      <w:r>
        <w:rPr>
          <w:szCs w:val="24"/>
        </w:rPr>
        <w:t xml:space="preserve">  </w:t>
      </w:r>
      <w:r w:rsidR="00072E75">
        <w:rPr>
          <w:szCs w:val="24"/>
        </w:rPr>
        <w:t xml:space="preserve">  </w:t>
      </w:r>
      <w:r w:rsidRPr="00D52EED" w:rsidR="00BD3BE1">
        <w:rPr>
          <w:szCs w:val="24"/>
        </w:rPr>
        <w:t>určenia gestorských ústredných orgánov štátnej správy zodpovedných za transpozíciu smerníc a vypracovanie tabuliek zhody k návrhom všeobecne záväzných právnych predpisov</w:t>
      </w:r>
    </w:p>
    <w:p w:rsidR="00BD3BE1" w:rsidRPr="002108FB" w:rsidP="002108FB">
      <w:pPr>
        <w:numPr>
          <w:ilvl w:val="0"/>
          <w:numId w:val="7"/>
        </w:numPr>
        <w:spacing w:line="360" w:lineRule="auto"/>
        <w:jc w:val="both"/>
        <w:rPr>
          <w:szCs w:val="24"/>
        </w:rPr>
      </w:pPr>
      <w:r w:rsidRPr="00D52EED" w:rsidR="00C01F72">
        <w:rPr>
          <w:szCs w:val="24"/>
        </w:rPr>
        <w:t>Plán legislatívnych úloh vlády Slovenskej republiky na 2. polrok 2012 – október 2012</w:t>
      </w:r>
    </w:p>
    <w:p w:rsidR="00BD3BE1" w:rsidRPr="002108FB" w:rsidP="002108FB">
      <w:pPr>
        <w:spacing w:line="360" w:lineRule="auto"/>
        <w:ind w:left="567" w:hanging="283"/>
        <w:rPr>
          <w:szCs w:val="24"/>
        </w:rPr>
      </w:pPr>
      <w:r w:rsidRPr="00D52EED">
        <w:t xml:space="preserve"> c) informácia o konaní začatom proti Slovenskej republike o porušení Zmluvy o fungovaní Európskej únie podľa čl. 258 až 260 tejto zmluvy:</w:t>
      </w:r>
    </w:p>
    <w:p w:rsidR="00BD3BE1" w:rsidRPr="002108FB" w:rsidP="002108FB">
      <w:pPr>
        <w:pStyle w:val="BodyTextIndent"/>
        <w:spacing w:after="0" w:line="360" w:lineRule="auto"/>
        <w:jc w:val="both"/>
        <w:rPr>
          <w:iCs/>
          <w:szCs w:val="24"/>
          <w:u w:val="single"/>
        </w:rPr>
      </w:pPr>
      <w:r w:rsidRPr="00D52EED">
        <w:rPr>
          <w:b/>
          <w:szCs w:val="24"/>
        </w:rPr>
        <w:t xml:space="preserve">- </w:t>
      </w:r>
      <w:r w:rsidRPr="00D52EED">
        <w:rPr>
          <w:szCs w:val="24"/>
        </w:rPr>
        <w:t>Ad</w:t>
      </w:r>
      <w:r w:rsidRPr="00D52EED">
        <w:rPr>
          <w:b/>
          <w:szCs w:val="24"/>
        </w:rPr>
        <w:t xml:space="preserve"> </w:t>
      </w:r>
      <w:r w:rsidRPr="00D52EED">
        <w:rPr>
          <w:szCs w:val="24"/>
        </w:rPr>
        <w:t>článok 35 a 36 Zmluvy o fungovaní EÚ</w:t>
      </w:r>
      <w:r w:rsidRPr="00D52EED">
        <w:rPr>
          <w:iCs/>
          <w:szCs w:val="24"/>
        </w:rPr>
        <w:t xml:space="preserve">: </w:t>
      </w:r>
      <w:r w:rsidRPr="00D52EED">
        <w:rPr>
          <w:iCs/>
          <w:szCs w:val="24"/>
          <w:u w:val="single"/>
        </w:rPr>
        <w:t>odôvodnené stanovisko</w:t>
      </w:r>
      <w:r w:rsidRPr="00D52EED" w:rsidR="00DE531C">
        <w:rPr>
          <w:iCs/>
          <w:szCs w:val="24"/>
          <w:u w:val="single"/>
        </w:rPr>
        <w:t xml:space="preserve"> -</w:t>
      </w:r>
      <w:r w:rsidRPr="00D52EED">
        <w:rPr>
          <w:iCs/>
          <w:szCs w:val="24"/>
          <w:u w:val="single"/>
        </w:rPr>
        <w:t xml:space="preserve"> Porušenie č. 2009/4548 Európskej komisie K(2011) 6702 zo dňa 29.09.2011 (§ 23 ods. 4 zákona o odpadoch),</w:t>
      </w:r>
    </w:p>
    <w:p w:rsidR="00BD3BE1" w:rsidRPr="002108FB" w:rsidP="002108FB">
      <w:pPr>
        <w:spacing w:line="360" w:lineRule="auto"/>
        <w:ind w:left="283"/>
        <w:contextualSpacing/>
        <w:jc w:val="both"/>
        <w:rPr>
          <w:szCs w:val="24"/>
          <w:u w:val="single"/>
        </w:rPr>
      </w:pPr>
      <w:r w:rsidRPr="00D52EED">
        <w:rPr>
          <w:b/>
        </w:rPr>
        <w:t xml:space="preserve">- </w:t>
      </w:r>
      <w:r w:rsidRPr="00D52EED">
        <w:t>Ad Smernica Európskeho parlamentu  a   Rady  2008/98/ES z 19. novembra 2008 o odpade a o zrušení určitých smerníc (Ú. v. EÚ L 312/3, 22.11.2008):</w:t>
      </w:r>
      <w:r w:rsidRPr="00D52EED">
        <w:rPr>
          <w:u w:val="single"/>
        </w:rPr>
        <w:t xml:space="preserve"> </w:t>
      </w:r>
      <w:r w:rsidRPr="00D52EED" w:rsidR="004904B6">
        <w:rPr>
          <w:u w:val="single"/>
        </w:rPr>
        <w:t xml:space="preserve">- Slovenská republika čelí žalobe </w:t>
      </w:r>
      <w:r w:rsidR="00C15AE8">
        <w:rPr>
          <w:u w:val="single"/>
        </w:rPr>
        <w:t>pre</w:t>
      </w:r>
      <w:r w:rsidRPr="00D52EED" w:rsidR="004904B6">
        <w:rPr>
          <w:u w:val="single"/>
        </w:rPr>
        <w:t xml:space="preserve"> netranspozíciu smernice </w:t>
      </w:r>
    </w:p>
    <w:p w:rsidR="00DE531C" w:rsidRPr="002108FB" w:rsidP="002108FB">
      <w:pPr>
        <w:pStyle w:val="BodyTextIndent"/>
        <w:spacing w:after="0" w:line="360" w:lineRule="auto"/>
        <w:jc w:val="both"/>
        <w:rPr>
          <w:b/>
          <w:szCs w:val="24"/>
        </w:rPr>
      </w:pPr>
      <w:r w:rsidRPr="00D52EED">
        <w:rPr>
          <w:b/>
        </w:rPr>
        <w:t xml:space="preserve">- </w:t>
      </w:r>
      <w:r w:rsidRPr="00D52EED">
        <w:t>Ad</w:t>
      </w:r>
      <w:r w:rsidRPr="00D52EED">
        <w:rPr>
          <w:b/>
        </w:rPr>
        <w:t xml:space="preserve"> </w:t>
      </w:r>
      <w:r w:rsidRPr="00D52EED">
        <w:t>Smernica Európskeho parlamentu a R</w:t>
      </w:r>
      <w:r w:rsidRPr="00D52EED">
        <w:t>a</w:t>
      </w:r>
      <w:r w:rsidRPr="00D52EED">
        <w:t>dy 94/62/ES z 20. decembra 1994 o obaloch a odpadoch z obalov – Slovenskej republike (</w:t>
      </w:r>
      <w:r w:rsidR="00EB33A7">
        <w:t>Mimoriadne vydanie Ú. v. EÚ, kap. 13/zv. 13)</w:t>
      </w:r>
      <w:r w:rsidRPr="00D52EED">
        <w:t xml:space="preserve">: </w:t>
      </w:r>
      <w:r w:rsidRPr="00D52EED">
        <w:rPr>
          <w:u w:val="single"/>
        </w:rPr>
        <w:t>odôvodnené stanovisko - Porušenie č. 2010/2150</w:t>
      </w:r>
      <w:r w:rsidRPr="00D52EED" w:rsidR="008C5A8E">
        <w:rPr>
          <w:u w:val="single"/>
        </w:rPr>
        <w:t xml:space="preserve"> Európskej komisie C(2012) 1682 zo dňa 22.03.2012</w:t>
      </w:r>
      <w:r w:rsidRPr="00D52EED" w:rsidR="000F184D">
        <w:rPr>
          <w:u w:val="single"/>
        </w:rPr>
        <w:t xml:space="preserve"> (nevyhovujúca transpozícia čl. 6 ods. 3 a 4, čl. 9 ods. 2</w:t>
      </w:r>
      <w:r w:rsidRPr="00D52EED" w:rsidR="005429B0">
        <w:rPr>
          <w:u w:val="single"/>
        </w:rPr>
        <w:t xml:space="preserve"> písm. a</w:t>
      </w:r>
      <w:r w:rsidRPr="00D52EED" w:rsidR="000F184D">
        <w:rPr>
          <w:u w:val="single"/>
        </w:rPr>
        <w:t>)</w:t>
      </w:r>
    </w:p>
    <w:p w:rsidR="00584114" w:rsidP="002108FB">
      <w:pPr>
        <w:tabs>
          <w:tab w:val="left" w:pos="360"/>
          <w:tab w:val="left" w:pos="708"/>
        </w:tabs>
        <w:suppressAutoHyphens/>
        <w:spacing w:line="360" w:lineRule="auto"/>
        <w:ind w:left="284"/>
        <w:jc w:val="both"/>
        <w:rPr>
          <w:szCs w:val="24"/>
        </w:rPr>
      </w:pPr>
    </w:p>
    <w:p w:rsidR="00FB000F" w:rsidRPr="00584114" w:rsidP="00584114">
      <w:pPr>
        <w:tabs>
          <w:tab w:val="left" w:pos="360"/>
          <w:tab w:val="left" w:pos="708"/>
        </w:tabs>
        <w:suppressAutoHyphens/>
        <w:spacing w:line="360" w:lineRule="auto"/>
        <w:ind w:left="284"/>
        <w:jc w:val="both"/>
        <w:rPr>
          <w:szCs w:val="24"/>
        </w:rPr>
      </w:pPr>
      <w:r w:rsidRPr="00D52EED">
        <w:rPr>
          <w:szCs w:val="24"/>
        </w:rPr>
        <w:t>d) informácia o právnych predpiso</w:t>
      </w:r>
      <w:r w:rsidRPr="00D52EED" w:rsidR="009E07ED">
        <w:rPr>
          <w:szCs w:val="24"/>
        </w:rPr>
        <w:t>ch</w:t>
      </w:r>
      <w:r w:rsidRPr="00D52EED">
        <w:rPr>
          <w:szCs w:val="24"/>
        </w:rPr>
        <w:t xml:space="preserve">, v ktorých </w:t>
      </w:r>
      <w:r w:rsidRPr="00D52EED" w:rsidR="007D3E41">
        <w:rPr>
          <w:szCs w:val="24"/>
        </w:rPr>
        <w:t>sú</w:t>
      </w:r>
      <w:r w:rsidRPr="00D52EED">
        <w:rPr>
          <w:szCs w:val="24"/>
        </w:rPr>
        <w:t xml:space="preserve"> preberan</w:t>
      </w:r>
      <w:r w:rsidRPr="00D52EED" w:rsidR="007D3E41">
        <w:rPr>
          <w:szCs w:val="24"/>
        </w:rPr>
        <w:t>é</w:t>
      </w:r>
      <w:r w:rsidRPr="00D52EED">
        <w:rPr>
          <w:szCs w:val="24"/>
        </w:rPr>
        <w:t xml:space="preserve"> smernic</w:t>
      </w:r>
      <w:r w:rsidRPr="00D52EED" w:rsidR="007D3E41">
        <w:rPr>
          <w:szCs w:val="24"/>
        </w:rPr>
        <w:t>e</w:t>
      </w:r>
      <w:r w:rsidRPr="00D52EED">
        <w:rPr>
          <w:szCs w:val="24"/>
        </w:rPr>
        <w:t xml:space="preserve"> už prebrat</w:t>
      </w:r>
      <w:r w:rsidRPr="00D52EED" w:rsidR="007D3E41">
        <w:rPr>
          <w:szCs w:val="24"/>
        </w:rPr>
        <w:t>é</w:t>
      </w:r>
      <w:r w:rsidRPr="00D52EED">
        <w:rPr>
          <w:szCs w:val="24"/>
        </w:rPr>
        <w:t>, spolu s uvedením rozsahu tohto prebratia</w:t>
      </w:r>
    </w:p>
    <w:p w:rsidR="001C6068" w:rsidRPr="00D52EED" w:rsidP="00584114">
      <w:pPr>
        <w:tabs>
          <w:tab w:val="left" w:pos="360"/>
          <w:tab w:val="left" w:pos="708"/>
        </w:tabs>
        <w:suppressAutoHyphens/>
        <w:spacing w:line="360" w:lineRule="auto"/>
        <w:ind w:left="397"/>
        <w:jc w:val="both"/>
        <w:rPr>
          <w:szCs w:val="24"/>
        </w:rPr>
      </w:pPr>
      <w:r w:rsidR="00584114">
        <w:rPr>
          <w:szCs w:val="24"/>
        </w:rPr>
        <w:t xml:space="preserve">- </w:t>
      </w:r>
      <w:r w:rsidRPr="00D52EED">
        <w:rPr>
          <w:szCs w:val="24"/>
        </w:rPr>
        <w:t xml:space="preserve">Smernica </w:t>
      </w:r>
      <w:r w:rsidRPr="00D52EED" w:rsidR="002E26BC">
        <w:rPr>
          <w:szCs w:val="24"/>
        </w:rPr>
        <w:t xml:space="preserve">Európskeho parlamentu a </w:t>
      </w:r>
      <w:r w:rsidRPr="00D52EED">
        <w:rPr>
          <w:szCs w:val="24"/>
        </w:rPr>
        <w:t xml:space="preserve">Rady 2008/98/ES  z 19.novembra 2008 o odpade a o zrušení určitých smerníc a Smernica Rady 2011/97/EÚ z 5. decembra 2011, ktorou sa mení a dopĺňa smernica 1999/31/ES, pokiaľ ide o osobitné kritéria skladovania kovovej ortuti považovanej za odpad - </w:t>
      </w:r>
      <w:r w:rsidRPr="00D52EED" w:rsidR="00C01F72">
        <w:rPr>
          <w:szCs w:val="24"/>
        </w:rPr>
        <w:t>zatiaľ neprevzaté</w:t>
      </w:r>
    </w:p>
    <w:p w:rsidR="001C6068" w:rsidRPr="00D52EED" w:rsidP="00584114">
      <w:pPr>
        <w:tabs>
          <w:tab w:val="left" w:pos="360"/>
        </w:tabs>
        <w:suppressAutoHyphens/>
        <w:spacing w:line="360" w:lineRule="auto"/>
        <w:ind w:left="360"/>
        <w:jc w:val="both"/>
        <w:rPr>
          <w:szCs w:val="24"/>
        </w:rPr>
      </w:pPr>
      <w:r w:rsidR="00584114">
        <w:rPr>
          <w:szCs w:val="24"/>
        </w:rPr>
        <w:t xml:space="preserve">- </w:t>
      </w:r>
      <w:r w:rsidRPr="00D52EED">
        <w:rPr>
          <w:szCs w:val="24"/>
        </w:rPr>
        <w:t>Smernica Európskeho parlamentu a R</w:t>
      </w:r>
      <w:r w:rsidRPr="00D52EED">
        <w:rPr>
          <w:szCs w:val="24"/>
        </w:rPr>
        <w:t>a</w:t>
      </w:r>
      <w:r w:rsidRPr="00D52EED">
        <w:rPr>
          <w:szCs w:val="24"/>
        </w:rPr>
        <w:t>dy 94/62/ES z 20. decembra 1994 o obaloch a odpadoch z obalov – nevyhovujúco prevzatá do nasledovných právnych predpisov: zákon č. 119/2010 Z. z. o obaloch a o zmene zákona č. 223/2001 Z. z. o odpadoch a o zmene a doplnení niektorých zákonov v znení neskorších predpisov, vyhláška č. 91/2011 Z. z. o vykonaní niektorých ustanovení zákona o obaloch</w:t>
      </w:r>
    </w:p>
    <w:p w:rsidR="00FB000F" w:rsidRPr="00D52EED" w:rsidP="002108FB">
      <w:pPr>
        <w:tabs>
          <w:tab w:val="left" w:pos="360"/>
          <w:tab w:val="left" w:pos="708"/>
        </w:tabs>
        <w:suppressAutoHyphens/>
        <w:spacing w:line="360" w:lineRule="auto"/>
        <w:jc w:val="both"/>
        <w:rPr>
          <w:color w:val="FF0000"/>
          <w:szCs w:val="24"/>
        </w:rPr>
      </w:pPr>
      <w:r w:rsidRPr="00D52EED">
        <w:rPr>
          <w:color w:val="FF0000"/>
          <w:szCs w:val="24"/>
        </w:rPr>
        <w:t xml:space="preserve"> </w:t>
      </w:r>
    </w:p>
    <w:p w:rsidR="00993975" w:rsidP="002108FB">
      <w:pPr>
        <w:spacing w:line="360" w:lineRule="auto"/>
        <w:jc w:val="both"/>
        <w:rPr>
          <w:b/>
          <w:szCs w:val="24"/>
        </w:rPr>
      </w:pPr>
      <w:r w:rsidRPr="00D52EED" w:rsidR="00C01F72">
        <w:rPr>
          <w:b/>
          <w:szCs w:val="24"/>
        </w:rPr>
        <w:t>5</w:t>
      </w:r>
      <w:r w:rsidR="00FC0AEF">
        <w:rPr>
          <w:b/>
          <w:szCs w:val="24"/>
        </w:rPr>
        <w:t xml:space="preserve">. </w:t>
      </w:r>
      <w:r w:rsidRPr="00D52EED">
        <w:rPr>
          <w:szCs w:val="24"/>
        </w:rPr>
        <w:t xml:space="preserve"> </w:t>
      </w:r>
      <w:r w:rsidRPr="00D52EED">
        <w:rPr>
          <w:b/>
          <w:szCs w:val="24"/>
        </w:rPr>
        <w:t>Stupeň zlučiteľnosti návrhu právneho predpisu s právom Európskej únie:</w:t>
      </w:r>
    </w:p>
    <w:p w:rsidR="00584114" w:rsidRPr="00584114" w:rsidP="002108FB">
      <w:pPr>
        <w:spacing w:line="360" w:lineRule="auto"/>
        <w:jc w:val="both"/>
        <w:rPr>
          <w:szCs w:val="24"/>
        </w:rPr>
      </w:pPr>
      <w:r w:rsidRPr="001D5C82" w:rsidR="001D5C82">
        <w:rPr>
          <w:szCs w:val="24"/>
        </w:rPr>
        <w:t xml:space="preserve">     Úplný</w:t>
      </w:r>
    </w:p>
    <w:p w:rsidR="00993975" w:rsidRPr="00D52EED" w:rsidP="002108FB">
      <w:pPr>
        <w:spacing w:line="360" w:lineRule="auto"/>
        <w:jc w:val="both"/>
        <w:rPr>
          <w:szCs w:val="24"/>
        </w:rPr>
      </w:pPr>
      <w:r w:rsidRPr="00D52EED" w:rsidR="00B10CC6">
        <w:rPr>
          <w:b/>
          <w:szCs w:val="24"/>
        </w:rPr>
        <w:t>6</w:t>
      </w:r>
      <w:r w:rsidR="00FC0AEF">
        <w:rPr>
          <w:b/>
          <w:szCs w:val="24"/>
        </w:rPr>
        <w:t>.</w:t>
      </w:r>
      <w:r w:rsidRPr="00D52EED">
        <w:rPr>
          <w:b/>
          <w:szCs w:val="24"/>
        </w:rPr>
        <w:t xml:space="preserve"> Gestor a spolupracujúce rezorty: </w:t>
      </w:r>
      <w:r w:rsidRPr="00D52EED">
        <w:rPr>
          <w:szCs w:val="24"/>
        </w:rPr>
        <w:t>Ministerstvo životného prostredia Slovenskej republiky</w:t>
      </w:r>
    </w:p>
    <w:p w:rsidR="00993975" w:rsidRPr="00D52EED" w:rsidP="002108FB">
      <w:pPr>
        <w:spacing w:line="360" w:lineRule="auto"/>
        <w:jc w:val="both"/>
        <w:rPr>
          <w:szCs w:val="24"/>
        </w:rPr>
      </w:pPr>
    </w:p>
    <w:p w:rsidR="00B55729" w:rsidRPr="00D52EED" w:rsidP="002108FB">
      <w:pPr>
        <w:spacing w:line="360" w:lineRule="auto"/>
        <w:rPr>
          <w:szCs w:val="24"/>
        </w:rPr>
      </w:pP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20007A87" w:usb1="80000000" w:usb2="00000008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20007A87" w:usb1="80000000" w:usb2="00000008" w:usb3="00000000" w:csb0="000001FF" w:csb1="00000000"/>
  </w:font>
  <w:font w:name="Times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EUAlbertina">
    <w:altName w:val="Times New Roman"/>
    <w:panose1 w:val="00000000000000000000"/>
    <w:charset w:val="EE"/>
    <w:family w:val="roman"/>
    <w:notTrueType/>
    <w:pitch w:val="default"/>
    <w:sig w:usb0="00000007" w:usb1="00000000" w:usb2="00000000" w:usb3="00000000" w:csb0="00000003" w:csb1="00000000"/>
  </w:font>
  <w:font w:name="Calibri">
    <w:altName w:val="Times New Roman"/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altName w:val="Courier New"/>
    <w:panose1 w:val="02070309020205020404"/>
    <w:charset w:val="EE"/>
    <w:family w:val="modern"/>
    <w:pitch w:val="fixed"/>
    <w:sig w:usb0="20007A87" w:usb1="80000000" w:usb2="00000008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start w:val="0"/>
      <w:numFmt w:val="decimal"/>
      <w:lvlText w:val="*"/>
      <w:lvlJc w:val="left"/>
    </w:lvl>
  </w:abstractNum>
  <w:abstractNum w:abstractNumId="1">
    <w:nsid w:val="087B7537"/>
    <w:multiLevelType w:val="singleLevel"/>
    <w:tmpl w:val="95AA3448"/>
    <w:lvl w:ilvl="0">
      <w:start w:val="1"/>
      <w:numFmt w:val="bullet"/>
      <w:lvlText w:val=""/>
      <w:lvlJc w:val="left"/>
      <w:pPr>
        <w:tabs>
          <w:tab w:val="num" w:pos="757"/>
        </w:tabs>
        <w:ind w:left="737" w:hanging="340"/>
      </w:pPr>
      <w:rPr>
        <w:rFonts w:ascii="Symbol" w:hAnsi="Symbol" w:hint="default"/>
      </w:rPr>
    </w:lvl>
  </w:abstractNum>
  <w:abstractNum w:abstractNumId="2">
    <w:nsid w:val="1C8E2461"/>
    <w:multiLevelType w:val="singleLevel"/>
    <w:tmpl w:val="C2689324"/>
    <w:lvl w:ilvl="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>
    <w:nsid w:val="1F1E7B4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29293A69"/>
    <w:multiLevelType w:val="hybridMultilevel"/>
    <w:tmpl w:val="B3C64D3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0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8D20025"/>
    <w:multiLevelType w:val="hybridMultilevel"/>
    <w:tmpl w:val="E534A926"/>
    <w:lvl w:ilvl="0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8E14FC6"/>
    <w:multiLevelType w:val="hybridMultilevel"/>
    <w:tmpl w:val="F8F69B1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B082528"/>
    <w:multiLevelType w:val="hybridMultilevel"/>
    <w:tmpl w:val="73B445A0"/>
    <w:lvl w:ilvl="0">
      <w:start w:val="10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  <w:u w:val="none"/>
      </w:rPr>
    </w:lvl>
    <w:lvl w:ilvl="1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8">
    <w:nsid w:val="5EEF4BF7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6" w:hanging="283"/>
        </w:pPr>
        <w:rPr>
          <w:rFonts w:ascii="Symbol" w:hAnsi="Symbol" w:hint="default"/>
        </w:rPr>
      </w:lvl>
    </w:lvlOverride>
  </w:num>
  <w:num w:numId="2">
    <w:abstractNumId w:val="8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6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3975"/>
    <w:rsid w:val="00016756"/>
    <w:rsid w:val="00042DBE"/>
    <w:rsid w:val="0005510C"/>
    <w:rsid w:val="00055B1C"/>
    <w:rsid w:val="000660FC"/>
    <w:rsid w:val="00072E75"/>
    <w:rsid w:val="00090846"/>
    <w:rsid w:val="000918ED"/>
    <w:rsid w:val="000A6B0C"/>
    <w:rsid w:val="000B53E3"/>
    <w:rsid w:val="000E04E5"/>
    <w:rsid w:val="000F184D"/>
    <w:rsid w:val="00101FF6"/>
    <w:rsid w:val="001054E2"/>
    <w:rsid w:val="00106588"/>
    <w:rsid w:val="001254E8"/>
    <w:rsid w:val="00143795"/>
    <w:rsid w:val="001566B7"/>
    <w:rsid w:val="001724E7"/>
    <w:rsid w:val="00172D32"/>
    <w:rsid w:val="00173A82"/>
    <w:rsid w:val="001820E2"/>
    <w:rsid w:val="001A4D6B"/>
    <w:rsid w:val="001C6068"/>
    <w:rsid w:val="001D5C82"/>
    <w:rsid w:val="001F4AD0"/>
    <w:rsid w:val="002108FB"/>
    <w:rsid w:val="0025187F"/>
    <w:rsid w:val="002632DD"/>
    <w:rsid w:val="002A4CBF"/>
    <w:rsid w:val="002C2664"/>
    <w:rsid w:val="002D5ED7"/>
    <w:rsid w:val="002E26BC"/>
    <w:rsid w:val="00302287"/>
    <w:rsid w:val="0030750A"/>
    <w:rsid w:val="00313F54"/>
    <w:rsid w:val="003248E4"/>
    <w:rsid w:val="00346AE6"/>
    <w:rsid w:val="00370CF0"/>
    <w:rsid w:val="00377F2F"/>
    <w:rsid w:val="003B5516"/>
    <w:rsid w:val="003C0B9C"/>
    <w:rsid w:val="0042735F"/>
    <w:rsid w:val="00457BF9"/>
    <w:rsid w:val="00471241"/>
    <w:rsid w:val="0048534A"/>
    <w:rsid w:val="004904B6"/>
    <w:rsid w:val="004C1C7C"/>
    <w:rsid w:val="00504B72"/>
    <w:rsid w:val="005429B0"/>
    <w:rsid w:val="00543C67"/>
    <w:rsid w:val="00565185"/>
    <w:rsid w:val="005677C5"/>
    <w:rsid w:val="00584114"/>
    <w:rsid w:val="00657826"/>
    <w:rsid w:val="00671686"/>
    <w:rsid w:val="0069383D"/>
    <w:rsid w:val="006C2B4F"/>
    <w:rsid w:val="006E71E1"/>
    <w:rsid w:val="006E7AAA"/>
    <w:rsid w:val="006F1512"/>
    <w:rsid w:val="00721A61"/>
    <w:rsid w:val="007503ED"/>
    <w:rsid w:val="00763374"/>
    <w:rsid w:val="007659A6"/>
    <w:rsid w:val="00790315"/>
    <w:rsid w:val="007B5A47"/>
    <w:rsid w:val="007D3E41"/>
    <w:rsid w:val="007E421A"/>
    <w:rsid w:val="00814E91"/>
    <w:rsid w:val="00824071"/>
    <w:rsid w:val="00824DD4"/>
    <w:rsid w:val="0085122F"/>
    <w:rsid w:val="00892813"/>
    <w:rsid w:val="008C03B2"/>
    <w:rsid w:val="008C5A8E"/>
    <w:rsid w:val="008D0388"/>
    <w:rsid w:val="008E4AA1"/>
    <w:rsid w:val="00903791"/>
    <w:rsid w:val="00903EE5"/>
    <w:rsid w:val="0090711D"/>
    <w:rsid w:val="009324AC"/>
    <w:rsid w:val="009643C4"/>
    <w:rsid w:val="00993975"/>
    <w:rsid w:val="009D2A19"/>
    <w:rsid w:val="009E07ED"/>
    <w:rsid w:val="009F1BFC"/>
    <w:rsid w:val="00A569B0"/>
    <w:rsid w:val="00A67C32"/>
    <w:rsid w:val="00A72B49"/>
    <w:rsid w:val="00A93CB5"/>
    <w:rsid w:val="00A965BE"/>
    <w:rsid w:val="00A96C45"/>
    <w:rsid w:val="00AB774E"/>
    <w:rsid w:val="00AC2F55"/>
    <w:rsid w:val="00AF7B2F"/>
    <w:rsid w:val="00B05C05"/>
    <w:rsid w:val="00B10CC6"/>
    <w:rsid w:val="00B350CF"/>
    <w:rsid w:val="00B540DC"/>
    <w:rsid w:val="00B55729"/>
    <w:rsid w:val="00B5684E"/>
    <w:rsid w:val="00B900EE"/>
    <w:rsid w:val="00B97FC5"/>
    <w:rsid w:val="00BB5C03"/>
    <w:rsid w:val="00BC55DB"/>
    <w:rsid w:val="00BD3BE1"/>
    <w:rsid w:val="00C01F72"/>
    <w:rsid w:val="00C03D02"/>
    <w:rsid w:val="00C15192"/>
    <w:rsid w:val="00C15AE8"/>
    <w:rsid w:val="00C26836"/>
    <w:rsid w:val="00C3333B"/>
    <w:rsid w:val="00C3794D"/>
    <w:rsid w:val="00C574C4"/>
    <w:rsid w:val="00C937B1"/>
    <w:rsid w:val="00CA06BE"/>
    <w:rsid w:val="00D2719E"/>
    <w:rsid w:val="00D35F61"/>
    <w:rsid w:val="00D52EED"/>
    <w:rsid w:val="00D65AA9"/>
    <w:rsid w:val="00DD64EC"/>
    <w:rsid w:val="00DE531C"/>
    <w:rsid w:val="00DF05D6"/>
    <w:rsid w:val="00E30577"/>
    <w:rsid w:val="00E444ED"/>
    <w:rsid w:val="00E533F0"/>
    <w:rsid w:val="00E54400"/>
    <w:rsid w:val="00E63D3F"/>
    <w:rsid w:val="00E6584A"/>
    <w:rsid w:val="00EA48ED"/>
    <w:rsid w:val="00EB1A70"/>
    <w:rsid w:val="00EB33A7"/>
    <w:rsid w:val="00F638B7"/>
    <w:rsid w:val="00FA1285"/>
    <w:rsid w:val="00FB000F"/>
    <w:rsid w:val="00FC0AEF"/>
    <w:rsid w:val="00FD66EB"/>
    <w:rsid w:val="00FF728D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333B"/>
    <w:rPr>
      <w:sz w:val="24"/>
      <w:lang w:val="sk-SK" w:eastAsia="cs-CZ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Bullet2">
    <w:name w:val="List Bullet 2"/>
    <w:basedOn w:val="Normal"/>
    <w:rsid w:val="00993975"/>
    <w:pPr>
      <w:numPr>
        <w:ilvl w:val="10"/>
        <w:numId w:val="0"/>
      </w:numPr>
      <w:ind w:left="566" w:hanging="283"/>
    </w:pPr>
  </w:style>
  <w:style w:type="paragraph" w:styleId="BodyTextIndent">
    <w:name w:val="Body Text Indent"/>
    <w:basedOn w:val="Normal"/>
    <w:rsid w:val="00993975"/>
    <w:pPr>
      <w:spacing w:after="120"/>
      <w:ind w:left="283"/>
    </w:pPr>
  </w:style>
  <w:style w:type="paragraph" w:customStyle="1" w:styleId="Default">
    <w:name w:val="Default"/>
    <w:rsid w:val="00993975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val="sk-SK" w:eastAsia="sk-SK" w:bidi="ar-SA"/>
    </w:rPr>
  </w:style>
  <w:style w:type="paragraph" w:customStyle="1" w:styleId="Odsekzoznamu">
    <w:name w:val="Odsek zoznamu"/>
    <w:basedOn w:val="Normal"/>
    <w:qFormat/>
    <w:rsid w:val="0042735F"/>
    <w:pPr>
      <w:ind w:left="720"/>
      <w:contextualSpacing/>
      <w:jc w:val="both"/>
    </w:pPr>
    <w:rPr>
      <w:szCs w:val="24"/>
    </w:rPr>
  </w:style>
  <w:style w:type="character" w:styleId="Strong">
    <w:name w:val="Strong"/>
    <w:qFormat/>
    <w:rsid w:val="00B350CF"/>
    <w:rPr>
      <w:b/>
      <w:bCs/>
    </w:rPr>
  </w:style>
  <w:style w:type="character" w:styleId="Emphasis">
    <w:name w:val="Emphasis"/>
    <w:qFormat/>
    <w:rsid w:val="00FA1285"/>
    <w:rPr>
      <w:rFonts w:cs="Times New Roman"/>
      <w:i/>
      <w:iCs/>
    </w:rPr>
  </w:style>
  <w:style w:type="paragraph" w:customStyle="1" w:styleId="ListParagraph">
    <w:name w:val="List Paragraph"/>
    <w:basedOn w:val="Normal"/>
    <w:rsid w:val="00A93CB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237</TotalTime>
  <Pages>1</Pages>
  <Words>801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Doložka zlučiteľnosti </vt:lpstr>
    </vt:vector>
  </TitlesOfParts>
  <Company>MZP</Company>
  <LinksUpToDate>false</LinksUpToDate>
  <CharactersWithSpaces>5361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 zlučiteľnosti</dc:title>
  <dc:creator>aa</dc:creator>
  <cp:lastModifiedBy>aa</cp:lastModifiedBy>
  <cp:revision>46</cp:revision>
  <dcterms:created xsi:type="dcterms:W3CDTF">2012-08-14T07:29:00Z</dcterms:created>
  <dcterms:modified xsi:type="dcterms:W3CDTF">2012-10-11T11:14:00Z</dcterms:modified>
</cp:coreProperties>
</file>