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6548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65489D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65489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sk-SK"/>
        </w:rPr>
      </w:pPr>
      <w:r w:rsidRPr="0065489D">
        <w:rPr>
          <w:rFonts w:ascii="Times New Roman" w:hAnsi="Times New Roman"/>
          <w:b/>
          <w:bCs/>
          <w:color w:val="000000"/>
          <w:lang w:val="sk-SK"/>
        </w:rPr>
        <w:t>vybraných vplyvov</w:t>
      </w:r>
    </w:p>
    <w:p w:rsidR="00593F1E" w:rsidRPr="0065489D">
      <w:pPr>
        <w:bidi w:val="0"/>
        <w:spacing w:after="0" w:line="240" w:lineRule="auto"/>
        <w:rPr>
          <w:rFonts w:ascii="Times New Roman" w:hAnsi="Times New Roman"/>
          <w:color w:val="000000"/>
          <w:lang w:val="sk-SK"/>
        </w:rPr>
      </w:pPr>
    </w:p>
    <w:p w:rsidR="005A7D8A" w:rsidRPr="007F473B" w:rsidP="005A7D8A">
      <w:pPr>
        <w:autoSpaceDE w:val="0"/>
        <w:autoSpaceDN w:val="0"/>
        <w:bidi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DA1284" w:rsidR="00593F1E">
        <w:rPr>
          <w:rFonts w:ascii="Times New Roman" w:hAnsi="Times New Roman"/>
          <w:b/>
          <w:bCs/>
          <w:sz w:val="24"/>
          <w:szCs w:val="24"/>
          <w:lang w:val="sk-SK"/>
        </w:rPr>
        <w:t>A.1. Názov materiálu:</w:t>
      </w:r>
      <w:r w:rsidRPr="005A7D8A" w:rsidR="003D6A31">
        <w:rPr>
          <w:rFonts w:ascii="Arial" w:hAnsi="Arial" w:cs="Arial"/>
          <w:sz w:val="20"/>
          <w:szCs w:val="20"/>
          <w:lang w:val="sk-SK"/>
        </w:rPr>
        <w:t xml:space="preserve"> </w:t>
      </w:r>
      <w:r w:rsidRPr="007F473B" w:rsidR="003D6A31">
        <w:rPr>
          <w:rFonts w:ascii="Times New Roman" w:hAnsi="Times New Roman"/>
          <w:sz w:val="24"/>
          <w:szCs w:val="24"/>
          <w:lang w:val="sk-SK"/>
        </w:rPr>
        <w:t xml:space="preserve">Návrh </w:t>
      </w:r>
      <w:r w:rsidRPr="007F473B" w:rsidR="00AD185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F473B" w:rsidR="003D6A31">
        <w:rPr>
          <w:rFonts w:ascii="Times New Roman" w:hAnsi="Times New Roman"/>
          <w:sz w:val="24"/>
          <w:szCs w:val="24"/>
          <w:lang w:val="sk-SK"/>
        </w:rPr>
        <w:t>zákona</w:t>
      </w:r>
      <w:r w:rsidRPr="007F473B">
        <w:rPr>
          <w:rFonts w:ascii="Times New Roman" w:hAnsi="Times New Roman"/>
          <w:sz w:val="24"/>
          <w:szCs w:val="24"/>
          <w:lang w:val="sk-SK"/>
        </w:rPr>
        <w:t>,</w:t>
      </w:r>
      <w:r w:rsidRPr="007F473B" w:rsidR="003D6A3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F473B" w:rsidR="00217F90">
        <w:rPr>
          <w:rFonts w:ascii="Times New Roman" w:hAnsi="Times New Roman"/>
          <w:sz w:val="24"/>
          <w:szCs w:val="24"/>
          <w:lang w:val="sk-SK" w:eastAsia="cs-CZ"/>
        </w:rPr>
        <w:t>ktorým sa mení a dopĺňa zákon</w:t>
      </w:r>
      <w:r w:rsidRPr="007F473B">
        <w:rPr>
          <w:rFonts w:ascii="Times New Roman" w:hAnsi="Times New Roman"/>
          <w:sz w:val="24"/>
          <w:szCs w:val="24"/>
          <w:lang w:val="sk-SK" w:eastAsia="cs-CZ"/>
        </w:rPr>
        <w:t xml:space="preserve"> č. 223/2001 Z. z. o odpadoch a o zmene a doplnení niektorých zákonov v znení neskorších predpisov a</w:t>
      </w:r>
      <w:r w:rsidR="00DE3C02">
        <w:rPr>
          <w:rFonts w:ascii="Times New Roman" w:hAnsi="Times New Roman"/>
          <w:sz w:val="24"/>
          <w:szCs w:val="24"/>
          <w:lang w:val="sk-SK" w:eastAsia="cs-CZ"/>
        </w:rPr>
        <w:t xml:space="preserve"> o zmene a doplnení niektorých zákonov </w:t>
      </w:r>
    </w:p>
    <w:p w:rsidR="00AD1851" w:rsidRPr="0065489D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65489D">
        <w:rPr>
          <w:rFonts w:ascii="Times New Roman" w:hAnsi="Times New Roman"/>
          <w:b/>
          <w:bCs/>
          <w:color w:val="000000"/>
          <w:lang w:val="sk-SK"/>
        </w:rPr>
        <w:t xml:space="preserve">       </w:t>
      </w:r>
    </w:p>
    <w:p w:rsidR="00593F1E" w:rsidRPr="0065489D" w:rsidP="005A7D8A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65489D">
        <w:rPr>
          <w:rFonts w:ascii="Times New Roman" w:hAnsi="Times New Roman"/>
          <w:b/>
          <w:bCs/>
          <w:color w:val="000000"/>
          <w:lang w:val="sk-SK"/>
        </w:rPr>
        <w:t>Termín začatia a ukončenia PPK:</w:t>
      </w:r>
      <w:r w:rsidRPr="0065489D" w:rsidR="002704AC">
        <w:rPr>
          <w:rFonts w:ascii="Times New Roman" w:hAnsi="Times New Roman"/>
          <w:color w:val="000000"/>
          <w:lang w:val="sk-SK"/>
        </w:rPr>
        <w:t xml:space="preserve"> -  </w:t>
      </w:r>
    </w:p>
    <w:p w:rsidR="00593F1E" w:rsidRPr="0065489D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sk-SK"/>
        </w:rPr>
      </w:pPr>
    </w:p>
    <w:p w:rsidR="00593F1E" w:rsidRPr="0065489D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65489D">
        <w:rPr>
          <w:rFonts w:ascii="Times New Roman" w:hAnsi="Times New Roman"/>
          <w:b/>
          <w:bCs/>
          <w:color w:val="000000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86"/>
        <w:gridCol w:w="1212"/>
        <w:gridCol w:w="1212"/>
        <w:gridCol w:w="121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3F1CF7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A72870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A72870" w:rsidR="00A72870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1398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1398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81398B" w:rsidR="00033A2C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1398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81398B" w:rsidR="00444031">
              <w:rPr>
                <w:rFonts w:ascii="Times New Roman" w:hAnsi="Times New Roman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1398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81398B" w:rsidR="00444031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 w:rsidP="00623999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1398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81398B" w:rsidR="008209EB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1398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65489D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1398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81398B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81398B" w:rsidR="00444031">
              <w:rPr>
                <w:rFonts w:ascii="Times New Roman" w:hAnsi="Times New Roman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033A2C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FF0000"/>
                <w:lang w:val="sk-SK"/>
              </w:rPr>
            </w:pPr>
          </w:p>
        </w:tc>
      </w:tr>
    </w:tbl>
    <w:p w:rsidR="00593F1E" w:rsidRPr="0065489D">
      <w:pPr>
        <w:widowControl/>
        <w:bidi w:val="0"/>
        <w:rPr>
          <w:rFonts w:ascii="Times New Roman" w:hAnsi="Times New Roman"/>
          <w:color w:val="000000"/>
          <w:lang w:val="sk-SK"/>
        </w:rPr>
      </w:pPr>
      <w:r w:rsidRPr="0065489D">
        <w:rPr>
          <w:rFonts w:ascii="Times New Roman" w:hAnsi="Times New Roman"/>
          <w:color w:val="000000"/>
          <w:lang w:val="sk-SK"/>
        </w:rPr>
        <w:t> </w:t>
      </w:r>
    </w:p>
    <w:p w:rsidR="00593F1E" w:rsidRPr="0065489D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65489D">
        <w:rPr>
          <w:rFonts w:ascii="Times New Roman" w:hAnsi="Times New Roman"/>
          <w:b/>
          <w:bCs/>
          <w:color w:val="000000"/>
          <w:lang w:val="sk-SK"/>
        </w:rPr>
        <w:t>A.3. Poznámky</w:t>
      </w:r>
    </w:p>
    <w:p w:rsidR="00593F1E" w:rsidRPr="0065489D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lang w:val="sk-SK"/>
        </w:rPr>
      </w:pPr>
      <w:r w:rsidRPr="0065489D">
        <w:rPr>
          <w:rFonts w:ascii="Times New Roman" w:hAnsi="Times New Roman"/>
          <w:i/>
          <w:iCs/>
          <w:color w:val="000000"/>
          <w:lang w:val="sk-SK"/>
        </w:rPr>
        <w:t xml:space="preserve">     </w:t>
      </w:r>
    </w:p>
    <w:p w:rsidR="00593F1E" w:rsidRPr="0065489D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lang w:val="sk-SK"/>
        </w:rPr>
      </w:pPr>
      <w:r w:rsidRPr="0065489D">
        <w:rPr>
          <w:rFonts w:ascii="Times New Roman" w:hAnsi="Times New Roman"/>
          <w:b/>
          <w:bCs/>
          <w:color w:val="000000"/>
          <w:lang w:val="sk-SK"/>
        </w:rPr>
        <w:t>A.4. Alternatívne riešenia</w:t>
      </w:r>
    </w:p>
    <w:p w:rsidR="00B710E3" w:rsidRPr="0065489D">
      <w:pPr>
        <w:bidi w:val="0"/>
        <w:spacing w:after="0" w:line="240" w:lineRule="auto"/>
        <w:jc w:val="both"/>
        <w:rPr>
          <w:rFonts w:ascii="Times New Roman" w:hAnsi="Times New Roman"/>
          <w:color w:val="000000"/>
          <w:lang w:val="sk-SK"/>
        </w:rPr>
      </w:pPr>
      <w:r w:rsidRPr="0065489D" w:rsidR="00593F1E">
        <w:rPr>
          <w:rFonts w:ascii="Times New Roman" w:hAnsi="Times New Roman"/>
          <w:color w:val="000000"/>
          <w:lang w:val="sk-SK"/>
        </w:rPr>
        <w:t> </w:t>
      </w:r>
    </w:p>
    <w:p w:rsidR="00593F1E" w:rsidRPr="0065489D">
      <w:pPr>
        <w:bidi w:val="0"/>
        <w:spacing w:after="0" w:line="240" w:lineRule="auto"/>
        <w:jc w:val="both"/>
        <w:rPr>
          <w:rFonts w:ascii="Times New Roman" w:hAnsi="Times New Roman"/>
          <w:color w:val="000000"/>
          <w:lang w:val="sk-SK"/>
        </w:rPr>
      </w:pPr>
      <w:r w:rsidRPr="0065489D">
        <w:rPr>
          <w:rFonts w:ascii="Times New Roman" w:hAnsi="Times New Roman"/>
          <w:b/>
          <w:bCs/>
          <w:color w:val="000000"/>
          <w:lang w:val="sk-SK"/>
        </w:rPr>
        <w:t>A.5. Stanovisko gestorov</w:t>
      </w:r>
    </w:p>
    <w:p w:rsidR="002023C6" w:rsidRPr="0065489D" w:rsidP="00AB63A5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5489D" w:rsidR="00593F1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  <w:r w:rsidRPr="0065489D" w:rsidR="00AB63A5">
        <w:rPr>
          <w:rFonts w:ascii="Times New Roman" w:hAnsi="Times New Roman"/>
          <w:color w:val="000000"/>
          <w:sz w:val="24"/>
          <w:szCs w:val="24"/>
          <w:lang w:val="sk-SK"/>
        </w:rPr>
        <w:tab/>
      </w:r>
    </w:p>
    <w:p w:rsidR="00507C1F" w:rsidRPr="0065489D" w:rsidP="00507C1F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507C1F" w:rsidRPr="0065489D" w:rsidP="00507C1F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507C1F" w:rsidRPr="0065489D" w:rsidP="00507C1F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507C1F" w:rsidRPr="0065489D" w:rsidP="00507C1F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507C1F" w:rsidRPr="0065489D" w:rsidP="00507C1F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507C1F" w:rsidRPr="0065489D" w:rsidP="00507C1F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507C1F" w:rsidRPr="0065489D" w:rsidP="00507C1F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507C1F" w:rsidRPr="0065489D" w:rsidP="00507C1F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507C1F" w:rsidRPr="0065489D" w:rsidP="00507C1F">
      <w:pPr>
        <w:bidi w:val="0"/>
        <w:jc w:val="center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507C1F" w:rsidRPr="0065489D" w:rsidP="00507C1F">
      <w:pPr>
        <w:bidi w:val="0"/>
        <w:jc w:val="center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2.1. Zhrnutie vplyvov na rozpočet verejnej správy v návrhu</w:t>
      </w:r>
    </w:p>
    <w:p w:rsidR="00507C1F" w:rsidRPr="0065489D" w:rsidP="00507C1F">
      <w:pPr>
        <w:bidi w:val="0"/>
        <w:jc w:val="right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sz w:val="20"/>
          <w:szCs w:val="20"/>
          <w:lang w:val="sk-SK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03"/>
        <w:gridCol w:w="1256"/>
        <w:gridCol w:w="1290"/>
        <w:gridCol w:w="1290"/>
        <w:gridCol w:w="1290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194" w:lineRule="atLeast"/>
              <w:jc w:val="center"/>
              <w:rPr>
                <w:rFonts w:ascii="Times New Roman" w:hAnsi="Times New Roman"/>
                <w:lang w:val="sk-SK"/>
              </w:rPr>
            </w:pPr>
            <w:bookmarkStart w:id="0" w:name="OLE_LINK1"/>
            <w:bookmarkEnd w:id="0"/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Vplyvy na </w:t>
            </w:r>
            <w:r w:rsidRPr="0065489D">
              <w:rPr>
                <w:rFonts w:ascii="Times New Roman" w:hAnsi="Times New Roman"/>
                <w:b/>
                <w:bCs/>
                <w:lang w:val="sk-SK"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194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65489D">
              <w:rPr>
                <w:rFonts w:ascii="Times New Roman" w:hAnsi="Times New Roman"/>
                <w:b/>
                <w:bCs/>
                <w:lang w:val="sk-SK"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lang w:val="sk-SK"/>
              </w:rPr>
              <w:t>Príjmy verejnej správy celkom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2D4474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2D4474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2D4474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132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v tom: za každý subjekt verejnej správy zvlášť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132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sz w:val="20"/>
                <w:szCs w:val="20"/>
                <w:lang w:val="sk-SK"/>
              </w:rPr>
              <w:t>-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995080">
            <w:pPr>
              <w:bidi w:val="0"/>
              <w:spacing w:after="0" w:line="125" w:lineRule="atLeast"/>
              <w:rPr>
                <w:rFonts w:ascii="Times New Roman" w:hAnsi="Times New Roman"/>
                <w:lang w:val="sk-SK"/>
              </w:rPr>
            </w:pPr>
            <w:r w:rsidRPr="007623B5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623B5" w:rsidR="00995080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95080" w:rsidRPr="007623B5" w:rsidP="00010BE4">
            <w:pPr>
              <w:bidi w:val="0"/>
              <w:spacing w:after="0" w:line="125" w:lineRule="atLeast"/>
              <w:rPr>
                <w:rFonts w:ascii="Times New Roman" w:hAnsi="Times New Roman"/>
                <w:lang w:val="sk-SK"/>
              </w:rPr>
            </w:pPr>
            <w:r w:rsidRPr="007623B5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7623B5" w:rsidR="00507C1F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územnú samosprávu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Cs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Cs/>
                <w:iCs/>
                <w:sz w:val="20"/>
                <w:szCs w:val="20"/>
                <w:lang w:val="sk-SK"/>
              </w:rPr>
              <w:t>0</w:t>
            </w:r>
            <w:r w:rsidRPr="007623B5">
              <w:rPr>
                <w:rFonts w:ascii="Times New Roman" w:hAnsi="Times New Roman"/>
                <w:bCs/>
                <w:i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Cs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Cs/>
                <w:i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rPr>
                <w:rFonts w:ascii="Times New Roman" w:hAnsi="Times New Roman"/>
                <w:lang w:val="sk-SK"/>
              </w:rPr>
            </w:pPr>
            <w:r w:rsidRPr="007623B5">
              <w:rPr>
                <w:rFonts w:ascii="Times New Roman" w:hAnsi="Times New Roman"/>
                <w:b/>
                <w:bCs/>
                <w:lang w:val="sk-SK"/>
              </w:rPr>
              <w:t>Výdavky verejnej správy celkom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="00744F72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A72870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A72870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7623B5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A72870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  <w:r w:rsidRPr="007623B5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25ECB">
              <w:rPr>
                <w:rFonts w:ascii="Times New Roman" w:hAnsi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sz w:val="20"/>
                <w:szCs w:val="20"/>
                <w:lang w:val="sk-SK"/>
              </w:rPr>
              <w:t>-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3245A0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  <w:r w:rsidRPr="003245A0"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  <w:lang w:val="sk-SK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744F7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744F7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744F7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744F7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125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územnú samosprávu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744F72">
              <w:rPr>
                <w:rFonts w:ascii="Times New Roman" w:hAnsi="Times New Roman"/>
                <w:bCs/>
                <w:i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122EA0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122EA0">
              <w:rPr>
                <w:rFonts w:ascii="Times New Roman" w:hAnsi="Times New Roman"/>
                <w:bCs/>
                <w:iCs/>
                <w:sz w:val="20"/>
                <w:szCs w:val="20"/>
                <w:lang w:val="sk-SK"/>
              </w:rPr>
              <w:t>0</w:t>
            </w:r>
            <w:r w:rsidRPr="00D25ECB" w:rsidR="00766F7E">
              <w:rPr>
                <w:rFonts w:ascii="Times New Roman" w:hAnsi="Times New Roman"/>
                <w:bCs/>
                <w:i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12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122EA0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lang w:val="sk-SK"/>
              </w:rPr>
              <w:t xml:space="preserve">Celková zamestnanosť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25E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z toho vplyv na ŠR</w:t>
            </w:r>
            <w:r w:rsidRPr="0065489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245F28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lang w:val="sk-SK"/>
              </w:rPr>
              <w:t>Financovanie zabezpečené v rozpočte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25ECB" w:rsidR="003A7B4F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25ECB" w:rsidR="003A7B4F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25ECB" w:rsidR="003A7B4F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D25ECB" w:rsidP="00D3010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25ECB" w:rsidR="003A7B4F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2.2. Financovanie návrhu</w:t>
      </w:r>
    </w:p>
    <w:p w:rsidR="00507C1F" w:rsidRPr="0065489D" w:rsidP="00507C1F">
      <w:pPr>
        <w:bidi w:val="0"/>
        <w:jc w:val="right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sz w:val="20"/>
          <w:szCs w:val="20"/>
          <w:lang w:val="sk-SK"/>
        </w:rPr>
        <w:t>Tabuľka č. 2</w:t>
      </w:r>
    </w:p>
    <w:tbl>
      <w:tblPr>
        <w:tblStyle w:val="TableNormal"/>
        <w:tblW w:w="9573" w:type="dxa"/>
        <w:tblCellMar>
          <w:left w:w="0" w:type="dxa"/>
          <w:right w:w="0" w:type="dxa"/>
        </w:tblCellMar>
      </w:tblPr>
      <w:tblGrid>
        <w:gridCol w:w="4652"/>
        <w:gridCol w:w="1230"/>
        <w:gridCol w:w="1230"/>
        <w:gridCol w:w="1230"/>
        <w:gridCol w:w="1231"/>
      </w:tblGrid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7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color w:val="FFFFFF"/>
                <w:lang w:val="sk-SK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DB4FC5">
              <w:rPr>
                <w:rFonts w:ascii="Times New Roman" w:hAnsi="Times New Roman"/>
                <w:b/>
                <w:bCs/>
                <w:lang w:val="sk-SK"/>
              </w:rPr>
              <w:t>(v eurách)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BF2E35" w:rsidRPr="00DB4FC5" w:rsidP="000C165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after="0" w:line="70" w:lineRule="atLeast"/>
              <w:rPr>
                <w:rFonts w:ascii="Times New Roman" w:hAnsi="Times New Roman"/>
                <w:b/>
                <w:bCs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lang w:val="sk-SK"/>
              </w:rPr>
              <w:t xml:space="preserve">Celkový vplyv na rozpočet verejnej správy </w:t>
            </w:r>
          </w:p>
          <w:p w:rsidR="00BF2E35" w:rsidRPr="00DB4FC5" w:rsidP="000C1657">
            <w:pPr>
              <w:bidi w:val="0"/>
              <w:spacing w:after="0" w:line="70" w:lineRule="atLeast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lang w:val="sk-SK"/>
              </w:rPr>
              <w:t>(- príjmy,+ výdavky)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="00DC27E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="000973EC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lang w:val="sk-SK"/>
              </w:rPr>
              <w:t>  z toho           vplyv na ŠR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DC27E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1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51" w:lineRule="atLeast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lang w:val="sk-SK"/>
              </w:rPr>
              <w:t xml:space="preserve">                       vplyv na územnú samosprávu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="00DC27E1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="000973EC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="000973EC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1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51" w:lineRule="atLeast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lang w:val="sk-SK"/>
              </w:rPr>
              <w:t>  financovanie zabezpečené v rozpočte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51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B4FC5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51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B4FC5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51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B4FC5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51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B4FC5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1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35" w:lineRule="atLeast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lang w:val="sk-SK"/>
              </w:rPr>
              <w:t>  ostatné zdroje financovania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B4FC5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B4FC5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B4FC5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135" w:lineRule="atLeast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DB4FC5">
              <w:rPr>
                <w:rFonts w:ascii="Times New Roman" w:hAnsi="Times New Roman"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DB4FC5">
              <w:rPr>
                <w:rFonts w:ascii="Times New Roman" w:hAnsi="Times New Roman"/>
                <w:b/>
                <w:bCs/>
                <w:lang w:val="sk-SK"/>
              </w:rPr>
              <w:t xml:space="preserve">Rozpočtovo nekrytý vplyv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="00DC27E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BF2E35" w:rsidRPr="00DB4FC5" w:rsidP="000C1657">
            <w:pPr>
              <w:bidi w:val="0"/>
              <w:spacing w:line="7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FE723E">
              <w:rPr>
                <w:rFonts w:ascii="Times New Roman" w:hAnsi="Times New Roman"/>
                <w:b/>
                <w:sz w:val="20"/>
                <w:szCs w:val="20"/>
                <w:lang w:val="sk-SK"/>
              </w:rPr>
              <w:t>0</w:t>
            </w:r>
          </w:p>
        </w:tc>
      </w:tr>
      <w:tr>
        <w:tblPrEx>
          <w:tblW w:w="9573" w:type="dxa"/>
          <w:tblCellMar>
            <w:left w:w="0" w:type="dxa"/>
            <w:right w:w="0" w:type="dxa"/>
          </w:tblCellMar>
        </w:tblPrEx>
        <w:trPr>
          <w:trHeight w:val="4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2E35" w:rsidRPr="00BF2E35" w:rsidP="000C1657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2E35" w:rsidRPr="00BF2E35" w:rsidP="000C1657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2E35" w:rsidRPr="00BF2E35" w:rsidP="000C1657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2E35" w:rsidRPr="00BF2E35" w:rsidP="000C1657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BF2E35" w:rsidRPr="00BF2E35" w:rsidP="000C1657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</w:tr>
    </w:tbl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Návrh na riešenie úbytku príjmov alebo zvýšených výdavkov podľa § 33 ods. 1 zákona č. 523/2004 Z. z. o rozpočtových pravidlách verejnej správy:</w:t>
      </w:r>
    </w:p>
    <w:p w:rsidR="00507C1F" w:rsidRPr="0065489D" w:rsidP="00507C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 </w:t>
      </w:r>
    </w:p>
    <w:p w:rsidR="00507C1F" w:rsidRPr="0065489D" w:rsidP="00507C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 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2.3. Popis a charakteristika návrhu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2.3.1. Popis návrhu:</w:t>
      </w:r>
    </w:p>
    <w:p w:rsidR="00507C1F" w:rsidRPr="0065489D" w:rsidP="00507C1F">
      <w:pPr>
        <w:bidi w:val="0"/>
        <w:jc w:val="both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 </w:t>
      </w:r>
      <w:r w:rsidRPr="0065489D">
        <w:rPr>
          <w:rFonts w:ascii="Times New Roman" w:hAnsi="Times New Roman"/>
          <w:lang w:val="sk-SK"/>
        </w:rPr>
        <w:t>Akú problematiku návrh rieši? Kto bude návrh implementovať? Kde sa budú služby poskytovať?</w:t>
      </w:r>
    </w:p>
    <w:p w:rsidR="004E6EE2" w:rsidP="00DF07BD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65489D" w:rsidR="00507C1F">
        <w:rPr>
          <w:rFonts w:ascii="Times New Roman" w:hAnsi="Times New Roman"/>
          <w:lang w:val="sk-SK"/>
        </w:rPr>
        <w:t>N</w:t>
      </w:r>
      <w:r w:rsidR="008B5A81">
        <w:rPr>
          <w:rFonts w:ascii="Times New Roman" w:hAnsi="Times New Roman"/>
          <w:lang w:val="sk-SK"/>
        </w:rPr>
        <w:t xml:space="preserve">ávrh </w:t>
      </w:r>
      <w:r w:rsidRPr="0065489D" w:rsidR="00507C1F">
        <w:rPr>
          <w:rFonts w:ascii="Times New Roman" w:hAnsi="Times New Roman"/>
          <w:lang w:val="sk-SK"/>
        </w:rPr>
        <w:t>zákon</w:t>
      </w:r>
      <w:r w:rsidR="008B5A81">
        <w:rPr>
          <w:rFonts w:ascii="Times New Roman" w:hAnsi="Times New Roman"/>
          <w:lang w:val="sk-SK"/>
        </w:rPr>
        <w:t>a</w:t>
      </w:r>
      <w:r w:rsidRPr="0065489D" w:rsidR="00507C1F">
        <w:rPr>
          <w:rFonts w:ascii="Times New Roman" w:hAnsi="Times New Roman"/>
          <w:lang w:val="sk-SK"/>
        </w:rPr>
        <w:t xml:space="preserve"> priamo súvisí s povinnosťou transpozície Smernice Európskeho parlamentu a R</w:t>
      </w:r>
      <w:r w:rsidRPr="0065489D" w:rsidR="00507C1F">
        <w:rPr>
          <w:rFonts w:ascii="Times New Roman" w:hAnsi="Times New Roman"/>
          <w:lang w:val="sk-SK"/>
        </w:rPr>
        <w:t>a</w:t>
      </w:r>
      <w:r w:rsidRPr="0065489D" w:rsidR="00507C1F">
        <w:rPr>
          <w:rFonts w:ascii="Times New Roman" w:hAnsi="Times New Roman"/>
          <w:lang w:val="sk-SK"/>
        </w:rPr>
        <w:t>dy 2008/98/ES z 19. novembra 2008 o odpade a o zrušení určitých smerníc</w:t>
      </w:r>
      <w:r w:rsidR="00353BF1">
        <w:rPr>
          <w:rFonts w:ascii="Times New Roman" w:hAnsi="Times New Roman"/>
          <w:lang w:val="sk-SK"/>
        </w:rPr>
        <w:t xml:space="preserve"> (ďalej len „rámcová smernica“)</w:t>
      </w:r>
      <w:r w:rsidRPr="0065489D" w:rsidR="00507C1F">
        <w:rPr>
          <w:rFonts w:ascii="Times New Roman" w:hAnsi="Times New Roman"/>
          <w:lang w:val="sk-SK"/>
        </w:rPr>
        <w:t xml:space="preserve"> do</w:t>
      </w:r>
      <w:r w:rsidR="008B5A81">
        <w:rPr>
          <w:rFonts w:ascii="Times New Roman" w:hAnsi="Times New Roman"/>
          <w:lang w:val="sk-SK"/>
        </w:rPr>
        <w:t xml:space="preserve"> slovenského právneho poriadku. Vzhľadom na transpozíciu </w:t>
      </w:r>
      <w:r w:rsidR="00353BF1">
        <w:rPr>
          <w:rFonts w:ascii="Times New Roman" w:hAnsi="Times New Roman"/>
          <w:lang w:val="sk-SK"/>
        </w:rPr>
        <w:t>rámcovej smernice</w:t>
      </w:r>
      <w:r w:rsidRPr="004E6EE2">
        <w:rPr>
          <w:rFonts w:ascii="Times New Roman" w:hAnsi="Times New Roman"/>
          <w:lang w:val="sk-SK"/>
        </w:rPr>
        <w:t xml:space="preserve"> </w:t>
      </w:r>
      <w:r w:rsidR="008B5A81">
        <w:rPr>
          <w:rFonts w:ascii="Times New Roman" w:hAnsi="Times New Roman"/>
          <w:lang w:val="sk-SK"/>
        </w:rPr>
        <w:t xml:space="preserve">sa </w:t>
      </w:r>
      <w:r w:rsidRPr="004E6EE2">
        <w:rPr>
          <w:rFonts w:ascii="Times New Roman" w:hAnsi="Times New Roman"/>
          <w:lang w:val="sk-SK"/>
        </w:rPr>
        <w:t>do slovenského právneho poriadku</w:t>
      </w:r>
      <w:r w:rsidR="008B5A81">
        <w:rPr>
          <w:rFonts w:ascii="Times New Roman" w:hAnsi="Times New Roman"/>
          <w:lang w:val="sk-SK"/>
        </w:rPr>
        <w:t xml:space="preserve"> zavádzajú </w:t>
      </w:r>
      <w:r>
        <w:rPr>
          <w:rFonts w:ascii="Times New Roman" w:hAnsi="Times New Roman"/>
          <w:lang w:val="sk-SK"/>
        </w:rPr>
        <w:t xml:space="preserve"> nové inštitút</w:t>
      </w:r>
      <w:r w:rsidR="00353BF1">
        <w:rPr>
          <w:rFonts w:ascii="Times New Roman" w:hAnsi="Times New Roman"/>
          <w:lang w:val="sk-SK"/>
        </w:rPr>
        <w:t>y</w:t>
      </w:r>
      <w:r>
        <w:rPr>
          <w:rFonts w:ascii="Times New Roman" w:hAnsi="Times New Roman"/>
          <w:lang w:val="sk-SK"/>
        </w:rPr>
        <w:t xml:space="preserve"> </w:t>
      </w:r>
      <w:r w:rsidR="008B5A81">
        <w:rPr>
          <w:rFonts w:ascii="Times New Roman" w:hAnsi="Times New Roman"/>
          <w:lang w:val="sk-SK"/>
        </w:rPr>
        <w:t xml:space="preserve">– stav konca odpadu a vedľajší produkt, ktoré majú prispieť k zníženiu množstva odpadu, nové pojmy, program predchádzania vzniku odpadu a mení sa hierarchia odpadového hospodárstva a obsah programov odpadového hospodárstva. </w:t>
      </w:r>
    </w:p>
    <w:p w:rsidR="00DF07BD" w:rsidRPr="00DF07BD" w:rsidP="00507C1F">
      <w:pPr>
        <w:bidi w:val="0"/>
        <w:ind w:firstLine="708"/>
        <w:jc w:val="both"/>
        <w:rPr>
          <w:rFonts w:ascii="Times New Roman" w:hAnsi="Times New Roman"/>
          <w:color w:val="000000"/>
          <w:lang w:val="sk-SK"/>
        </w:rPr>
      </w:pPr>
      <w:r w:rsidRPr="00DF07BD">
        <w:rPr>
          <w:rFonts w:ascii="Times New Roman" w:hAnsi="Times New Roman"/>
          <w:color w:val="000000"/>
          <w:lang w:val="sk-SK"/>
        </w:rPr>
        <w:t xml:space="preserve">Návrhom zákona sa zároveň odstraňuje nevyhovujúca transpozícia smernice </w:t>
      </w:r>
      <w:r w:rsidRPr="00DF07BD">
        <w:rPr>
          <w:rFonts w:ascii="Times New Roman" w:hAnsi="Times New Roman"/>
          <w:lang w:val="sk-SK"/>
        </w:rPr>
        <w:t>Európskeho parlamentu a R</w:t>
      </w:r>
      <w:r w:rsidRPr="00DF07BD">
        <w:rPr>
          <w:rFonts w:ascii="Times New Roman" w:hAnsi="Times New Roman"/>
          <w:lang w:val="sk-SK"/>
        </w:rPr>
        <w:t>a</w:t>
      </w:r>
      <w:r w:rsidRPr="00DF07BD">
        <w:rPr>
          <w:rFonts w:ascii="Times New Roman" w:hAnsi="Times New Roman"/>
          <w:lang w:val="sk-SK"/>
        </w:rPr>
        <w:t>dy 94/62/ES z 20. decembra 1994 o obaloch a odpadoch z</w:t>
      </w:r>
      <w:r>
        <w:rPr>
          <w:rFonts w:ascii="Times New Roman" w:hAnsi="Times New Roman"/>
          <w:lang w:val="sk-SK"/>
        </w:rPr>
        <w:t> </w:t>
      </w:r>
      <w:r w:rsidRPr="00DF07BD">
        <w:rPr>
          <w:rFonts w:ascii="Times New Roman" w:hAnsi="Times New Roman"/>
          <w:lang w:val="sk-SK"/>
        </w:rPr>
        <w:t>obalov</w:t>
      </w:r>
      <w:r>
        <w:rPr>
          <w:rFonts w:ascii="Times New Roman" w:hAnsi="Times New Roman"/>
          <w:lang w:val="sk-SK"/>
        </w:rPr>
        <w:t>. V tomto bode sa nepredpokladá žiaden vplyv.</w:t>
      </w:r>
      <w:r w:rsidRPr="00DF07BD">
        <w:rPr>
          <w:rFonts w:ascii="Times New Roman" w:hAnsi="Times New Roman"/>
          <w:lang w:val="sk-SK"/>
        </w:rPr>
        <w:t xml:space="preserve"> </w:t>
      </w:r>
    </w:p>
    <w:p w:rsidR="006D5209" w:rsidP="00507C1F">
      <w:pPr>
        <w:bidi w:val="0"/>
        <w:ind w:firstLine="708"/>
        <w:jc w:val="both"/>
        <w:rPr>
          <w:rFonts w:ascii="Times New Roman" w:hAnsi="Times New Roman"/>
          <w:color w:val="000000"/>
          <w:lang w:val="sk-SK"/>
        </w:rPr>
      </w:pPr>
      <w:r>
        <w:rPr>
          <w:rFonts w:ascii="Times New Roman" w:hAnsi="Times New Roman"/>
          <w:color w:val="000000"/>
          <w:lang w:val="sk-SK"/>
        </w:rPr>
        <w:tab/>
        <w:t>Návrhom zákona sa nezvyšujú poplatky, nedochádza k zvýšeniu sankcií ani k spoplatneniu napr. registračnej povinnosti.</w:t>
      </w:r>
      <w:r w:rsidR="00F147D0">
        <w:rPr>
          <w:rFonts w:ascii="Times New Roman" w:hAnsi="Times New Roman"/>
          <w:color w:val="000000"/>
          <w:lang w:val="sk-SK"/>
        </w:rPr>
        <w:t xml:space="preserve"> Nenavrhuje sa ani zvýšenie počtu zamestnancov.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lang w:val="sk-SK"/>
        </w:rPr>
        <w:t>2.3.2. Charakteristika návrhu podľa bodu  2.3.2. Metodiky :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/>
          <w:bCs/>
          <w:bdr w:val="single" w:sz="4" w:space="0" w:color="000000" w:frame="1"/>
          <w:lang w:val="sk-SK"/>
        </w:rPr>
        <w:t xml:space="preserve">     </w:t>
      </w:r>
      <w:r w:rsidRPr="0065489D">
        <w:rPr>
          <w:rFonts w:ascii="Times New Roman" w:hAnsi="Times New Roman"/>
          <w:b/>
          <w:bCs/>
          <w:lang w:val="sk-SK"/>
        </w:rPr>
        <w:t xml:space="preserve">  </w:t>
      </w:r>
      <w:r w:rsidRPr="0065489D">
        <w:rPr>
          <w:rFonts w:ascii="Times New Roman" w:hAnsi="Times New Roman"/>
          <w:lang w:val="sk-SK"/>
        </w:rPr>
        <w:t>zmena sadzby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dr w:val="single" w:sz="4" w:space="0" w:color="000000" w:frame="1"/>
          <w:lang w:val="sk-SK"/>
        </w:rPr>
        <w:t xml:space="preserve">     </w:t>
      </w:r>
      <w:r w:rsidRPr="0065489D">
        <w:rPr>
          <w:rFonts w:ascii="Times New Roman" w:hAnsi="Times New Roman"/>
          <w:lang w:val="sk-SK"/>
        </w:rPr>
        <w:t>  zmena v nároku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="00FE1E6E">
        <w:rPr>
          <w:rFonts w:ascii="Times New Roman" w:hAnsi="Times New Roman"/>
          <w:bdr w:val="single" w:sz="4" w:space="0" w:color="000000" w:frame="1"/>
          <w:lang w:val="sk-SK"/>
        </w:rPr>
        <w:t> </w:t>
      </w:r>
      <w:r w:rsidR="00656A2A">
        <w:rPr>
          <w:rFonts w:ascii="Times New Roman" w:hAnsi="Times New Roman"/>
          <w:bdr w:val="single" w:sz="4" w:space="0" w:color="000000" w:frame="1"/>
          <w:lang w:val="sk-SK"/>
        </w:rPr>
        <w:t xml:space="preserve">  </w:t>
      </w:r>
      <w:r w:rsidRPr="0065489D">
        <w:rPr>
          <w:rFonts w:ascii="Times New Roman" w:hAnsi="Times New Roman"/>
          <w:bdr w:val="single" w:sz="4" w:space="0" w:color="000000" w:frame="1"/>
          <w:lang w:val="sk-SK"/>
        </w:rPr>
        <w:t xml:space="preserve">  </w:t>
      </w:r>
      <w:r w:rsidRPr="0065489D">
        <w:rPr>
          <w:rFonts w:ascii="Times New Roman" w:hAnsi="Times New Roman"/>
          <w:lang w:val="sk-SK"/>
        </w:rPr>
        <w:t>  nová služba alebo nariadenie (alebo ich zrušenie)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bdr w:val="single" w:sz="4" w:space="0" w:color="000000" w:frame="1"/>
          <w:lang w:val="sk-SK"/>
        </w:rPr>
        <w:t>  </w:t>
      </w:r>
      <w:r w:rsidR="00FE1E6E">
        <w:rPr>
          <w:rFonts w:ascii="Times New Roman" w:hAnsi="Times New Roman"/>
          <w:bdr w:val="single" w:sz="4" w:space="0" w:color="000000" w:frame="1"/>
          <w:lang w:val="sk-SK"/>
        </w:rPr>
        <w:t xml:space="preserve">   </w:t>
      </w:r>
      <w:r w:rsidRPr="0065489D">
        <w:rPr>
          <w:rFonts w:ascii="Times New Roman" w:hAnsi="Times New Roman"/>
          <w:lang w:val="sk-SK"/>
        </w:rPr>
        <w:t>  kombinovaný návrh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="00656A2A">
        <w:rPr>
          <w:rFonts w:ascii="Times New Roman" w:hAnsi="Times New Roman"/>
          <w:bdr w:val="single" w:sz="4" w:space="0" w:color="000000" w:frame="1"/>
          <w:lang w:val="sk-SK"/>
        </w:rPr>
        <w:t> x</w:t>
      </w:r>
      <w:r w:rsidRPr="0065489D">
        <w:rPr>
          <w:rFonts w:ascii="Times New Roman" w:hAnsi="Times New Roman"/>
          <w:bdr w:val="single" w:sz="4" w:space="0" w:color="000000" w:frame="1"/>
          <w:lang w:val="sk-SK"/>
        </w:rPr>
        <w:t xml:space="preserve">  </w:t>
      </w:r>
      <w:r w:rsidRPr="0065489D">
        <w:rPr>
          <w:rFonts w:ascii="Times New Roman" w:hAnsi="Times New Roman"/>
          <w:lang w:val="sk-SK"/>
        </w:rPr>
        <w:t xml:space="preserve">  iné 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</w:t>
      </w:r>
      <w:r w:rsidRPr="0065489D">
        <w:rPr>
          <w:rFonts w:ascii="Times New Roman" w:hAnsi="Times New Roman"/>
          <w:b/>
          <w:bCs/>
          <w:lang w:val="sk-SK"/>
        </w:rPr>
        <w:t>2.3.3. Predpoklady vývoja objemu aktivít: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Jasne popíšte, v prípade potreby použite nižšie uvedenú tabuľku. Uveďte aj odhady základov daní a/alebo poplatkov, ak sa ich táto zmena týka.</w:t>
      </w:r>
    </w:p>
    <w:p w:rsidR="00507C1F" w:rsidRPr="0065489D" w:rsidP="00507C1F">
      <w:pPr>
        <w:bidi w:val="0"/>
        <w:jc w:val="right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sz w:val="20"/>
          <w:szCs w:val="20"/>
          <w:lang w:val="sk-SK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Objem aktivít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-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color w:val="000000"/>
                <w:lang w:val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507C1F" w:rsidRPr="0065489D" w:rsidP="00D30107">
            <w:pPr>
              <w:bidi w:val="0"/>
              <w:spacing w:line="70" w:lineRule="atLeast"/>
              <w:jc w:val="center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-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</w:t>
      </w:r>
      <w:r w:rsidRPr="0065489D">
        <w:rPr>
          <w:rFonts w:ascii="Times New Roman" w:hAnsi="Times New Roman"/>
          <w:b/>
          <w:bCs/>
          <w:lang w:val="sk-SK"/>
        </w:rPr>
        <w:t>2.3.4. Výpočty vplyvov na verejné financie</w:t>
      </w:r>
    </w:p>
    <w:p w:rsidR="00507C1F" w:rsidRPr="0065489D" w:rsidP="00507C1F">
      <w:pPr>
        <w:bidi w:val="0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</w:t>
        <w:tab/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507C1F" w:rsidRPr="0065489D" w:rsidP="00507C1F">
      <w:pPr>
        <w:bidi w:val="0"/>
        <w:jc w:val="both"/>
        <w:rPr>
          <w:rFonts w:ascii="Times New Roman" w:hAnsi="Times New Roman"/>
          <w:lang w:val="sk-SK"/>
        </w:rPr>
      </w:pPr>
      <w:r w:rsidRPr="0065489D">
        <w:rPr>
          <w:rFonts w:ascii="Times New Roman" w:hAnsi="Times New Roman"/>
          <w:lang w:val="sk-SK"/>
        </w:rPr>
        <w:t> </w:t>
      </w:r>
    </w:p>
    <w:p w:rsidR="00507C1F" w:rsidRPr="0065489D" w:rsidP="00507C1F">
      <w:pPr>
        <w:bidi w:val="0"/>
        <w:jc w:val="both"/>
        <w:rPr>
          <w:rFonts w:ascii="Times New Roman" w:hAnsi="Times New Roman"/>
          <w:lang w:val="sk-SK"/>
        </w:rPr>
        <w:sectPr>
          <w:footerReference w:type="even" r:id="rId4"/>
          <w:footerReference w:type="default" r:id="rId5"/>
          <w:pgSz w:w="12240" w:h="15840"/>
          <w:pgMar w:top="1417" w:right="1417" w:bottom="1417" w:left="1417" w:header="708" w:footer="708" w:gutter="0"/>
          <w:lnNumType w:distance="0"/>
          <w:cols w:space="708"/>
          <w:noEndnote w:val="0"/>
          <w:bidi w:val="0"/>
          <w:rtlGutter/>
        </w:sectPr>
      </w:pPr>
      <w:r w:rsidRPr="0065489D">
        <w:rPr>
          <w:rFonts w:ascii="Times New Roman" w:hAnsi="Times New Roman"/>
          <w:lang w:val="sk-SK"/>
        </w:rPr>
        <w:t> </w:t>
      </w:r>
    </w:p>
    <w:p w:rsidR="00507C1F" w:rsidRPr="0065489D" w:rsidP="00507C1F">
      <w:pPr>
        <w:pStyle w:val="NormalWeb"/>
        <w:bidi w:val="0"/>
        <w:spacing w:before="0" w:beforeAutospacing="0" w:after="0" w:afterAutospacing="0"/>
        <w:jc w:val="right"/>
        <w:rPr>
          <w:rFonts w:ascii="Times New Roman" w:hAnsi="Times New Roman"/>
        </w:rPr>
      </w:pPr>
      <w:r w:rsidRPr="0065489D">
        <w:rPr>
          <w:rFonts w:ascii="Times New Roman" w:hAnsi="Times New Roman"/>
        </w:rPr>
        <w:t xml:space="preserve">Tabuľka č. 4 </w:t>
      </w:r>
    </w:p>
    <w:tbl>
      <w:tblPr>
        <w:tblStyle w:val="TableNormal"/>
        <w:tblW w:w="13950" w:type="dxa"/>
        <w:tblCellMar>
          <w:left w:w="0" w:type="dxa"/>
          <w:right w:w="0" w:type="dxa"/>
        </w:tblCellMar>
      </w:tblPr>
      <w:tblGrid>
        <w:gridCol w:w="4844"/>
        <w:gridCol w:w="1490"/>
        <w:gridCol w:w="1520"/>
        <w:gridCol w:w="1580"/>
        <w:gridCol w:w="1580"/>
        <w:gridCol w:w="2936"/>
      </w:tblGrid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  <w:r w:rsidRPr="0065489D">
              <w:rPr>
                <w:rFonts w:ascii="Times New Roman" w:hAnsi="Times New Roman"/>
                <w:b/>
                <w:bCs/>
                <w:color w:val="FFFFFF"/>
              </w:rPr>
              <w:t>Príjmy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4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Daňové príjmy (100)</w:t>
            </w:r>
            <w:r w:rsidRPr="0065489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-</w:t>
            </w:r>
          </w:p>
        </w:tc>
        <w:tc>
          <w:tcPr>
            <w:tcW w:w="29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4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25ECB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489D">
              <w:rPr>
                <w:rFonts w:ascii="Times New Roman" w:hAnsi="Times New Roman"/>
                <w:b/>
                <w:bCs/>
              </w:rPr>
              <w:t>Nedaňové príjmy (200)</w:t>
            </w:r>
            <w:r w:rsidRPr="0065489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  <w:p w:rsidR="00D25ECB" w:rsidP="00D25E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Administratívne poplatky (221)</w:t>
            </w:r>
          </w:p>
          <w:p w:rsidR="00D25ECB" w:rsidRPr="00D25ECB" w:rsidP="00D25ECB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Poplatky a platby z nepriemyselného a náhodného predaja a služieb (223)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0</w:t>
            </w: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0</w:t>
            </w: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0</w:t>
            </w: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0</w:t>
            </w: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</w:p>
          <w:p w:rsidR="00D25ECB" w:rsidRPr="00C53B5D" w:rsidP="000C1657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9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D25ECB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4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Granty a transfery (300)</w:t>
            </w:r>
            <w:r w:rsidRPr="0065489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-</w:t>
            </w:r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DE3CE7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E3CE7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9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4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-</w:t>
            </w:r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DE3CE7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E3CE7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9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4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Prijaté úvery, pôžičky a návratné finančné výpomoci (500)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-</w:t>
            </w:r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DE3CE7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E3CE7">
              <w:rPr>
                <w:rFonts w:ascii="Times New Roman" w:hAnsi="Times New Roman"/>
                <w:b/>
                <w:bCs/>
              </w:rPr>
              <w:t> -</w:t>
            </w:r>
          </w:p>
        </w:tc>
        <w:tc>
          <w:tcPr>
            <w:tcW w:w="29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844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Dopad na príjmy verejnej správy celkom</w:t>
            </w:r>
          </w:p>
        </w:tc>
        <w:tc>
          <w:tcPr>
            <w:tcW w:w="149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06349C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06349C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06349C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0634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06349C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936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BC05D4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color w:val="FF0000"/>
              </w:rPr>
            </w:pPr>
            <w:r w:rsidRPr="00BC05D4">
              <w:rPr>
                <w:rFonts w:ascii="Times New Roman" w:hAnsi="Times New Roman"/>
                <w:color w:val="FF0000"/>
              </w:rPr>
              <w:t> </w:t>
            </w:r>
          </w:p>
        </w:tc>
      </w:tr>
      <w:tr>
        <w:tblPrEx>
          <w:tblW w:w="13950" w:type="dxa"/>
          <w:tblCellMar>
            <w:left w:w="0" w:type="dxa"/>
            <w:right w:w="0" w:type="dxa"/>
          </w:tblCellMar>
        </w:tblPrEx>
        <w:trPr>
          <w:trHeight w:val="107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507C1F" w:rsidRPr="0065489D" w:rsidP="00507C1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20"/>
          <w:szCs w:val="20"/>
        </w:rPr>
      </w:pPr>
      <w:r w:rsidRPr="0065489D">
        <w:rPr>
          <w:rFonts w:ascii="Times New Roman" w:hAnsi="Times New Roman"/>
          <w:sz w:val="20"/>
          <w:szCs w:val="20"/>
        </w:rPr>
        <w:t xml:space="preserve">1 –  príjmy rozpísať až do položiek platnej ekonomickej klasifikácie    </w:t>
      </w:r>
    </w:p>
    <w:p w:rsidR="00507C1F" w:rsidRPr="0065489D" w:rsidP="00507C1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489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489D">
        <w:rPr>
          <w:rFonts w:ascii="Times New Roman" w:hAnsi="Times New Roman"/>
        </w:rPr>
        <w:t xml:space="preserve">Tabuľka č. 5 </w:t>
      </w:r>
    </w:p>
    <w:tbl>
      <w:tblPr>
        <w:tblStyle w:val="TableNormal"/>
        <w:tblW w:w="15450" w:type="dxa"/>
        <w:tblInd w:w="-1223" w:type="dxa"/>
        <w:tblCellMar>
          <w:left w:w="0" w:type="dxa"/>
          <w:right w:w="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Výdavky (v eurách)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2013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2014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Bežné výdavky (600)</w:t>
            </w:r>
          </w:p>
          <w:p w:rsidR="005A0B24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 toho:</w:t>
            </w:r>
          </w:p>
          <w:p w:rsidR="005A0B24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Územná samospráva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687F4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4066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687F4D" w:rsidRPr="00CC1087" w:rsidP="00687F4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6AA1" w:rsidRPr="00CC1087" w:rsidP="00687F4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A59DA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FC7D3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CE641C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="000A59D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A59DA" w:rsidRPr="00CC1087" w:rsidP="000A59D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CE641C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0A59D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C108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A59DA" w:rsidRPr="00CC1087" w:rsidP="000A59DA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7E6AF8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0A59D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C108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A0B24" w:rsidRPr="00F37B3C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trike/>
                <w:color w:val="FF0000"/>
              </w:rPr>
            </w:pPr>
            <w:r w:rsidRPr="0065489D" w:rsidR="00507C1F">
              <w:rPr>
                <w:rFonts w:ascii="Times New Roman" w:hAnsi="Times New Roman"/>
                <w:sz w:val="20"/>
                <w:szCs w:val="20"/>
              </w:rPr>
              <w:t>  Mzdy, platy, služobné príjmy a ostatné osobné vyrovnania (610)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spolu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687F4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1087">
              <w:rPr>
                <w:rFonts w:ascii="Times New Roman" w:hAnsi="Times New Roman"/>
                <w:sz w:val="20"/>
                <w:szCs w:val="20"/>
              </w:rPr>
              <w:t> </w:t>
            </w:r>
            <w:r w:rsidRPr="00CC108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C1087" w:rsidR="005A0B2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1087">
              <w:rPr>
                <w:rFonts w:ascii="Times New Roman" w:hAnsi="Times New Roman"/>
                <w:sz w:val="20"/>
                <w:szCs w:val="20"/>
              </w:rPr>
              <w:t> </w:t>
            </w:r>
            <w:r w:rsidRPr="00CC1087" w:rsidR="005A0B2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1087">
              <w:rPr>
                <w:rFonts w:ascii="Times New Roman" w:hAnsi="Times New Roman"/>
                <w:sz w:val="20"/>
                <w:szCs w:val="20"/>
              </w:rPr>
              <w:t> </w:t>
            </w:r>
            <w:r w:rsidRPr="00CC108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C1087" w:rsidR="005A0B2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1087">
              <w:rPr>
                <w:rFonts w:ascii="Times New Roman" w:hAnsi="Times New Roman"/>
                <w:sz w:val="20"/>
                <w:szCs w:val="20"/>
              </w:rPr>
              <w:t> </w:t>
            </w:r>
            <w:r w:rsidRPr="00CC108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C1087" w:rsidR="005A0B2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 Poistné a príspevok do poisťovní (620)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4066BB" w:rsidP="00687F4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066BB" w:rsidR="004066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13"/>
                <w:szCs w:val="13"/>
                <w:vertAlign w:val="superscript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 Tovary a služby (630)</w:t>
            </w:r>
            <w:r w:rsidRPr="0065489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  <w:p w:rsidR="005A0B24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 toho:</w:t>
            </w:r>
          </w:p>
          <w:p w:rsidR="005A0B24" w:rsidRPr="005A0B24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Územná samospráva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687F4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4066B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A0B24" w:rsidRPr="00CC1087" w:rsidP="00687F4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87F4D" w:rsidRPr="00CC1087" w:rsidP="00687F4D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4066B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A0B24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E641C" w:rsidRPr="000A59DA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0A59DA" w:rsidR="000A59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4066B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A0B24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E6AF8" w:rsidRPr="00CC1087" w:rsidP="007E6AF8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877EA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4066B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A0B24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E6AF8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877E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 Bežné transfery (640)</w:t>
            </w:r>
            <w:r w:rsidRPr="0065489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5A0B24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0B24">
              <w:rPr>
                <w:rFonts w:ascii="Times New Roman" w:hAnsi="Times New Roman"/>
                <w:sz w:val="20"/>
                <w:szCs w:val="20"/>
              </w:rPr>
              <w:t> </w:t>
            </w:r>
            <w:r w:rsidRPr="005A0B24"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 Splácanie úrokov a ostatné platby súvisiace s úvermi, pôžičkami a NFV (650)</w:t>
            </w:r>
            <w:r w:rsidRPr="0065489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5A0B24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0B24">
              <w:rPr>
                <w:rFonts w:ascii="Times New Roman" w:hAnsi="Times New Roman"/>
                <w:sz w:val="20"/>
                <w:szCs w:val="20"/>
              </w:rPr>
              <w:t> </w:t>
            </w:r>
            <w:r w:rsidRPr="005A0B24"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5A0B24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0B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5A0B24" w:rsidR="005A0B2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 Obstarávanie kapitálových aktív (710)</w:t>
            </w:r>
            <w:r w:rsidRPr="0065489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5A0B24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0B24">
              <w:rPr>
                <w:rFonts w:ascii="Times New Roman" w:hAnsi="Times New Roman"/>
                <w:sz w:val="20"/>
                <w:szCs w:val="20"/>
              </w:rPr>
              <w:t> </w:t>
            </w:r>
            <w:r w:rsidRPr="005A0B24"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 Kapitálové transfery (720)</w:t>
            </w:r>
            <w:r w:rsidRPr="0065489D">
              <w:rPr>
                <w:rFonts w:ascii="Times New Roman" w:hAnsi="Times New Roman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5A0B24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0B24">
              <w:rPr>
                <w:rFonts w:ascii="Times New Roman" w:hAnsi="Times New Roman"/>
                <w:sz w:val="20"/>
                <w:szCs w:val="20"/>
              </w:rPr>
              <w:t> </w:t>
            </w:r>
            <w:r w:rsidRPr="005A0B24" w:rsidR="005A0B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5A0B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5A0B2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5A0B24" w:rsidP="005A0B24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0B24" w:rsidR="005A0B2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8D358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C108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8D358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C108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8D358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C108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color w:val="FFFFFF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 z toho výdavky na ŠR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376B9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  Bežné výdavky</w:t>
            </w: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5489D">
              <w:rPr>
                <w:rFonts w:ascii="Times New Roman" w:hAnsi="Times New Roman"/>
                <w:sz w:val="20"/>
                <w:szCs w:val="20"/>
              </w:rPr>
              <w:t>(600)</w:t>
            </w: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376B9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   </w:t>
            </w:r>
            <w:r w:rsidRPr="0065489D">
              <w:rPr>
                <w:rFonts w:ascii="Times New Roman" w:hAnsi="Times New Roman"/>
                <w:sz w:val="20"/>
                <w:szCs w:val="20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0A59D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CC1087" w:rsidP="00CE641C">
            <w:pPr>
              <w:pStyle w:val="NormalWeb"/>
              <w:bidi w:val="0"/>
              <w:spacing w:before="0" w:beforeAutospacing="0" w:after="0" w:afterAutospacing="0"/>
              <w:jc w:val="right"/>
              <w:rPr>
                <w:rFonts w:ascii="Times New Roman" w:hAnsi="Times New Roman"/>
              </w:rPr>
            </w:pPr>
            <w:r w:rsidR="000A59D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   Kapitálové výdavky (700)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sz w:val="20"/>
                <w:szCs w:val="20"/>
              </w:rPr>
              <w:t>    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Ind w:w="-1223" w:type="dxa"/>
          <w:tblCellMar>
            <w:left w:w="0" w:type="dxa"/>
            <w:right w:w="0" w:type="dxa"/>
          </w:tblCellMar>
        </w:tblPrEx>
        <w:tc>
          <w:tcPr>
            <w:tcW w:w="70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507C1F" w:rsidRPr="0065489D" w:rsidP="00507C1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489D">
        <w:rPr>
          <w:rFonts w:ascii="Times New Roman" w:hAnsi="Times New Roman"/>
          <w:sz w:val="20"/>
          <w:szCs w:val="20"/>
        </w:rPr>
        <w:t>2 –  výdavky rozpísať až do položiek platnej ekonomickej klasifikácie</w:t>
      </w:r>
    </w:p>
    <w:p w:rsidR="00507C1F" w:rsidRPr="0065489D" w:rsidP="00507C1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489D">
        <w:rPr>
          <w:rFonts w:ascii="Times New Roman" w:hAnsi="Times New Roman"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                                                  </w:t>
      </w:r>
      <w:r w:rsidRPr="0065489D" w:rsidR="0065489D">
        <w:rPr>
          <w:rFonts w:ascii="Times New Roman" w:hAnsi="Times New Roman"/>
        </w:rPr>
        <w:t>                </w:t>
      </w:r>
      <w:r w:rsidRPr="0065489D">
        <w:rPr>
          <w:rFonts w:ascii="Times New Roman" w:hAnsi="Times New Roman"/>
        </w:rPr>
        <w:t xml:space="preserve">Tabuľka č. 6 </w:t>
      </w:r>
    </w:p>
    <w:tbl>
      <w:tblPr>
        <w:tblStyle w:val="TableNormal"/>
        <w:tblpPr w:leftFromText="141" w:rightFromText="141" w:vertAnchor="text" w:horzAnchor="margin" w:tblpXSpec="center" w:tblpY="170"/>
        <w:tblW w:w="15114" w:type="dxa"/>
        <w:tblCellMar>
          <w:left w:w="0" w:type="dxa"/>
          <w:right w:w="0" w:type="dxa"/>
        </w:tblCellMar>
      </w:tblPr>
      <w:tblGrid>
        <w:gridCol w:w="5932"/>
        <w:gridCol w:w="1500"/>
        <w:gridCol w:w="1598"/>
        <w:gridCol w:w="564"/>
        <w:gridCol w:w="1491"/>
        <w:gridCol w:w="1550"/>
        <w:gridCol w:w="933"/>
        <w:gridCol w:w="1546"/>
      </w:tblGrid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Zamestnanosť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Vplyv na rozpočet verejnej správy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poznámka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b/>
                <w:bCs/>
              </w:rPr>
            </w:pPr>
            <w:r w:rsidRPr="001B5511">
              <w:rPr>
                <w:rFonts w:ascii="Times New Roman" w:hAnsi="Times New Roman"/>
                <w:b/>
                <w:bCs/>
              </w:rPr>
              <w:t>Počet zamestnancov celkom*</w:t>
            </w:r>
          </w:p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1B5511">
              <w:rPr>
                <w:rFonts w:ascii="Times New Roman" w:hAnsi="Times New Roman"/>
                <w:bCs/>
              </w:rPr>
              <w:t>z toho:</w:t>
            </w:r>
          </w:p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Cs/>
              </w:rPr>
              <w:t>MŽP SR</w:t>
            </w:r>
            <w:r w:rsidRPr="001B5511">
              <w:rPr>
                <w:rFonts w:ascii="Times New Roman" w:hAnsi="Times New Roman"/>
                <w:b/>
                <w:bCs/>
              </w:rPr>
              <w:t xml:space="preserve"> </w:t>
            </w:r>
            <w:r w:rsidRPr="001B5511">
              <w:rPr>
                <w:rFonts w:ascii="Times New Roman" w:hAnsi="Times New Roman"/>
                <w:bCs/>
              </w:rPr>
              <w:t>07601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0</w:t>
            </w:r>
          </w:p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1B551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1B5511" w:rsidR="00507C1F">
              <w:rPr>
                <w:rFonts w:ascii="Times New Roman" w:hAnsi="Times New Roman"/>
                <w:b/>
                <w:bCs/>
              </w:rPr>
              <w:t> </w:t>
            </w:r>
            <w:r w:rsidR="004066BB">
              <w:rPr>
                <w:rFonts w:ascii="Times New Roman" w:hAnsi="Times New Roman"/>
                <w:b/>
                <w:bCs/>
              </w:rPr>
              <w:t>0</w:t>
            </w:r>
          </w:p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1B55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0</w:t>
            </w:r>
          </w:p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="004066BB">
              <w:rPr>
                <w:rFonts w:ascii="Times New Roman" w:hAnsi="Times New Roman"/>
                <w:b/>
                <w:bCs/>
              </w:rPr>
              <w:t>0</w:t>
            </w:r>
          </w:p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3A7B4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>Priemerný mzdový výdavok (v eurách)*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> </w:t>
            </w: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1B551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>Osobné výdavky celkom (v eurách)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1B5511">
              <w:rPr>
                <w:rFonts w:ascii="Times New Roman" w:hAnsi="Times New Roman"/>
                <w:b/>
                <w:bCs/>
              </w:rPr>
              <w:t> 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1B5511" w:rsidR="003A7B4F">
              <w:rPr>
                <w:rFonts w:ascii="Times New Roman" w:hAnsi="Times New Roman"/>
                <w:b/>
                <w:bCs/>
              </w:rPr>
              <w:t> 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1B5511" w:rsidR="003A7B4F">
              <w:rPr>
                <w:rFonts w:ascii="Times New Roman" w:hAnsi="Times New Roman"/>
                <w:b/>
                <w:bCs/>
              </w:rPr>
              <w:t> 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 xml:space="preserve">Mzdy, platy, služobné príjmy a ostatné osobné vyrovnania (610)* 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> </w:t>
            </w: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1B551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4066B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1B5511">
              <w:rPr>
                <w:rFonts w:ascii="Times New Roman" w:hAnsi="Times New Roman"/>
                <w:b/>
                <w:bCs/>
              </w:rPr>
              <w:t> </w:t>
            </w:r>
            <w:r w:rsidR="004066BB">
              <w:rPr>
                <w:rFonts w:ascii="Times New Roman" w:hAnsi="Times New Roman"/>
                <w:b/>
                <w:bCs/>
              </w:rPr>
              <w:t>-</w:t>
            </w:r>
            <w:r w:rsidRPr="001B551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Poistné a príspevok do poisťovní (620)*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="004066B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="004066B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="004066B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="004066B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   z toho vplyv na ŠR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="004066B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="004066B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="004066B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1B5511" w:rsidP="00D3010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="004066B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59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  <w:b/>
                <w:bCs/>
              </w:rPr>
              <w:t>Poznámky: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26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51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Poistné tvorí podiel mzdových výdavkov, pričom za organizácie v pôsobnosti kapitol štátneho rozpočtu, s výnimkou prenesených kompetencií výkonu štátnej správy, pre zamestnancov štátnej služby a zamestnancov pri výkone práce vo verejnom záujme predstavuje  34,95 %,  pre policajtov, profesionálnych vojakov, colníkov, hasičov vrátane horskej záchrannej služby predstavuje 33,2 %. Pre ostatné subjekty verejnej správy vrátane prenesených kompetencií výkonu štátnej správy poistné tvorí podiel zodpovedajúci  35,2 %.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5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bottom"/>
          </w:tcPr>
          <w:p w:rsidR="00507C1F" w:rsidRPr="0065489D" w:rsidP="00D3010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5489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114" w:type="dxa"/>
          <w:tblCellMar>
            <w:left w:w="0" w:type="dxa"/>
            <w:right w:w="0" w:type="dxa"/>
          </w:tblCellMar>
        </w:tblPrEx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507C1F" w:rsidRPr="0065489D" w:rsidP="00D30107">
            <w:pPr>
              <w:bidi w:val="0"/>
              <w:rPr>
                <w:rFonts w:ascii="Times New Roman" w:hAnsi="Times New Roman"/>
                <w:sz w:val="2"/>
                <w:lang w:val="sk-SK"/>
              </w:rPr>
            </w:pPr>
          </w:p>
        </w:tc>
      </w:tr>
    </w:tbl>
    <w:p w:rsidR="00507C1F" w:rsidRPr="0065489D" w:rsidP="00507C1F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489D">
        <w:rPr>
          <w:rFonts w:ascii="Times New Roman" w:hAnsi="Times New Roman"/>
        </w:rPr>
        <w:t> </w:t>
      </w:r>
    </w:p>
    <w:p w:rsidR="00507C1F" w:rsidRPr="0065489D" w:rsidP="0065489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65489D">
        <w:rPr>
          <w:rFonts w:ascii="Times New Roman" w:hAnsi="Times New Roman"/>
        </w:rPr>
        <w:t>* počet zamestnancov,  mzdy a poistné rozpísať podľa spôsobu odmeňovania (napr. policajti, colníci ...) </w:t>
      </w:r>
    </w:p>
    <w:p w:rsidR="0065489D" w:rsidRPr="0065489D" w:rsidP="00507C1F">
      <w:pPr>
        <w:bidi w:val="0"/>
        <w:rPr>
          <w:rFonts w:ascii="Times New Roman" w:hAnsi="Times New Roman"/>
          <w:b/>
          <w:bCs/>
          <w:lang w:val="sk-SK"/>
        </w:rPr>
      </w:pPr>
    </w:p>
    <w:p w:rsidR="0065489D" w:rsidRPr="0065489D" w:rsidP="00507C1F">
      <w:pPr>
        <w:bidi w:val="0"/>
        <w:rPr>
          <w:rFonts w:ascii="Times New Roman" w:hAnsi="Times New Roman"/>
          <w:lang w:val="sk-SK"/>
        </w:rPr>
      </w:pPr>
    </w:p>
    <w:p w:rsidR="0065489D" w:rsidRPr="0065489D" w:rsidP="002023C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sectPr w:rsidSect="0065489D">
          <w:pgSz w:w="15840" w:h="12240" w:orient="landscape"/>
          <w:pgMar w:top="1440" w:right="1440" w:bottom="1803" w:left="1440" w:header="709" w:footer="709" w:gutter="0"/>
          <w:lnNumType w:distance="0"/>
          <w:cols w:space="708"/>
          <w:bidi w:val="0"/>
        </w:sectPr>
      </w:pPr>
    </w:p>
    <w:p w:rsidR="0065489D" w:rsidRPr="0065489D" w:rsidP="0065489D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65489D">
        <w:rPr>
          <w:rFonts w:ascii="Times New Roman" w:hAnsi="Times New Roman"/>
          <w:b/>
          <w:bCs/>
          <w:sz w:val="28"/>
          <w:szCs w:val="28"/>
          <w:lang w:val="sk-SK"/>
        </w:rPr>
        <w:t>Vplyvy na podnikateľské prostredie</w:t>
      </w: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65489D" w:rsidRPr="0065489D" w:rsidP="00D30107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lang w:val="sk-SK"/>
              </w:rPr>
              <w:t>3.1</w:t>
            </w:r>
            <w:r w:rsidRPr="0065489D">
              <w:rPr>
                <w:rFonts w:ascii="Times New Roman" w:hAnsi="Times New Roman"/>
                <w:lang w:val="sk-SK"/>
              </w:rPr>
              <w:t>. Ktoré podnikateľské subjekty budú predkladaným návrhom ovplyvnené a aký je ich počet?</w:t>
            </w:r>
          </w:p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9086C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Pr="00852F65" w:rsidR="00232B15">
              <w:rPr>
                <w:rFonts w:ascii="Times New Roman" w:hAnsi="Times New Roman"/>
                <w:lang w:val="sk-SK"/>
              </w:rPr>
              <w:t>Pr</w:t>
            </w:r>
            <w:r w:rsidR="00D5268F">
              <w:rPr>
                <w:rFonts w:ascii="Times New Roman" w:hAnsi="Times New Roman"/>
                <w:lang w:val="sk-SK"/>
              </w:rPr>
              <w:t>edkladaný návrh zákona ovplyvní</w:t>
            </w:r>
            <w:r w:rsidRPr="00852F65" w:rsidR="00232B15">
              <w:rPr>
                <w:rFonts w:ascii="Times New Roman" w:hAnsi="Times New Roman"/>
                <w:lang w:val="sk-SK"/>
              </w:rPr>
              <w:t xml:space="preserve"> podnikateľské subjekty, ktoré majú postavenie pôvodcu odpadu</w:t>
            </w:r>
            <w:r w:rsidRPr="00852F65" w:rsidR="006F6A0D">
              <w:rPr>
                <w:rFonts w:ascii="Times New Roman" w:hAnsi="Times New Roman"/>
                <w:lang w:val="sk-SK"/>
              </w:rPr>
              <w:t xml:space="preserve"> a v závislosti od postoja podnikateľských subjektov môže mať vplyv aj na subjekty, ktoré vykonávajú zhodnocovanie odpadu resp. na vybraných výrobcov, kde pri výrobe primárneho výrobku vzniká aj vedľajší produkt, ktorý  môže </w:t>
            </w:r>
            <w:r w:rsidR="00852F65">
              <w:rPr>
                <w:rFonts w:ascii="Times New Roman" w:hAnsi="Times New Roman"/>
                <w:lang w:val="sk-SK"/>
              </w:rPr>
              <w:t>mať</w:t>
            </w:r>
            <w:r w:rsidRPr="00852F65" w:rsidR="006F6A0D">
              <w:rPr>
                <w:rFonts w:ascii="Times New Roman" w:hAnsi="Times New Roman"/>
                <w:lang w:val="sk-SK"/>
              </w:rPr>
              <w:t> postaven</w:t>
            </w:r>
            <w:r w:rsidR="00852F65">
              <w:rPr>
                <w:rFonts w:ascii="Times New Roman" w:hAnsi="Times New Roman"/>
                <w:lang w:val="sk-SK"/>
              </w:rPr>
              <w:t>ie</w:t>
            </w:r>
            <w:r w:rsidRPr="00852F65" w:rsidR="006F6A0D">
              <w:rPr>
                <w:rFonts w:ascii="Times New Roman" w:hAnsi="Times New Roman"/>
                <w:lang w:val="sk-SK"/>
              </w:rPr>
              <w:t xml:space="preserve"> odpadu alebo aj nie. </w:t>
            </w:r>
          </w:p>
          <w:p w:rsidR="0099086C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Pr="00852F65" w:rsidR="006F6A0D">
              <w:rPr>
                <w:rFonts w:ascii="Times New Roman" w:hAnsi="Times New Roman"/>
                <w:lang w:val="sk-SK"/>
              </w:rPr>
              <w:t xml:space="preserve">Pokiaľ ide o počet podnikateľských subjektov, vzhľadom </w:t>
            </w:r>
            <w:r w:rsidRPr="00852F65" w:rsidR="00DD0F4D">
              <w:rPr>
                <w:rFonts w:ascii="Times New Roman" w:hAnsi="Times New Roman"/>
                <w:lang w:val="sk-SK"/>
              </w:rPr>
              <w:t>na premenlivosť ich počtu (vznik nových, zánik existujúcich) nie je možné ich presné vyčíslenie</w:t>
            </w:r>
            <w:r w:rsidR="00852F65">
              <w:rPr>
                <w:rFonts w:ascii="Times New Roman" w:hAnsi="Times New Roman"/>
                <w:lang w:val="sk-SK"/>
              </w:rPr>
              <w:t>,</w:t>
            </w:r>
            <w:r w:rsidRPr="00852F65" w:rsidR="00DD0F4D">
              <w:rPr>
                <w:rFonts w:ascii="Times New Roman" w:hAnsi="Times New Roman"/>
                <w:lang w:val="sk-SK"/>
              </w:rPr>
              <w:t xml:space="preserve"> zároveň však vplyvy na podnikateľov aj v tej istej oblasti nemusia byť rovnaké. </w:t>
            </w:r>
          </w:p>
          <w:p w:rsidR="0065489D" w:rsidRPr="00852F65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lang w:val="sk-SK"/>
              </w:rPr>
              <w:t>3.2</w:t>
            </w:r>
            <w:r w:rsidRPr="0065489D">
              <w:rPr>
                <w:rFonts w:ascii="Times New Roman" w:hAnsi="Times New Roman"/>
                <w:lang w:val="sk-SK"/>
              </w:rPr>
              <w:t>. Aký je predpokladaný charakter a rozsah nákladov a prínosov?</w:t>
            </w:r>
          </w:p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0905BA" w:rsidRPr="00645106" w:rsidP="00645106">
            <w:pPr>
              <w:bidi w:val="0"/>
              <w:jc w:val="both"/>
              <w:rPr>
                <w:rFonts w:ascii="Times New Roman" w:hAnsi="Times New Roman"/>
              </w:rPr>
            </w:pPr>
            <w:r w:rsidRPr="000905BA">
              <w:rPr>
                <w:rFonts w:ascii="Times New Roman" w:hAnsi="Times New Roman"/>
                <w:lang w:val="sk-SK"/>
              </w:rPr>
              <w:t>Z</w:t>
            </w:r>
            <w:r w:rsidR="00F677DD">
              <w:rPr>
                <w:rFonts w:ascii="Times New Roman" w:hAnsi="Times New Roman"/>
                <w:lang w:val="sk-SK"/>
              </w:rPr>
              <w:t> </w:t>
            </w:r>
            <w:r w:rsidR="003F1CF7">
              <w:rPr>
                <w:rFonts w:ascii="Times New Roman" w:hAnsi="Times New Roman"/>
                <w:lang w:val="sk-SK"/>
              </w:rPr>
              <w:t>p</w:t>
            </w:r>
            <w:r w:rsidRPr="000905BA">
              <w:rPr>
                <w:rFonts w:ascii="Times New Roman" w:hAnsi="Times New Roman"/>
                <w:lang w:val="sk-SK"/>
              </w:rPr>
              <w:t>ovinnosti</w:t>
            </w:r>
            <w:r w:rsidR="00F677DD">
              <w:rPr>
                <w:rFonts w:ascii="Times New Roman" w:hAnsi="Times New Roman"/>
                <w:lang w:val="sk-SK"/>
              </w:rPr>
              <w:t xml:space="preserve"> obcí </w:t>
            </w:r>
            <w:r w:rsidRPr="00376EE1" w:rsidR="00F677DD">
              <w:rPr>
                <w:rFonts w:ascii="Times New Roman" w:hAnsi="Times New Roman"/>
                <w:lang w:val="sk-SK"/>
              </w:rPr>
              <w:t>zaviesť a vykonávať triedený zber komunálnych odpadov pre biologicky rozložiteľné komunálne odpady</w:t>
            </w:r>
            <w:r w:rsidRPr="000905BA">
              <w:rPr>
                <w:rFonts w:ascii="Times New Roman" w:hAnsi="Times New Roman"/>
                <w:lang w:val="sk-SK"/>
              </w:rPr>
              <w:t xml:space="preserve"> sú počnúc účinnosťou zákona vyňaté  </w:t>
            </w:r>
            <w:r w:rsidRPr="000905BA">
              <w:rPr>
                <w:rFonts w:ascii="Times New Roman" w:hAnsi="Times New Roman"/>
              </w:rPr>
              <w:t>biologicky rozložiteľné komunálne odpady, ktorých pôvodcom je prevádzkovateľ kuchyne, t. j. na biologicky rozložiteľný kuchynský a reštauračný odp</w:t>
            </w:r>
            <w:r w:rsidR="006C54BE">
              <w:rPr>
                <w:rFonts w:ascii="Times New Roman" w:hAnsi="Times New Roman"/>
              </w:rPr>
              <w:t xml:space="preserve">ad od prevádzkovateľa kuchyne. </w:t>
            </w:r>
            <w:r w:rsidRPr="00645106" w:rsidR="00645106">
              <w:rPr>
                <w:rFonts w:ascii="Times New Roman" w:hAnsi="Times New Roman"/>
              </w:rPr>
              <w:t xml:space="preserve">Výdavky podnikateľov na zabezpečenie </w:t>
            </w:r>
            <w:r w:rsidR="006C54BE">
              <w:rPr>
                <w:rFonts w:ascii="Times New Roman" w:hAnsi="Times New Roman"/>
              </w:rPr>
              <w:t>tejto povinnosti  sú uvedené v tabuľke.</w:t>
            </w:r>
          </w:p>
          <w:p w:rsidR="0099086C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Pr="006C0E2B" w:rsidR="00172AEC">
              <w:rPr>
                <w:rFonts w:ascii="Times New Roman" w:hAnsi="Times New Roman"/>
                <w:lang w:val="sk-SK"/>
              </w:rPr>
              <w:t>Zavedenie nových súhlasov (o</w:t>
            </w:r>
            <w:r w:rsidR="00172AEC">
              <w:rPr>
                <w:rFonts w:ascii="Times New Roman" w:hAnsi="Times New Roman"/>
                <w:lang w:val="sk-SK"/>
              </w:rPr>
              <w:t> </w:t>
            </w:r>
            <w:r w:rsidRPr="006C0E2B" w:rsidR="00172AEC">
              <w:rPr>
                <w:rFonts w:ascii="Times New Roman" w:hAnsi="Times New Roman"/>
                <w:lang w:val="sk-SK"/>
              </w:rPr>
              <w:t>tom</w:t>
            </w:r>
            <w:r w:rsidR="00172AEC">
              <w:rPr>
                <w:rFonts w:ascii="Times New Roman" w:hAnsi="Times New Roman"/>
                <w:lang w:val="sk-SK"/>
              </w:rPr>
              <w:t>,</w:t>
            </w:r>
            <w:r w:rsidRPr="006C0E2B" w:rsidR="00172AEC">
              <w:rPr>
                <w:rFonts w:ascii="Times New Roman" w:hAnsi="Times New Roman"/>
                <w:lang w:val="sk-SK"/>
              </w:rPr>
              <w:t xml:space="preserve"> že ide o vedľajší produkt,</w:t>
            </w:r>
            <w:r w:rsidR="00172AEC">
              <w:rPr>
                <w:rFonts w:ascii="Times New Roman" w:hAnsi="Times New Roman"/>
                <w:lang w:val="sk-SK"/>
              </w:rPr>
              <w:t xml:space="preserve"> súhlas na vykonávanie prípravy na opätovné použitie a súhlas na prevádzku úložiska kovovej ortuti</w:t>
            </w:r>
            <w:r w:rsidRPr="006C0E2B" w:rsidR="00172AEC">
              <w:rPr>
                <w:rFonts w:ascii="Times New Roman" w:hAnsi="Times New Roman"/>
                <w:lang w:val="sk-SK"/>
              </w:rPr>
              <w:t xml:space="preserve">)  bude pre subjekty, ktoré chcú danú činnosť vykonávať predstavovať náklady, a to minimálne </w:t>
            </w:r>
            <w:r w:rsidR="00172AEC">
              <w:rPr>
                <w:rFonts w:ascii="Times New Roman" w:hAnsi="Times New Roman"/>
                <w:lang w:val="sk-SK"/>
              </w:rPr>
              <w:t>administratívne a v budúcnosti, v prípade ich spoplatnenia, aj náklad vo výške správneho poplatku. Pre subjekty, ktoré budú chcieť prevádzkovať úložisko kovovej ortuti bude nákladom aj povinnosť vytvárať účelovú finančnú rezervu ako v prípade skládok odpadu.</w:t>
            </w:r>
            <w:r w:rsidRPr="006C0E2B" w:rsidR="00172AEC">
              <w:rPr>
                <w:rFonts w:ascii="Times New Roman" w:hAnsi="Times New Roman"/>
                <w:lang w:val="sk-SK"/>
              </w:rPr>
              <w:t xml:space="preserve"> </w:t>
            </w:r>
            <w:r w:rsidR="00172AEC">
              <w:rPr>
                <w:rFonts w:ascii="Times New Roman" w:hAnsi="Times New Roman"/>
                <w:lang w:val="sk-SK"/>
              </w:rPr>
              <w:t xml:space="preserve">Je však potrebné uviesť, že </w:t>
            </w:r>
            <w:r w:rsidRPr="006C0E2B" w:rsidR="00172AEC">
              <w:rPr>
                <w:rFonts w:ascii="Times New Roman" w:hAnsi="Times New Roman"/>
                <w:lang w:val="sk-SK"/>
              </w:rPr>
              <w:t>v Slovenskej republike zatiaľ žiadne úložisko kovovej ortuti zriadené nie je</w:t>
            </w:r>
            <w:r w:rsidR="00172AEC">
              <w:rPr>
                <w:rFonts w:ascii="Times New Roman" w:hAnsi="Times New Roman"/>
                <w:lang w:val="sk-SK"/>
              </w:rPr>
              <w:t xml:space="preserve">. </w:t>
            </w:r>
          </w:p>
          <w:p w:rsidR="0099086C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Pr="006C0E2B" w:rsidR="00172AEC">
              <w:rPr>
                <w:rFonts w:ascii="Times New Roman" w:hAnsi="Times New Roman"/>
                <w:lang w:val="sk-SK"/>
              </w:rPr>
              <w:t xml:space="preserve">Prínosom je zvýšenie hranice produkcie množstva odpadu, po prekročení ktorej vzniká povinnosť vypracovať program </w:t>
            </w:r>
            <w:r w:rsidR="00936B4D">
              <w:rPr>
                <w:rFonts w:ascii="Times New Roman" w:hAnsi="Times New Roman"/>
                <w:lang w:val="sk-SK"/>
              </w:rPr>
              <w:t>pôvodcu.</w:t>
            </w:r>
            <w:r w:rsidR="00680404">
              <w:rPr>
                <w:rFonts w:ascii="Times New Roman" w:hAnsi="Times New Roman"/>
                <w:lang w:val="sk-SK"/>
              </w:rPr>
              <w:t xml:space="preserve"> </w:t>
            </w:r>
            <w:r w:rsidR="002A5F73">
              <w:rPr>
                <w:rFonts w:ascii="Times New Roman" w:hAnsi="Times New Roman"/>
                <w:lang w:val="sk-SK"/>
              </w:rPr>
              <w:t>Uvedené predstavuje zníženie administratívnej záťaže ale aj ušetrenie nákladov na vypracovanie týchto programov.</w:t>
            </w:r>
            <w:r w:rsidR="00172AEC">
              <w:rPr>
                <w:rFonts w:ascii="Times New Roman" w:hAnsi="Times New Roman"/>
                <w:lang w:val="sk-SK"/>
              </w:rPr>
              <w:t xml:space="preserve"> </w:t>
            </w:r>
          </w:p>
          <w:p w:rsidR="0081398B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="002A5F73">
              <w:rPr>
                <w:rFonts w:ascii="Times New Roman" w:hAnsi="Times New Roman"/>
                <w:lang w:val="sk-SK"/>
              </w:rPr>
              <w:t>Ako prínos je možné hodnotiť aj prevzatie inštitútov vedľajší produkt a stav konca odpadu. V prípade vedľajšieho produktu môže výrobcovi popri výrobe primárneho výrobku vznika</w:t>
            </w:r>
            <w:r w:rsidR="00817799">
              <w:rPr>
                <w:rFonts w:ascii="Times New Roman" w:hAnsi="Times New Roman"/>
                <w:lang w:val="sk-SK"/>
              </w:rPr>
              <w:t>ť vedľajší produkt a nie odpad</w:t>
            </w:r>
            <w:r w:rsidR="007110A7">
              <w:rPr>
                <w:rFonts w:ascii="Times New Roman" w:hAnsi="Times New Roman"/>
                <w:lang w:val="sk-SK"/>
              </w:rPr>
              <w:t>, a teda po splnení zákonných podmienok môže u neho v</w:t>
            </w:r>
            <w:r w:rsidR="00B12D81">
              <w:rPr>
                <w:rFonts w:ascii="Times New Roman" w:hAnsi="Times New Roman"/>
                <w:lang w:val="sk-SK"/>
              </w:rPr>
              <w:t>z</w:t>
            </w:r>
            <w:r w:rsidR="007110A7">
              <w:rPr>
                <w:rFonts w:ascii="Times New Roman" w:hAnsi="Times New Roman"/>
                <w:lang w:val="sk-SK"/>
              </w:rPr>
              <w:t xml:space="preserve">nikať vedľajší produkt a nie odpad. </w:t>
            </w:r>
          </w:p>
          <w:p w:rsidR="0081398B" w:rsidRPr="006C0E2B" w:rsidP="00D30107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Pre časť podnikateľských subjektov môže byť prínosom aj zrušenie ustanovenia o obmedzení prepravy/vývozu nebezpečného odpadu na zhodnotenie, </w:t>
            </w:r>
            <w:r w:rsidR="00B12D81">
              <w:rPr>
                <w:rFonts w:ascii="Times New Roman" w:hAnsi="Times New Roman"/>
                <w:lang w:val="sk-SK"/>
              </w:rPr>
              <w:t xml:space="preserve">uvedené však môže byť </w:t>
            </w:r>
            <w:r>
              <w:rPr>
                <w:rFonts w:ascii="Times New Roman" w:hAnsi="Times New Roman"/>
                <w:lang w:val="sk-SK"/>
              </w:rPr>
              <w:t xml:space="preserve">druhou časťou subjektov hodnotené ako negatívum, keďže </w:t>
            </w:r>
            <w:r w:rsidR="00B12D81">
              <w:rPr>
                <w:rFonts w:ascii="Times New Roman" w:hAnsi="Times New Roman"/>
                <w:lang w:val="sk-SK"/>
              </w:rPr>
              <w:t xml:space="preserve">to </w:t>
            </w:r>
            <w:r>
              <w:rPr>
                <w:rFonts w:ascii="Times New Roman" w:hAnsi="Times New Roman"/>
                <w:lang w:val="sk-SK"/>
              </w:rPr>
              <w:t xml:space="preserve">môže pre nich znamenať pokles dodávok. 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lang w:val="sk-SK"/>
              </w:rPr>
              <w:t>3.3</w:t>
            </w:r>
            <w:r w:rsidRPr="0065489D">
              <w:rPr>
                <w:rFonts w:ascii="Times New Roman" w:hAnsi="Times New Roman"/>
                <w:lang w:val="sk-SK"/>
              </w:rPr>
              <w:t>. Aká je predpokladaná výška administratívnych nákladov, ktoré podniky vynaložia v súvislosti s implementáciou návrhu?</w:t>
            </w:r>
          </w:p>
          <w:p w:rsidR="0065489D" w:rsidRPr="0065489D" w:rsidP="00D30107">
            <w:pPr>
              <w:bidi w:val="0"/>
              <w:ind w:left="360" w:hanging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9086C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="004569BB">
              <w:rPr>
                <w:rFonts w:ascii="Times New Roman" w:hAnsi="Times New Roman"/>
                <w:lang w:val="sk-SK"/>
              </w:rPr>
              <w:t xml:space="preserve">U časti </w:t>
            </w:r>
            <w:r w:rsidRPr="006C0E2B" w:rsidR="0065489D">
              <w:rPr>
                <w:rFonts w:ascii="Times New Roman" w:hAnsi="Times New Roman"/>
                <w:lang w:val="sk-SK"/>
              </w:rPr>
              <w:t>podnikateľských subjektov</w:t>
            </w:r>
            <w:r w:rsidR="004569BB">
              <w:rPr>
                <w:rFonts w:ascii="Times New Roman" w:hAnsi="Times New Roman"/>
                <w:lang w:val="sk-SK"/>
              </w:rPr>
              <w:t xml:space="preserve">, ktorá bude žiadať o vydanie </w:t>
            </w:r>
            <w:r w:rsidRPr="006C0E2B" w:rsidR="0065489D">
              <w:rPr>
                <w:rFonts w:ascii="Times New Roman" w:hAnsi="Times New Roman"/>
                <w:lang w:val="sk-SK"/>
              </w:rPr>
              <w:t>súhlasu na vykonávanie činnosti, ktor</w:t>
            </w:r>
            <w:r w:rsidR="004569BB">
              <w:rPr>
                <w:rFonts w:ascii="Times New Roman" w:hAnsi="Times New Roman"/>
                <w:lang w:val="sk-SK"/>
              </w:rPr>
              <w:t xml:space="preserve">é dopĺňa návrh zákona do platného zákona o odpadoch </w:t>
            </w:r>
            <w:r w:rsidRPr="006C0E2B" w:rsidR="0065489D">
              <w:rPr>
                <w:rFonts w:ascii="Times New Roman" w:hAnsi="Times New Roman"/>
                <w:lang w:val="sk-SK"/>
              </w:rPr>
              <w:t xml:space="preserve"> </w:t>
            </w:r>
            <w:r w:rsidR="005455C6">
              <w:rPr>
                <w:rFonts w:ascii="Times New Roman" w:hAnsi="Times New Roman"/>
                <w:lang w:val="sk-SK"/>
              </w:rPr>
              <w:t>do úvahy pr</w:t>
            </w:r>
            <w:r w:rsidR="004569BB">
              <w:rPr>
                <w:rFonts w:ascii="Times New Roman" w:hAnsi="Times New Roman"/>
                <w:lang w:val="sk-SK"/>
              </w:rPr>
              <w:t>i</w:t>
            </w:r>
            <w:r w:rsidR="005455C6">
              <w:rPr>
                <w:rFonts w:ascii="Times New Roman" w:hAnsi="Times New Roman"/>
                <w:lang w:val="sk-SK"/>
              </w:rPr>
              <w:t xml:space="preserve">chádzajú administratívne </w:t>
            </w:r>
            <w:r w:rsidR="004569BB">
              <w:rPr>
                <w:rFonts w:ascii="Times New Roman" w:hAnsi="Times New Roman"/>
                <w:lang w:val="sk-SK"/>
              </w:rPr>
              <w:t xml:space="preserve">náklady súvisiace s podaním žiadosti. </w:t>
            </w:r>
          </w:p>
          <w:p w:rsidR="0065489D" w:rsidRPr="002F5FA7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Pr="002F5FA7" w:rsidR="004569BB">
              <w:rPr>
                <w:rFonts w:ascii="Times New Roman" w:hAnsi="Times New Roman"/>
                <w:lang w:val="sk-SK"/>
              </w:rPr>
              <w:t xml:space="preserve">Vzhľadom na </w:t>
            </w:r>
            <w:r w:rsidRPr="002F5FA7" w:rsidR="002F5FA7">
              <w:rPr>
                <w:rFonts w:ascii="Times New Roman" w:hAnsi="Times New Roman"/>
                <w:lang w:val="sk-SK"/>
              </w:rPr>
              <w:t xml:space="preserve">určenie, že súhlasy sa udeľujú najdlhšie na päť rokov, </w:t>
            </w:r>
            <w:r w:rsidRPr="002F5FA7" w:rsidR="00B12D81">
              <w:rPr>
                <w:rFonts w:ascii="Times New Roman" w:hAnsi="Times New Roman"/>
                <w:lang w:val="sk-SK"/>
              </w:rPr>
              <w:t>d</w:t>
            </w:r>
            <w:r w:rsidRPr="002F5FA7" w:rsidR="004569BB">
              <w:rPr>
                <w:rFonts w:ascii="Times New Roman" w:hAnsi="Times New Roman"/>
                <w:lang w:val="sk-SK"/>
              </w:rPr>
              <w:t>o úvahy prichádzajú administratívne náklady pri podaní žiadosti o pred</w:t>
            </w:r>
            <w:r w:rsidRPr="002F5FA7" w:rsidR="00B12D81">
              <w:rPr>
                <w:rFonts w:ascii="Times New Roman" w:hAnsi="Times New Roman"/>
                <w:lang w:val="sk-SK"/>
              </w:rPr>
              <w:t>ĺ</w:t>
            </w:r>
            <w:r w:rsidRPr="002F5FA7" w:rsidR="004569BB">
              <w:rPr>
                <w:rFonts w:ascii="Times New Roman" w:hAnsi="Times New Roman"/>
                <w:lang w:val="sk-SK"/>
              </w:rPr>
              <w:t>ženie doby platnosti súhlasu. Výška správneho poplatku</w:t>
            </w:r>
            <w:r w:rsidR="00C64B50">
              <w:rPr>
                <w:rFonts w:ascii="Times New Roman" w:hAnsi="Times New Roman"/>
                <w:lang w:val="sk-SK"/>
              </w:rPr>
              <w:t>, pri spoplatnených súhlasoch,</w:t>
            </w:r>
            <w:r w:rsidRPr="002F5FA7" w:rsidR="004569BB">
              <w:rPr>
                <w:rFonts w:ascii="Times New Roman" w:hAnsi="Times New Roman"/>
                <w:lang w:val="sk-SK"/>
              </w:rPr>
              <w:t xml:space="preserve"> je tri eurá.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B0AE1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BB0AE1" w:rsidRPr="009A3379" w:rsidP="00BB0AE1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9A3379">
              <w:rPr>
                <w:rFonts w:ascii="Times New Roman" w:hAnsi="Times New Roman"/>
              </w:rPr>
              <w:t>Povinnosť podať oznámenie podľa § 24 pre toho, kto vykonáva cezhraničnú prepravu odpadov z iného členského štátu do SR... (podľa novelizačného bodu č. 49</w:t>
            </w:r>
          </w:p>
          <w:p w:rsidR="00BB0AE1" w:rsidRPr="00BB0AE1" w:rsidP="00BB0AE1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BB0AE1">
              <w:rPr>
                <w:rFonts w:ascii="Times New Roman" w:hAnsi="Times New Roman"/>
                <w:lang w:val="sk-SK" w:eastAsia="sk-SK"/>
              </w:rPr>
              <w:t>Do 31.12.2011 mali všetky subjekty povinnosť podávať oznámenie  pred vykonaním cezhraničnej prepravy odpadu z iného členského štátu do SR, ak dovážali odpad za účelom jeho zhodnotenia. Podľa našich štatistík doteraz žiadna spoločnosť (máme na Slovensku dve – spaľovňa Košice a spaľovňa Bratislava, ktoré spaľujú odpad zaradený do žltého zoznamu a nie do zeleného zoznamu) nedoviezla odpad uvedený v zelenom zozname za účelom zhodnotenia činnosťou R1 v spaľovniach zmesových komunálnych odpadov. Novela zákona taktiež určuje vzorec na výpočet energetickej účinnosti spaľovní komunálnych odpadov, pričom predpokladáme, že ani jedna spaľovňa nebude spĺňať energetickú účinnosť pre udelenie kódu R1. Z doterajších skúsenosti nepredpokladáme dovoz odpadu zo zeleného zoznamu do SR za účelom zhodnotenia činnosťou R1 (R1- využitie najmä ako palivo alebo na získanie energie iným spôsobom) v spaľovniach zmesových komunálnych odpadov.  </w:t>
            </w:r>
          </w:p>
          <w:p w:rsidR="00BB0AE1" w:rsidRPr="00BB0AE1" w:rsidP="00BB0AE1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BB0AE1">
              <w:rPr>
                <w:rFonts w:ascii="Times New Roman" w:hAnsi="Times New Roman"/>
                <w:lang w:val="sk-SK" w:eastAsia="sk-SK"/>
              </w:rPr>
              <w:t xml:space="preserve">Pri dovoze odpadov zo zeleného zoznamu do SR za účelom zhodnotenia okrem zhodnotenia v spaľovniach komunálnych odpadov sa nebude vyžadovať oznámenie, preto očakávaný vplyv na PP je 0 eur. </w:t>
            </w:r>
          </w:p>
          <w:p w:rsidR="00BB0AE1" w:rsidP="00D30107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lang w:val="sk-SK"/>
              </w:rPr>
              <w:t>3.4</w:t>
            </w:r>
            <w:r w:rsidRPr="0065489D">
              <w:rPr>
                <w:rFonts w:ascii="Times New Roman" w:hAnsi="Times New Roman"/>
                <w:lang w:val="sk-SK"/>
              </w:rPr>
              <w:t>. Aké sú dôsledky pripravovaného návrhu pre fungovanie podnikateľských subjektov na slovenskom trhu (ako sa zmenia operácie na trhu?)</w:t>
            </w:r>
          </w:p>
          <w:p w:rsidR="0065489D" w:rsidRPr="0065489D" w:rsidP="00D30107">
            <w:pPr>
              <w:bidi w:val="0"/>
              <w:ind w:left="360"/>
              <w:jc w:val="both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65489D" w:rsidRPr="006C0E2B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Pr="006C0E2B">
              <w:rPr>
                <w:rFonts w:ascii="Times New Roman" w:hAnsi="Times New Roman"/>
                <w:lang w:val="sk-SK"/>
              </w:rPr>
              <w:t> Zásadné dôsledky sa nepredpokladajú,</w:t>
            </w:r>
            <w:r w:rsidR="004569BB">
              <w:rPr>
                <w:rFonts w:ascii="Times New Roman" w:hAnsi="Times New Roman"/>
                <w:lang w:val="sk-SK"/>
              </w:rPr>
              <w:t xml:space="preserve"> v</w:t>
            </w:r>
            <w:r w:rsidRPr="006C0E2B">
              <w:rPr>
                <w:rFonts w:ascii="Times New Roman" w:hAnsi="Times New Roman"/>
                <w:lang w:val="sk-SK"/>
              </w:rPr>
              <w:t xml:space="preserve">zhľadom na nové inštitúty a nové súhlasy si niektoré subjekty budú </w:t>
            </w:r>
            <w:r w:rsidR="004569BB">
              <w:rPr>
                <w:rFonts w:ascii="Times New Roman" w:hAnsi="Times New Roman"/>
                <w:lang w:val="sk-SK"/>
              </w:rPr>
              <w:t>môcť</w:t>
            </w:r>
            <w:r w:rsidRPr="006C0E2B">
              <w:rPr>
                <w:rFonts w:ascii="Times New Roman" w:hAnsi="Times New Roman"/>
                <w:lang w:val="sk-SK"/>
              </w:rPr>
              <w:t xml:space="preserve"> požiadať o udelenie súhlasu a zároveň by sa mala odstrániť prekážka prepravy nebezpečného odpadu za účelom zhodnotenia do iných členských štátov.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65489D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</w:p>
          <w:p w:rsidR="005D378B" w:rsidRPr="0065489D" w:rsidP="00D30107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65489D" w:rsidR="0065489D">
              <w:rPr>
                <w:rFonts w:ascii="Times New Roman" w:hAnsi="Times New Roman"/>
                <w:b/>
                <w:lang w:val="sk-SK"/>
              </w:rPr>
              <w:t>3.5</w:t>
            </w:r>
            <w:r w:rsidRPr="0065489D" w:rsidR="0065489D">
              <w:rPr>
                <w:rFonts w:ascii="Times New Roman" w:hAnsi="Times New Roman"/>
                <w:lang w:val="sk-SK"/>
              </w:rPr>
              <w:t>. Aké sú predpokladané spoločensko – ekonomické dôsledky pripravovaných regulácií</w:t>
            </w:r>
            <w:r>
              <w:rPr>
                <w:rFonts w:ascii="Times New Roman" w:hAnsi="Times New Roman"/>
                <w:lang w:val="sk-SK"/>
              </w:rPr>
              <w:t>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65489D" w:rsidRPr="006C0E2B" w:rsidP="00D30107">
            <w:pPr>
              <w:bidi w:val="0"/>
              <w:rPr>
                <w:rFonts w:ascii="Times New Roman" w:hAnsi="Times New Roman"/>
                <w:lang w:val="sk-SK"/>
              </w:rPr>
            </w:pPr>
            <w:r w:rsidRPr="006C0E2B">
              <w:rPr>
                <w:rFonts w:ascii="Times New Roman" w:hAnsi="Times New Roman"/>
                <w:lang w:val="sk-SK"/>
              </w:rPr>
              <w:t> Zavádzajú sa nové možnosti pri nakladaní s odpadom resp. možnosti zníženia jeho množstva</w:t>
            </w:r>
            <w:r w:rsidR="004569BB">
              <w:rPr>
                <w:rFonts w:ascii="Times New Roman" w:hAnsi="Times New Roman"/>
                <w:lang w:val="sk-SK"/>
              </w:rPr>
              <w:t>, ale v</w:t>
            </w:r>
            <w:r w:rsidRPr="006C0E2B">
              <w:rPr>
                <w:rFonts w:ascii="Times New Roman" w:hAnsi="Times New Roman"/>
                <w:lang w:val="sk-SK"/>
              </w:rPr>
              <w:t>ýznamné spoločensko-ekonomické dôsledky sa neočakávajú.</w:t>
            </w:r>
          </w:p>
        </w:tc>
      </w:tr>
    </w:tbl>
    <w:p w:rsidR="0065489D" w:rsidP="002023C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645106" w:rsidP="002023C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645106" w:rsidP="002023C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Tabuľka </w:t>
      </w:r>
      <w:r w:rsidR="006C54B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k bodu 3.2 </w:t>
      </w:r>
    </w:p>
    <w:tbl>
      <w:tblPr>
        <w:tblStyle w:val="TableNormal"/>
        <w:tblW w:w="9015" w:type="dxa"/>
        <w:tblInd w:w="55" w:type="dxa"/>
        <w:tblCellMar>
          <w:left w:w="70" w:type="dxa"/>
          <w:right w:w="70" w:type="dxa"/>
        </w:tblCellMar>
      </w:tblPr>
      <w:tblGrid>
        <w:gridCol w:w="5260"/>
        <w:gridCol w:w="1276"/>
        <w:gridCol w:w="1276"/>
        <w:gridCol w:w="1203"/>
      </w:tblGrid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B12A54">
            <w:pPr>
              <w:bidi w:val="0"/>
              <w:rPr>
                <w:b/>
                <w:bCs/>
                <w:color w:val="000000"/>
                <w:sz w:val="26"/>
                <w:szCs w:val="26"/>
                <w:lang w:val="sk-SK"/>
              </w:rPr>
            </w:pPr>
            <w:r w:rsidRPr="00416AB2" w:rsidR="00543980">
              <w:rPr>
                <w:rFonts w:ascii="Times New Roman" w:hAnsi="Times New Roman"/>
                <w:b/>
                <w:lang w:val="sk-SK"/>
              </w:rPr>
              <w:t xml:space="preserve">Výdavky podnikateľov na zabezpečenie povinnosti zaviesť a zabezpečovať triedený zber  </w:t>
            </w:r>
            <w:r w:rsidRPr="00416AB2" w:rsidR="00543980">
              <w:rPr>
                <w:b/>
                <w:lang w:val="sk-SK"/>
              </w:rPr>
              <w:t>biologicky rozložiteľných komunálnych odpady, ktorých pôvodcom je prevádzkovateľ kuchyne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 w:rsidR="00716A77">
              <w:rPr>
                <w:b/>
                <w:bCs/>
                <w:color w:val="000000"/>
                <w:sz w:val="26"/>
                <w:szCs w:val="26"/>
                <w:lang w:val="sk-SK"/>
              </w:rPr>
              <w:t>Jednorazové</w:t>
            </w:r>
            <w:r w:rsidRPr="00416AB2" w:rsidR="00862CF9">
              <w:rPr>
                <w:b/>
                <w:bCs/>
                <w:color w:val="000000"/>
                <w:sz w:val="26"/>
                <w:szCs w:val="26"/>
                <w:lang w:val="sk-SK"/>
              </w:rPr>
              <w:t xml:space="preserve"> obstarávacie náklady na odpadkové koše a vaky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912D5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reštauráci</w:t>
            </w:r>
            <w:r w:rsidR="00912D50">
              <w:rPr>
                <w:color w:val="000000"/>
                <w:lang w:val="sk-SK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D378B" w:rsidRPr="00416AB2" w:rsidP="00912D5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školsk</w:t>
            </w:r>
            <w:r w:rsidR="00912D50">
              <w:rPr>
                <w:color w:val="000000"/>
                <w:lang w:val="sk-SK"/>
              </w:rPr>
              <w:t>é</w:t>
            </w:r>
            <w:r w:rsidRPr="00416AB2">
              <w:rPr>
                <w:color w:val="000000"/>
                <w:lang w:val="sk-SK"/>
              </w:rPr>
              <w:t xml:space="preserve"> a in</w:t>
            </w:r>
            <w:r w:rsidR="00912D50">
              <w:rPr>
                <w:color w:val="000000"/>
                <w:lang w:val="sk-SK"/>
              </w:rPr>
              <w:t>é</w:t>
            </w:r>
            <w:r w:rsidRPr="00416AB2">
              <w:rPr>
                <w:color w:val="000000"/>
                <w:lang w:val="sk-SK"/>
              </w:rPr>
              <w:t xml:space="preserve"> jedáln</w:t>
            </w:r>
            <w:r w:rsidR="00912D50">
              <w:rPr>
                <w:color w:val="000000"/>
                <w:lang w:val="sk-SK"/>
              </w:rPr>
              <w:t>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>
              <w:rPr>
                <w:b/>
                <w:bCs/>
                <w:color w:val="000000"/>
                <w:lang w:val="sk-SK"/>
              </w:rPr>
              <w:t>spolu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912D5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 xml:space="preserve">počet </w:t>
            </w:r>
            <w:r w:rsidR="00912D50">
              <w:rPr>
                <w:color w:val="000000"/>
                <w:lang w:val="sk-SK"/>
              </w:rPr>
              <w:t>prevádzkovateľov kuchyne</w:t>
            </w:r>
            <w:r w:rsidRPr="00416AB2">
              <w:rPr>
                <w:color w:val="000000"/>
                <w:lang w:val="sk-SK"/>
              </w:rPr>
              <w:t xml:space="preserve"> (ks)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2000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6000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 xml:space="preserve">priemerná cena za odpadkový kôš (€)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="00F06637">
              <w:rPr>
                <w:color w:val="000000"/>
                <w:lang w:val="sk-SK"/>
              </w:rPr>
              <w:t>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="00F06637">
              <w:rPr>
                <w:color w:val="000000"/>
                <w:lang w:val="sk-SK"/>
              </w:rPr>
              <w:t>45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 xml:space="preserve">priemerná cena za odpadkový vak (€)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="00F06637">
              <w:rPr>
                <w:color w:val="000000"/>
                <w:lang w:val="sk-SK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="009265B9">
              <w:rPr>
                <w:color w:val="000000"/>
                <w:lang w:val="sk-SK"/>
              </w:rPr>
              <w:t>1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>
              <w:rPr>
                <w:b/>
                <w:bCs/>
                <w:color w:val="000000"/>
                <w:lang w:val="sk-SK"/>
              </w:rPr>
              <w:t>celkové náklady na obstaranie odpadkových košov a vakov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  <w:r w:rsidR="00F06637">
              <w:rPr>
                <w:b/>
                <w:bCs/>
                <w:color w:val="000000"/>
                <w:lang w:val="sk-SK"/>
              </w:rPr>
              <w:t xml:space="preserve">136 000,00 </w:t>
            </w:r>
            <w:r w:rsidRPr="00416AB2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912D5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="00F06637">
              <w:rPr>
                <w:b/>
                <w:bCs/>
                <w:color w:val="000000"/>
                <w:lang w:val="sk-SK"/>
              </w:rPr>
              <w:t>6</w:t>
            </w:r>
            <w:r w:rsidR="00912D50">
              <w:rPr>
                <w:b/>
                <w:bCs/>
                <w:color w:val="000000"/>
                <w:lang w:val="sk-SK"/>
              </w:rPr>
              <w:t>8</w:t>
            </w:r>
            <w:r w:rsidR="00F06637">
              <w:rPr>
                <w:b/>
                <w:bCs/>
                <w:color w:val="000000"/>
                <w:lang w:val="sk-SK"/>
              </w:rPr>
              <w:t xml:space="preserve"> 000,00 </w:t>
            </w:r>
            <w:r w:rsidRPr="00416AB2" w:rsidR="00F06637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Pr="00416AB2" w:rsidR="00F06637">
              <w:rPr>
                <w:b/>
                <w:bCs/>
                <w:color w:val="000000"/>
                <w:lang w:val="sk-SK"/>
              </w:rPr>
              <w:t xml:space="preserve">204 000,00 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>
              <w:rPr>
                <w:b/>
                <w:bCs/>
                <w:color w:val="000000"/>
                <w:lang w:val="sk-SK"/>
              </w:rPr>
              <w:t>priemerné náklady na obstaranie odpadkového koša alebo vaku na 1 podnikateľa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  <w:r w:rsidR="00F06637">
              <w:rPr>
                <w:b/>
                <w:bCs/>
                <w:color w:val="000000"/>
                <w:lang w:val="sk-SK"/>
              </w:rPr>
              <w:t xml:space="preserve">                    34,00 </w:t>
            </w:r>
            <w:r w:rsidRPr="00416AB2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F06637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="00F06637">
              <w:rPr>
                <w:b/>
                <w:bCs/>
                <w:color w:val="000000"/>
                <w:lang w:val="sk-SK"/>
              </w:rPr>
              <w:t xml:space="preserve">34,00 </w:t>
            </w:r>
            <w:r w:rsidRPr="00416AB2" w:rsidR="00F06637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="00F06637">
              <w:rPr>
                <w:b/>
                <w:bCs/>
                <w:color w:val="000000"/>
                <w:lang w:val="sk-SK"/>
              </w:rPr>
              <w:t xml:space="preserve">34,00 </w:t>
            </w:r>
            <w:r w:rsidRPr="00416AB2" w:rsidR="00F06637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sz w:val="26"/>
                <w:szCs w:val="26"/>
                <w:lang w:val="sk-SK"/>
              </w:rPr>
            </w:pPr>
            <w:r w:rsidRPr="00416AB2">
              <w:rPr>
                <w:b/>
                <w:bCs/>
                <w:color w:val="000000"/>
                <w:sz w:val="26"/>
                <w:szCs w:val="26"/>
                <w:lang w:val="sk-SK"/>
              </w:rPr>
              <w:t>Náklady na zhodnocovanie za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množstvo vyprodukovaného BRO odpadu (t)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Pr="00416AB2" w:rsidR="00912D50">
              <w:rPr>
                <w:color w:val="000000"/>
                <w:lang w:val="sk-SK"/>
              </w:rPr>
              <w:t>1612,76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priemerné náklady na spracovanie 1t odpadu (€/t)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912D50">
            <w:pPr>
              <w:bidi w:val="0"/>
              <w:rPr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912D50">
            <w:pPr>
              <w:bidi w:val="0"/>
              <w:rPr>
                <w:color w:val="000000"/>
                <w:lang w:val="sk-SK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912D5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Pr="00416AB2" w:rsidR="00912D50">
              <w:rPr>
                <w:color w:val="000000"/>
                <w:lang w:val="sk-SK"/>
              </w:rPr>
              <w:t>1</w:t>
            </w:r>
            <w:r w:rsidR="00912D50">
              <w:rPr>
                <w:color w:val="000000"/>
                <w:lang w:val="sk-SK"/>
              </w:rPr>
              <w:t>8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>
              <w:rPr>
                <w:b/>
                <w:bCs/>
                <w:color w:val="000000"/>
                <w:lang w:val="sk-SK"/>
              </w:rPr>
              <w:t>celkové náklady na spracovanie ročne vyprodukovaného BRO odpadu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CF5570">
            <w:pPr>
              <w:bidi w:val="0"/>
              <w:rPr>
                <w:color w:val="000000"/>
                <w:lang w:val="sk-SK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D378B" w:rsidRPr="00416AB2" w:rsidP="00912D5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  <w:r w:rsidR="00912D50">
              <w:rPr>
                <w:b/>
                <w:bCs/>
                <w:color w:val="000000"/>
                <w:lang w:val="sk-SK"/>
              </w:rPr>
              <w:t xml:space="preserve">29 029,68 </w:t>
            </w:r>
            <w:r w:rsidRPr="00416AB2" w:rsidR="00912D50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A54526" w:rsidRPr="00416AB2" w:rsidP="00464621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>
              <w:rPr>
                <w:b/>
                <w:bCs/>
                <w:color w:val="000000"/>
                <w:lang w:val="sk-SK"/>
              </w:rPr>
              <w:t>priemerné náklady na spracovanie vyprodukovaného ročného BRO odpadu na 1 podnikateľa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464621">
            <w:pPr>
              <w:bidi w:val="0"/>
              <w:rPr>
                <w:b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color w:val="000000"/>
                <w:lang w:val="sk-SK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912D50">
            <w:pPr>
              <w:bidi w:val="0"/>
              <w:rPr>
                <w:color w:val="000000"/>
                <w:lang w:val="sk-SK"/>
              </w:rPr>
            </w:pPr>
            <w:r w:rsidR="00912D50">
              <w:rPr>
                <w:b/>
                <w:bCs/>
                <w:color w:val="000000"/>
                <w:lang w:val="sk-SK"/>
              </w:rPr>
              <w:t xml:space="preserve">4,84 </w:t>
            </w:r>
            <w:r w:rsidRPr="00416AB2" w:rsidR="00912D50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16AB2" w:rsidRPr="00416AB2" w:rsidP="00A54526">
            <w:pPr>
              <w:bidi w:val="0"/>
              <w:rPr>
                <w:b/>
                <w:bCs/>
                <w:color w:val="000000"/>
                <w:sz w:val="26"/>
                <w:szCs w:val="2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16AB2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16AB2" w:rsidRPr="00416AB2" w:rsidP="00CF5570">
            <w:pPr>
              <w:bidi w:val="0"/>
              <w:rPr>
                <w:color w:val="000000"/>
                <w:lang w:val="sk-SK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16AB2" w:rsidRPr="00416AB2" w:rsidP="00CF5570">
            <w:pPr>
              <w:bidi w:val="0"/>
              <w:rPr>
                <w:color w:val="000000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A54526" w:rsidRPr="00416AB2" w:rsidP="00A54526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>
              <w:rPr>
                <w:b/>
                <w:bCs/>
                <w:color w:val="000000"/>
                <w:sz w:val="26"/>
                <w:szCs w:val="26"/>
                <w:lang w:val="sk-SK"/>
              </w:rPr>
              <w:t xml:space="preserve">Náklady na </w:t>
            </w:r>
            <w:r w:rsidR="00416AB2">
              <w:rPr>
                <w:b/>
                <w:bCs/>
                <w:color w:val="000000"/>
                <w:sz w:val="26"/>
                <w:szCs w:val="26"/>
                <w:lang w:val="sk-SK"/>
              </w:rPr>
              <w:t xml:space="preserve">manipuláciu a </w:t>
            </w:r>
            <w:r w:rsidRPr="00416AB2">
              <w:rPr>
                <w:b/>
                <w:bCs/>
                <w:color w:val="000000"/>
                <w:sz w:val="26"/>
                <w:szCs w:val="26"/>
                <w:lang w:val="sk-SK"/>
              </w:rPr>
              <w:t xml:space="preserve">prepravu </w:t>
            </w:r>
            <w:r w:rsidR="00912D50">
              <w:rPr>
                <w:b/>
                <w:bCs/>
                <w:color w:val="000000"/>
                <w:sz w:val="26"/>
                <w:szCs w:val="26"/>
                <w:lang w:val="sk-SK"/>
              </w:rPr>
              <w:t xml:space="preserve">(zber) </w:t>
            </w:r>
            <w:r w:rsidRPr="00416AB2">
              <w:rPr>
                <w:b/>
                <w:bCs/>
                <w:color w:val="000000"/>
                <w:sz w:val="26"/>
                <w:szCs w:val="26"/>
                <w:lang w:val="sk-SK"/>
              </w:rPr>
              <w:t>za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color w:val="000000"/>
                <w:lang w:val="sk-SK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color w:val="000000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A54526" w:rsidRPr="00416AB2" w:rsidP="009265B9">
            <w:pPr>
              <w:bidi w:val="0"/>
              <w:rPr>
                <w:color w:val="000000"/>
                <w:lang w:val="sk-SK"/>
              </w:rPr>
            </w:pPr>
            <w:r w:rsidRPr="00416AB2" w:rsidR="00416AB2">
              <w:rPr>
                <w:color w:val="000000"/>
                <w:lang w:val="sk-SK"/>
              </w:rPr>
              <w:t>p</w:t>
            </w:r>
            <w:r w:rsidRPr="00416AB2">
              <w:rPr>
                <w:color w:val="000000"/>
                <w:lang w:val="sk-SK"/>
              </w:rPr>
              <w:t xml:space="preserve">riemerná cena za </w:t>
            </w:r>
            <w:r w:rsidRPr="00416AB2" w:rsidR="00416AB2">
              <w:rPr>
                <w:color w:val="000000"/>
                <w:lang w:val="sk-SK"/>
              </w:rPr>
              <w:t>jed</w:t>
            </w:r>
            <w:r w:rsidR="009265B9">
              <w:rPr>
                <w:color w:val="000000"/>
                <w:lang w:val="sk-SK"/>
              </w:rPr>
              <w:t>e</w:t>
            </w:r>
            <w:r w:rsidRPr="00416AB2" w:rsidR="00416AB2">
              <w:rPr>
                <w:color w:val="000000"/>
                <w:lang w:val="sk-SK"/>
              </w:rPr>
              <w:t xml:space="preserve">n </w:t>
            </w:r>
            <w:r w:rsidR="009265B9">
              <w:rPr>
                <w:color w:val="000000"/>
                <w:lang w:val="sk-SK"/>
              </w:rPr>
              <w:t>zber</w:t>
            </w:r>
            <w:r w:rsidRPr="00416AB2">
              <w:rPr>
                <w:color w:val="000000"/>
                <w:lang w:val="sk-SK"/>
              </w:rPr>
              <w:t xml:space="preserve"> (€/</w:t>
            </w:r>
            <w:r w:rsidRPr="00416AB2" w:rsidR="00416AB2">
              <w:rPr>
                <w:color w:val="000000"/>
                <w:lang w:val="sk-SK"/>
              </w:rPr>
              <w:t>1 zber</w:t>
            </w:r>
            <w:r w:rsidRPr="00416AB2">
              <w:rPr>
                <w:color w:val="000000"/>
                <w:lang w:val="sk-SK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464621">
            <w:pPr>
              <w:bidi w:val="0"/>
              <w:rPr>
                <w:color w:val="000000"/>
                <w:lang w:val="sk-SK"/>
              </w:rPr>
            </w:pPr>
            <w:r w:rsidRPr="00416AB2" w:rsidR="00416AB2">
              <w:rPr>
                <w:color w:val="000000"/>
                <w:lang w:val="sk-SK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 w:rsidR="00912D50">
              <w:rPr>
                <w:color w:val="000000"/>
                <w:lang w:val="sk-SK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 w:rsidR="00912D50">
              <w:rPr>
                <w:color w:val="000000"/>
                <w:lang w:val="sk-SK"/>
              </w:rPr>
              <w:t>2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12D50" w:rsidRPr="00416AB2" w:rsidP="00912D50">
            <w:pPr>
              <w:bidi w:val="0"/>
              <w:rPr>
                <w:bCs/>
                <w:color w:val="000000"/>
                <w:lang w:val="sk-SK"/>
              </w:rPr>
            </w:pPr>
            <w:r>
              <w:rPr>
                <w:bCs/>
                <w:color w:val="000000"/>
                <w:lang w:val="sk-SK"/>
              </w:rPr>
              <w:t>priemerný počet zberov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2D50" w:rsidP="00464621">
            <w:pPr>
              <w:bidi w:val="0"/>
              <w:rPr>
                <w:bCs/>
                <w:color w:val="000000"/>
                <w:lang w:val="sk-SK"/>
              </w:rPr>
            </w:pPr>
            <w:r>
              <w:rPr>
                <w:bCs/>
                <w:color w:val="000000"/>
                <w:lang w:val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2D50" w:rsidRPr="00416AB2" w:rsidP="00CF5570">
            <w:pPr>
              <w:bidi w:val="0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12D50" w:rsidRPr="00416AB2" w:rsidP="009265B9">
            <w:pPr>
              <w:bidi w:val="0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2,6</w:t>
            </w:r>
            <w:r w:rsidR="009265B9">
              <w:rPr>
                <w:color w:val="000000"/>
                <w:lang w:val="sk-SK"/>
              </w:rPr>
              <w:t>7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A54526" w:rsidRPr="00416AB2" w:rsidP="009265B9">
            <w:pPr>
              <w:bidi w:val="0"/>
              <w:rPr>
                <w:bCs/>
                <w:color w:val="000000"/>
                <w:lang w:val="sk-SK"/>
              </w:rPr>
            </w:pPr>
            <w:r w:rsidRPr="00416AB2">
              <w:rPr>
                <w:bCs/>
                <w:color w:val="000000"/>
                <w:lang w:val="sk-SK"/>
              </w:rPr>
              <w:t>náklady na pravideln</w:t>
            </w:r>
            <w:r w:rsidR="009265B9">
              <w:rPr>
                <w:bCs/>
                <w:color w:val="000000"/>
                <w:lang w:val="sk-SK"/>
              </w:rPr>
              <w:t>ý zber v</w:t>
            </w:r>
            <w:r w:rsidRPr="00416AB2">
              <w:rPr>
                <w:bCs/>
                <w:color w:val="000000"/>
                <w:lang w:val="sk-SK"/>
              </w:rPr>
              <w:t xml:space="preserve">yprodukovaného BRO odpadu </w:t>
            </w:r>
            <w:r w:rsidR="009265B9">
              <w:rPr>
                <w:bCs/>
                <w:color w:val="000000"/>
                <w:lang w:val="sk-SK"/>
              </w:rPr>
              <w:t xml:space="preserve">na 1 prevádzkovateľa kuchyne </w:t>
            </w:r>
            <w:r w:rsidRPr="00416AB2">
              <w:rPr>
                <w:bCs/>
                <w:color w:val="000000"/>
                <w:lang w:val="sk-SK"/>
              </w:rPr>
              <w:t>za týždeň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464621">
            <w:pPr>
              <w:bidi w:val="0"/>
              <w:rPr>
                <w:bCs/>
                <w:color w:val="000000"/>
                <w:lang w:val="sk-SK"/>
              </w:rPr>
            </w:pPr>
            <w:r w:rsidR="00912D50">
              <w:rPr>
                <w:bCs/>
                <w:color w:val="000000"/>
                <w:lang w:val="sk-SK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color w:val="000000"/>
                <w:lang w:val="sk-SK"/>
              </w:rPr>
            </w:pPr>
            <w:r w:rsidR="00912D50">
              <w:rPr>
                <w:color w:val="000000"/>
                <w:lang w:val="sk-SK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9265B9">
            <w:pPr>
              <w:bidi w:val="0"/>
              <w:rPr>
                <w:color w:val="000000"/>
                <w:lang w:val="sk-SK"/>
              </w:rPr>
            </w:pPr>
            <w:r w:rsidR="00912D50">
              <w:rPr>
                <w:color w:val="000000"/>
                <w:lang w:val="sk-SK"/>
              </w:rPr>
              <w:t>5,33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A54526" w:rsidRPr="00416AB2" w:rsidP="009265B9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>
              <w:rPr>
                <w:b/>
                <w:bCs/>
                <w:color w:val="000000"/>
                <w:lang w:val="sk-SK"/>
              </w:rPr>
              <w:t xml:space="preserve">celkové náklady na </w:t>
            </w:r>
            <w:r w:rsidR="009265B9">
              <w:rPr>
                <w:b/>
                <w:bCs/>
                <w:color w:val="000000"/>
                <w:lang w:val="sk-SK"/>
              </w:rPr>
              <w:t>zber</w:t>
            </w:r>
            <w:r w:rsidRPr="00416AB2">
              <w:rPr>
                <w:b/>
                <w:bCs/>
                <w:color w:val="000000"/>
                <w:lang w:val="sk-SK"/>
              </w:rPr>
              <w:t xml:space="preserve"> ročne vyprodukovaného BRO odpadu</w:t>
            </w:r>
            <w:r w:rsidR="00416AB2">
              <w:rPr>
                <w:b/>
                <w:bCs/>
                <w:color w:val="000000"/>
                <w:lang w:val="sk-SK"/>
              </w:rPr>
              <w:t xml:space="preserve"> </w:t>
            </w:r>
            <w:r w:rsidRPr="00416AB2">
              <w:rPr>
                <w:b/>
                <w:bCs/>
                <w:color w:val="000000"/>
                <w:lang w:val="sk-SK"/>
              </w:rPr>
              <w:t xml:space="preserve">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9265B9" w:rsidP="00464621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9265B9" w:rsidR="00416AB2">
              <w:rPr>
                <w:b/>
                <w:bCs/>
                <w:color w:val="000000"/>
                <w:lang w:val="sk-SK"/>
              </w:rPr>
              <w:t>1 248 000</w:t>
            </w:r>
            <w:r w:rsidRPr="009265B9" w:rsidR="00912D50">
              <w:rPr>
                <w:b/>
                <w:bCs/>
                <w:color w:val="000000"/>
                <w:lang w:val="sk-SK"/>
              </w:rPr>
              <w:t xml:space="preserve"> </w:t>
            </w:r>
            <w:r w:rsidRPr="009265B9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9265B9" w:rsidP="00CF5570">
            <w:pPr>
              <w:bidi w:val="0"/>
              <w:rPr>
                <w:b/>
                <w:color w:val="000000"/>
                <w:lang w:val="sk-SK"/>
              </w:rPr>
            </w:pPr>
            <w:r w:rsidRPr="009265B9" w:rsidR="009265B9">
              <w:rPr>
                <w:b/>
                <w:color w:val="000000"/>
                <w:lang w:val="sk-SK"/>
              </w:rPr>
              <w:t>416 000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9265B9" w:rsidP="00CF5570">
            <w:pPr>
              <w:bidi w:val="0"/>
              <w:rPr>
                <w:b/>
                <w:color w:val="000000"/>
                <w:lang w:val="sk-SK"/>
              </w:rPr>
            </w:pPr>
            <w:r w:rsidR="009265B9">
              <w:rPr>
                <w:b/>
                <w:color w:val="000000"/>
                <w:lang w:val="sk-SK"/>
              </w:rPr>
              <w:t>1 664 000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A54526" w:rsidRPr="00416AB2" w:rsidP="009265B9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416AB2">
              <w:rPr>
                <w:b/>
                <w:bCs/>
                <w:color w:val="000000"/>
                <w:lang w:val="sk-SK"/>
              </w:rPr>
              <w:t xml:space="preserve">priemerné náklady na </w:t>
            </w:r>
            <w:r w:rsidR="009265B9">
              <w:rPr>
                <w:b/>
                <w:bCs/>
                <w:color w:val="000000"/>
                <w:lang w:val="sk-SK"/>
              </w:rPr>
              <w:t>zber</w:t>
            </w:r>
            <w:r w:rsidRPr="00416AB2">
              <w:rPr>
                <w:b/>
                <w:bCs/>
                <w:color w:val="000000"/>
                <w:lang w:val="sk-SK"/>
              </w:rPr>
              <w:t xml:space="preserve"> vyprodukovaného ročného BRO odpadu na 1 podnikateľa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9265B9" w:rsidP="00912D50">
            <w:pPr>
              <w:bidi w:val="0"/>
              <w:rPr>
                <w:b/>
                <w:bCs/>
                <w:color w:val="000000"/>
                <w:lang w:val="sk-SK"/>
              </w:rPr>
            </w:pPr>
            <w:r w:rsidRPr="009265B9">
              <w:rPr>
                <w:b/>
                <w:bCs/>
                <w:color w:val="000000"/>
                <w:lang w:val="sk-SK"/>
              </w:rPr>
              <w:t xml:space="preserve">                      </w:t>
            </w:r>
            <w:r w:rsidRPr="009265B9" w:rsidR="00912D50">
              <w:rPr>
                <w:b/>
                <w:bCs/>
                <w:color w:val="000000"/>
                <w:lang w:val="sk-SK"/>
              </w:rPr>
              <w:t xml:space="preserve">312 </w:t>
            </w:r>
            <w:r w:rsidRPr="009265B9">
              <w:rPr>
                <w:b/>
                <w:bCs/>
                <w:color w:val="000000"/>
                <w:lang w:val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9265B9" w:rsidP="00CF5570">
            <w:pPr>
              <w:bidi w:val="0"/>
              <w:rPr>
                <w:b/>
                <w:color w:val="000000"/>
                <w:lang w:val="sk-SK"/>
              </w:rPr>
            </w:pPr>
            <w:r w:rsidRPr="009265B9" w:rsidR="009265B9">
              <w:rPr>
                <w:b/>
                <w:color w:val="000000"/>
                <w:lang w:val="sk-SK"/>
              </w:rPr>
              <w:t>208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9265B9" w:rsidP="00CF5570">
            <w:pPr>
              <w:bidi w:val="0"/>
              <w:rPr>
                <w:b/>
                <w:color w:val="000000"/>
                <w:lang w:val="sk-SK"/>
              </w:rPr>
            </w:pPr>
            <w:r w:rsidR="009265B9">
              <w:rPr>
                <w:b/>
                <w:color w:val="000000"/>
                <w:lang w:val="sk-SK"/>
              </w:rPr>
              <w:t>277,33</w:t>
            </w:r>
          </w:p>
        </w:tc>
      </w:tr>
      <w:tr>
        <w:tblPrEx>
          <w:tblW w:w="901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A54526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b/>
                <w:bCs/>
                <w:color w:val="000000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54526" w:rsidRPr="00416AB2" w:rsidP="00CF5570">
            <w:pPr>
              <w:bidi w:val="0"/>
              <w:rPr>
                <w:color w:val="000000"/>
                <w:lang w:val="sk-SK"/>
              </w:rPr>
            </w:pPr>
            <w:r w:rsidRPr="00416AB2">
              <w:rPr>
                <w:color w:val="000000"/>
                <w:lang w:val="sk-SK"/>
              </w:rPr>
              <w:t> </w:t>
            </w:r>
          </w:p>
        </w:tc>
      </w:tr>
    </w:tbl>
    <w:p w:rsidR="005D378B" w:rsidP="002023C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D378B" w:rsidP="002023C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645106" w:rsidRPr="0065489D" w:rsidP="002023C6">
      <w:pPr>
        <w:bidi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sectPr w:rsidSect="0065489D">
          <w:pgSz w:w="12240" w:h="15840"/>
          <w:pgMar w:top="1440" w:right="1803" w:bottom="1440" w:left="1440" w:header="709" w:footer="709" w:gutter="0"/>
          <w:lnNumType w:distance="0"/>
          <w:cols w:space="708"/>
          <w:bidi w:val="0"/>
        </w:sectPr>
      </w:pPr>
    </w:p>
    <w:p w:rsidR="0065489D" w:rsidRPr="0065489D" w:rsidP="0065489D">
      <w:pPr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65489D">
        <w:rPr>
          <w:rFonts w:ascii="Times New Roman" w:hAnsi="Times New Roman"/>
          <w:b/>
          <w:bCs/>
          <w:sz w:val="28"/>
          <w:szCs w:val="28"/>
          <w:lang w:val="sk-SK"/>
        </w:rPr>
        <w:t>V</w:t>
      </w:r>
      <w:r w:rsidRPr="0065489D">
        <w:rPr>
          <w:rFonts w:ascii="Times New Roman" w:hAnsi="Times New Roman"/>
          <w:b/>
          <w:sz w:val="28"/>
          <w:szCs w:val="28"/>
          <w:lang w:val="sk-SK"/>
        </w:rPr>
        <w:t>plyvy na životné prostredie</w:t>
      </w:r>
    </w:p>
    <w:tbl>
      <w:tblPr>
        <w:tblStyle w:val="TableNormal"/>
        <w:tblpPr w:leftFromText="141" w:rightFromText="141" w:vertAnchor="text" w:tblpX="55" w:tblpY="1"/>
        <w:tblOverlap w:val="never"/>
        <w:tblW w:w="8835" w:type="dxa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4335"/>
        <w:gridCol w:w="4500"/>
      </w:tblGrid>
      <w:tr>
        <w:tblPrEx>
          <w:tblW w:w="883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8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65489D" w:rsidRPr="0065489D" w:rsidP="00672E28">
            <w:pPr>
              <w:bidi w:val="0"/>
              <w:suppressOverlap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5489D">
              <w:rPr>
                <w:rFonts w:ascii="Times New Roman" w:hAnsi="Times New Roman"/>
                <w:b/>
                <w:bCs/>
                <w:color w:val="FFFFFF"/>
                <w:lang w:val="sk-SK"/>
              </w:rPr>
              <w:t>Životné prostredie</w:t>
            </w:r>
          </w:p>
        </w:tc>
      </w:tr>
      <w:tr>
        <w:tblPrEx>
          <w:tblW w:w="883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89D" w:rsidRPr="0065489D" w:rsidP="00672E28">
            <w:pPr>
              <w:bidi w:val="0"/>
              <w:suppressOverlap/>
              <w:rPr>
                <w:rFonts w:ascii="Times New Roman" w:hAnsi="Times New Roman"/>
                <w:b/>
                <w:lang w:val="sk-SK"/>
              </w:rPr>
            </w:pPr>
          </w:p>
          <w:p w:rsidR="0065489D" w:rsidRPr="0065489D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lang w:val="sk-SK"/>
              </w:rPr>
              <w:t>5.1.</w:t>
            </w:r>
            <w:r w:rsidRPr="0065489D">
              <w:rPr>
                <w:rFonts w:ascii="Times New Roman" w:hAnsi="Times New Roman"/>
                <w:lang w:val="sk-SK"/>
              </w:rPr>
              <w:t xml:space="preserve">  Ktoré zložky životného prostredia (najmä ovzdušie, voda, horniny, pôda, organizmy) budú návrhom ovplyvnené a aký bude ich vplyv (pozitívny alebo negatívny)?</w:t>
            </w:r>
          </w:p>
          <w:p w:rsidR="0065489D" w:rsidRPr="00E1595D" w:rsidP="00672E28">
            <w:pPr>
              <w:bidi w:val="0"/>
              <w:suppressOverlap/>
              <w:rPr>
                <w:rFonts w:ascii="Times New Roman" w:hAnsi="Times New Roman"/>
                <w:color w:val="FF0000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65489D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Materiál má prispieť k</w:t>
            </w:r>
            <w:r w:rsidR="00672E28">
              <w:rPr>
                <w:rFonts w:ascii="Times New Roman" w:hAnsi="Times New Roman"/>
                <w:lang w:val="sk-SK"/>
              </w:rPr>
              <w:t xml:space="preserve"> zvýšeniu </w:t>
            </w:r>
            <w:r w:rsidRPr="0065489D">
              <w:rPr>
                <w:rFonts w:ascii="Times New Roman" w:hAnsi="Times New Roman"/>
                <w:lang w:val="sk-SK"/>
              </w:rPr>
              <w:t xml:space="preserve"> množstva </w:t>
            </w:r>
            <w:r w:rsidR="00672E28">
              <w:rPr>
                <w:rFonts w:ascii="Times New Roman" w:hAnsi="Times New Roman"/>
                <w:lang w:val="sk-SK"/>
              </w:rPr>
              <w:t xml:space="preserve">zhodnocovaného biologicky rozložiteľného komunálneho odpadu. </w:t>
            </w:r>
            <w:r w:rsidR="00F64A65">
              <w:rPr>
                <w:rFonts w:ascii="Times New Roman" w:hAnsi="Times New Roman"/>
                <w:lang w:val="sk-SK"/>
              </w:rPr>
              <w:t>Zavedenie programu predchádzania vzniku odpadu môže prispieť k zníženiu množstva odpadu, a to ustanovením napr. opatrení ako vzniku odpadu predchádzať, zároveň inštitút vedľajšieho produktu a stavu konca odpadu môžu znížiť množstvo odpadu resp. umožniť preklasifikovanie odpadu na výrobok a nahradiť tak primárne suroviny vo výrobnom procese</w:t>
            </w:r>
            <w:r w:rsidR="00E231FA">
              <w:rPr>
                <w:rFonts w:ascii="Times New Roman" w:hAnsi="Times New Roman"/>
                <w:lang w:val="sk-SK"/>
              </w:rPr>
              <w:t>.</w:t>
            </w:r>
            <w:r w:rsidR="00F64A65">
              <w:rPr>
                <w:rFonts w:ascii="Times New Roman" w:hAnsi="Times New Roman"/>
                <w:lang w:val="sk-SK"/>
              </w:rPr>
              <w:t xml:space="preserve">  </w:t>
            </w:r>
            <w:r w:rsidRPr="0065489D">
              <w:rPr>
                <w:rFonts w:ascii="Times New Roman" w:hAnsi="Times New Roman"/>
                <w:lang w:val="sk-SK"/>
              </w:rPr>
              <w:t xml:space="preserve"> Zavedením prípravy na opätovné použitie sa zároveň predĺži životný cyklus výrobku.</w:t>
            </w:r>
          </w:p>
          <w:p w:rsidR="00F64A65" w:rsidRPr="0065489D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Ako prínos pre životné prostredie je možné chápať aj určenie najdlhšej doby na akú je možné súhlas udeliť, t. j. na päť rokov resp. na tri </w:t>
            </w:r>
            <w:r w:rsidR="00E231FA">
              <w:rPr>
                <w:rFonts w:ascii="Times New Roman" w:hAnsi="Times New Roman"/>
                <w:lang w:val="sk-SK"/>
              </w:rPr>
              <w:t xml:space="preserve">pri nebezpečnom odpade </w:t>
            </w:r>
            <w:r>
              <w:rPr>
                <w:rFonts w:ascii="Times New Roman" w:hAnsi="Times New Roman"/>
                <w:lang w:val="sk-SK"/>
              </w:rPr>
              <w:t>na rozdiel od udeľovania súhlasov na neprimerane dlhú dobu ako napr. na</w:t>
            </w:r>
            <w:r w:rsidR="00626F62">
              <w:rPr>
                <w:rFonts w:ascii="Times New Roman" w:hAnsi="Times New Roman"/>
                <w:lang w:val="sk-SK"/>
              </w:rPr>
              <w:t xml:space="preserve"> </w:t>
            </w:r>
            <w:r>
              <w:rPr>
                <w:rFonts w:ascii="Times New Roman" w:hAnsi="Times New Roman"/>
                <w:lang w:val="sk-SK"/>
              </w:rPr>
              <w:t>10 či 15 rokov, a tak pri predlžovaní</w:t>
            </w:r>
            <w:r w:rsidR="00E231FA">
              <w:rPr>
                <w:rFonts w:ascii="Times New Roman" w:hAnsi="Times New Roman"/>
                <w:lang w:val="sk-SK"/>
              </w:rPr>
              <w:t xml:space="preserve"> ich platnosti možnosť častejšie</w:t>
            </w:r>
            <w:r>
              <w:rPr>
                <w:rFonts w:ascii="Times New Roman" w:hAnsi="Times New Roman"/>
                <w:lang w:val="sk-SK"/>
              </w:rPr>
              <w:t xml:space="preserve"> zhodnotiť jednak doterajší výkon činnosti subjektu ako aj zohľadniť zmenu v technologickom vývoji napr. šetrnejšie metódy a činnosti spracovania vo vzťahu k životnému prostrediu.</w:t>
            </w:r>
            <w:r w:rsidR="00536E18">
              <w:rPr>
                <w:rFonts w:ascii="Times New Roman" w:hAnsi="Times New Roman"/>
                <w:lang w:val="sk-SK"/>
              </w:rPr>
              <w:t xml:space="preserve"> </w:t>
            </w:r>
          </w:p>
        </w:tc>
      </w:tr>
      <w:tr>
        <w:tblPrEx>
          <w:tblW w:w="883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489D" w:rsidRPr="0065489D" w:rsidP="00672E28">
            <w:pPr>
              <w:bidi w:val="0"/>
              <w:suppressOverlap/>
              <w:rPr>
                <w:rFonts w:ascii="Times New Roman" w:hAnsi="Times New Roman"/>
                <w:b/>
                <w:lang w:val="sk-SK"/>
              </w:rPr>
            </w:pPr>
          </w:p>
          <w:p w:rsidR="0065489D" w:rsidRPr="0065489D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lang w:val="sk-SK"/>
              </w:rPr>
              <w:t xml:space="preserve">5.2. </w:t>
            </w:r>
            <w:r w:rsidRPr="0065489D">
              <w:rPr>
                <w:rFonts w:ascii="Times New Roman" w:hAnsi="Times New Roman"/>
                <w:lang w:val="sk-SK"/>
              </w:rPr>
              <w:t>Bude mať navrhovaný materiál vplyv na chránené územia a ak áno aký?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672E28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</w:p>
          <w:p w:rsidR="0065489D" w:rsidRPr="0065489D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  <w:r w:rsidR="00672E28">
              <w:rPr>
                <w:rFonts w:ascii="Times New Roman" w:hAnsi="Times New Roman"/>
                <w:lang w:val="sk-SK"/>
              </w:rPr>
              <w:t>V</w:t>
            </w:r>
            <w:r w:rsidRPr="0065489D">
              <w:rPr>
                <w:rFonts w:ascii="Times New Roman" w:hAnsi="Times New Roman"/>
                <w:lang w:val="sk-SK"/>
              </w:rPr>
              <w:t xml:space="preserve">plyv na chránené územia </w:t>
            </w:r>
            <w:r w:rsidR="00672E28">
              <w:rPr>
                <w:rFonts w:ascii="Times New Roman" w:hAnsi="Times New Roman"/>
                <w:lang w:val="sk-SK"/>
              </w:rPr>
              <w:t xml:space="preserve">sa </w:t>
            </w:r>
            <w:r w:rsidRPr="0065489D">
              <w:rPr>
                <w:rFonts w:ascii="Times New Roman" w:hAnsi="Times New Roman"/>
                <w:lang w:val="sk-SK"/>
              </w:rPr>
              <w:t>nepredpokladá</w:t>
            </w:r>
            <w:r w:rsidR="00672E28">
              <w:rPr>
                <w:rFonts w:ascii="Times New Roman" w:hAnsi="Times New Roman"/>
                <w:lang w:val="sk-SK"/>
              </w:rPr>
              <w:t xml:space="preserve">. </w:t>
            </w:r>
          </w:p>
        </w:tc>
      </w:tr>
      <w:tr>
        <w:tblPrEx>
          <w:tblW w:w="883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65489D" w:rsidRPr="0065489D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b/>
                <w:lang w:val="sk-SK"/>
              </w:rPr>
              <w:t>5.3.</w:t>
            </w:r>
            <w:r w:rsidRPr="0065489D">
              <w:rPr>
                <w:rFonts w:ascii="Times New Roman" w:hAnsi="Times New Roman"/>
                <w:lang w:val="sk-SK"/>
              </w:rPr>
              <w:t xml:space="preserve"> Bude mať návrh vplyv na životné prostredie presahujúce štátne hranice?</w:t>
            </w:r>
          </w:p>
          <w:p w:rsidR="0065489D" w:rsidRPr="0065489D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top"/>
          </w:tcPr>
          <w:p w:rsidR="00672E28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  <w:r w:rsidRPr="0065489D" w:rsidR="0065489D">
              <w:rPr>
                <w:rFonts w:ascii="Times New Roman" w:hAnsi="Times New Roman"/>
                <w:lang w:val="sk-SK"/>
              </w:rPr>
              <w:t> </w:t>
            </w:r>
          </w:p>
          <w:p w:rsidR="0065489D" w:rsidRPr="0065489D" w:rsidP="00672E28">
            <w:pPr>
              <w:bidi w:val="0"/>
              <w:suppressOverlap/>
              <w:rPr>
                <w:rFonts w:ascii="Times New Roman" w:hAnsi="Times New Roman"/>
                <w:lang w:val="sk-SK"/>
              </w:rPr>
            </w:pPr>
            <w:r w:rsidRPr="0065489D">
              <w:rPr>
                <w:rFonts w:ascii="Times New Roman" w:hAnsi="Times New Roman"/>
                <w:lang w:val="sk-SK"/>
              </w:rPr>
              <w:t>Nepredpokladá sa.</w:t>
            </w:r>
          </w:p>
        </w:tc>
      </w:tr>
    </w:tbl>
    <w:p w:rsidR="0065489D" w:rsidP="00376EE1">
      <w:pPr>
        <w:bidi w:val="0"/>
        <w:rPr>
          <w:lang w:val="sk-SK"/>
        </w:rPr>
      </w:pPr>
    </w:p>
    <w:sectPr w:rsidSect="00376EE1">
      <w:pgSz w:w="12240" w:h="15840"/>
      <w:pgMar w:top="1440" w:right="1803" w:bottom="1318" w:left="1440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D5" w:rsidP="00E12A3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A1284">
      <w:rPr>
        <w:rStyle w:val="PageNumber"/>
        <w:rFonts w:ascii="Times New Roman" w:hAnsi="Times New Roman"/>
        <w:noProof/>
      </w:rPr>
      <w:t>11</w:t>
    </w:r>
    <w:r>
      <w:rPr>
        <w:rStyle w:val="PageNumber"/>
        <w:rFonts w:ascii="Times New Roman" w:hAnsi="Times New Roman"/>
      </w:rPr>
      <w:fldChar w:fldCharType="end"/>
    </w:r>
  </w:p>
  <w:p w:rsidR="003332D5" w:rsidP="00C7190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38B4"/>
    <w:multiLevelType w:val="hybridMultilevel"/>
    <w:tmpl w:val="28E2EB74"/>
    <w:lvl w:ilvl="0">
      <w:start w:val="74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965A2"/>
    <w:multiLevelType w:val="singleLevel"/>
    <w:tmpl w:val="2B6E7CD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0"/>
        <w:szCs w:val="20"/>
        <w:u w:val="none"/>
        <w:rtl w:val="0"/>
        <w:cs w:val="0"/>
      </w:rPr>
    </w:lvl>
  </w:abstractNum>
  <w:abstractNum w:abstractNumId="2">
    <w:nsid w:val="6A1272D8"/>
    <w:multiLevelType w:val="hybridMultilevel"/>
    <w:tmpl w:val="84B493EC"/>
    <w:lvl w:ilvl="0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20919DA"/>
    <w:multiLevelType w:val="hybridMultilevel"/>
    <w:tmpl w:val="C256E14A"/>
    <w:lvl w:ilvl="0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74535"/>
    <w:multiLevelType w:val="singleLevel"/>
    <w:tmpl w:val="8E7EF262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Arial" w:hAnsi="Arial" w:cs="Arial" w:hint="default"/>
        <w:b/>
        <w:i w:val="0"/>
        <w:sz w:val="20"/>
        <w:szCs w:val="20"/>
        <w:u w:val="none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8245F"/>
    <w:rsid w:val="00000E73"/>
    <w:rsid w:val="00005538"/>
    <w:rsid w:val="00010BE4"/>
    <w:rsid w:val="00033A2C"/>
    <w:rsid w:val="00050079"/>
    <w:rsid w:val="0006349C"/>
    <w:rsid w:val="000713CF"/>
    <w:rsid w:val="00085BD9"/>
    <w:rsid w:val="000905BA"/>
    <w:rsid w:val="000973EC"/>
    <w:rsid w:val="000A59DA"/>
    <w:rsid w:val="000A7338"/>
    <w:rsid w:val="000C1657"/>
    <w:rsid w:val="000C7D3B"/>
    <w:rsid w:val="00121F40"/>
    <w:rsid w:val="00122EA0"/>
    <w:rsid w:val="00165BE3"/>
    <w:rsid w:val="00166D91"/>
    <w:rsid w:val="00172AEC"/>
    <w:rsid w:val="0018351E"/>
    <w:rsid w:val="001A1929"/>
    <w:rsid w:val="001B5511"/>
    <w:rsid w:val="001E354E"/>
    <w:rsid w:val="002023C6"/>
    <w:rsid w:val="00211139"/>
    <w:rsid w:val="00217F90"/>
    <w:rsid w:val="0022170E"/>
    <w:rsid w:val="00232B15"/>
    <w:rsid w:val="00245F28"/>
    <w:rsid w:val="002704AC"/>
    <w:rsid w:val="002807B6"/>
    <w:rsid w:val="002A5F73"/>
    <w:rsid w:val="002B074A"/>
    <w:rsid w:val="002D4474"/>
    <w:rsid w:val="002F5FA7"/>
    <w:rsid w:val="00300815"/>
    <w:rsid w:val="00322833"/>
    <w:rsid w:val="003245A0"/>
    <w:rsid w:val="00327888"/>
    <w:rsid w:val="003332D5"/>
    <w:rsid w:val="00353BF1"/>
    <w:rsid w:val="00373E81"/>
    <w:rsid w:val="00376B98"/>
    <w:rsid w:val="00376EE1"/>
    <w:rsid w:val="00380B8B"/>
    <w:rsid w:val="00393D43"/>
    <w:rsid w:val="003A20A7"/>
    <w:rsid w:val="003A7B4F"/>
    <w:rsid w:val="003B4109"/>
    <w:rsid w:val="003C3B19"/>
    <w:rsid w:val="003D2EC9"/>
    <w:rsid w:val="003D6A31"/>
    <w:rsid w:val="003F1CF7"/>
    <w:rsid w:val="004066BB"/>
    <w:rsid w:val="00416AB2"/>
    <w:rsid w:val="00444031"/>
    <w:rsid w:val="00454352"/>
    <w:rsid w:val="004569BB"/>
    <w:rsid w:val="00464621"/>
    <w:rsid w:val="00467015"/>
    <w:rsid w:val="00475157"/>
    <w:rsid w:val="00484B99"/>
    <w:rsid w:val="004A2BB5"/>
    <w:rsid w:val="004A3A27"/>
    <w:rsid w:val="004C0EF3"/>
    <w:rsid w:val="004D4697"/>
    <w:rsid w:val="004D50C8"/>
    <w:rsid w:val="004E6EE2"/>
    <w:rsid w:val="00507C1F"/>
    <w:rsid w:val="00513C91"/>
    <w:rsid w:val="00525AA8"/>
    <w:rsid w:val="00526140"/>
    <w:rsid w:val="00536E18"/>
    <w:rsid w:val="00543980"/>
    <w:rsid w:val="005455C6"/>
    <w:rsid w:val="00560FAD"/>
    <w:rsid w:val="005618A5"/>
    <w:rsid w:val="00593F1E"/>
    <w:rsid w:val="005973F0"/>
    <w:rsid w:val="005A0B24"/>
    <w:rsid w:val="005A7D8A"/>
    <w:rsid w:val="005B6435"/>
    <w:rsid w:val="005D378B"/>
    <w:rsid w:val="005D7C8C"/>
    <w:rsid w:val="005E5687"/>
    <w:rsid w:val="00603EC0"/>
    <w:rsid w:val="00615AEA"/>
    <w:rsid w:val="00623999"/>
    <w:rsid w:val="00626F62"/>
    <w:rsid w:val="00645106"/>
    <w:rsid w:val="0065489D"/>
    <w:rsid w:val="00656A2A"/>
    <w:rsid w:val="006623CB"/>
    <w:rsid w:val="00672E28"/>
    <w:rsid w:val="00680404"/>
    <w:rsid w:val="00687F4D"/>
    <w:rsid w:val="006C0E2B"/>
    <w:rsid w:val="006C54BE"/>
    <w:rsid w:val="006D5209"/>
    <w:rsid w:val="006E17E1"/>
    <w:rsid w:val="006E79C2"/>
    <w:rsid w:val="006F6A0D"/>
    <w:rsid w:val="007110A7"/>
    <w:rsid w:val="00716A77"/>
    <w:rsid w:val="00730074"/>
    <w:rsid w:val="007434AC"/>
    <w:rsid w:val="00744F72"/>
    <w:rsid w:val="00757295"/>
    <w:rsid w:val="007623B5"/>
    <w:rsid w:val="00766F7E"/>
    <w:rsid w:val="0078191E"/>
    <w:rsid w:val="007866AD"/>
    <w:rsid w:val="00795002"/>
    <w:rsid w:val="007A52B2"/>
    <w:rsid w:val="007A7326"/>
    <w:rsid w:val="007B104E"/>
    <w:rsid w:val="007C2194"/>
    <w:rsid w:val="007D4D4C"/>
    <w:rsid w:val="007E6AF8"/>
    <w:rsid w:val="007F473B"/>
    <w:rsid w:val="0081398B"/>
    <w:rsid w:val="0081525C"/>
    <w:rsid w:val="008168C2"/>
    <w:rsid w:val="00817799"/>
    <w:rsid w:val="008209EB"/>
    <w:rsid w:val="00852F65"/>
    <w:rsid w:val="008530C2"/>
    <w:rsid w:val="008539BC"/>
    <w:rsid w:val="008572D7"/>
    <w:rsid w:val="00862CF9"/>
    <w:rsid w:val="00877EAB"/>
    <w:rsid w:val="00883CEA"/>
    <w:rsid w:val="00887D0A"/>
    <w:rsid w:val="008A6AA1"/>
    <w:rsid w:val="008B5A81"/>
    <w:rsid w:val="008D358D"/>
    <w:rsid w:val="00912D50"/>
    <w:rsid w:val="009265B9"/>
    <w:rsid w:val="00936B4D"/>
    <w:rsid w:val="009662E3"/>
    <w:rsid w:val="0098276C"/>
    <w:rsid w:val="0099086C"/>
    <w:rsid w:val="00995080"/>
    <w:rsid w:val="009A3379"/>
    <w:rsid w:val="009B50C3"/>
    <w:rsid w:val="009C30A8"/>
    <w:rsid w:val="009F01DD"/>
    <w:rsid w:val="009F4C49"/>
    <w:rsid w:val="00A33751"/>
    <w:rsid w:val="00A4229E"/>
    <w:rsid w:val="00A54526"/>
    <w:rsid w:val="00A72870"/>
    <w:rsid w:val="00A75387"/>
    <w:rsid w:val="00A9375B"/>
    <w:rsid w:val="00A963EF"/>
    <w:rsid w:val="00AA65FE"/>
    <w:rsid w:val="00AB3D59"/>
    <w:rsid w:val="00AB50B6"/>
    <w:rsid w:val="00AB63A5"/>
    <w:rsid w:val="00AC09EA"/>
    <w:rsid w:val="00AC2647"/>
    <w:rsid w:val="00AC5B04"/>
    <w:rsid w:val="00AD1851"/>
    <w:rsid w:val="00B007E0"/>
    <w:rsid w:val="00B12A54"/>
    <w:rsid w:val="00B12D81"/>
    <w:rsid w:val="00B63E95"/>
    <w:rsid w:val="00B710E3"/>
    <w:rsid w:val="00B851AB"/>
    <w:rsid w:val="00B914B2"/>
    <w:rsid w:val="00BB0AE1"/>
    <w:rsid w:val="00BC05D4"/>
    <w:rsid w:val="00BD2E31"/>
    <w:rsid w:val="00BF2E35"/>
    <w:rsid w:val="00C40187"/>
    <w:rsid w:val="00C45319"/>
    <w:rsid w:val="00C53B5D"/>
    <w:rsid w:val="00C63C23"/>
    <w:rsid w:val="00C64B50"/>
    <w:rsid w:val="00C66E07"/>
    <w:rsid w:val="00C71903"/>
    <w:rsid w:val="00C97E02"/>
    <w:rsid w:val="00CB0279"/>
    <w:rsid w:val="00CC1087"/>
    <w:rsid w:val="00CE641C"/>
    <w:rsid w:val="00CE7CDB"/>
    <w:rsid w:val="00CF5570"/>
    <w:rsid w:val="00D02575"/>
    <w:rsid w:val="00D03CBD"/>
    <w:rsid w:val="00D05190"/>
    <w:rsid w:val="00D06FFB"/>
    <w:rsid w:val="00D07FB9"/>
    <w:rsid w:val="00D22945"/>
    <w:rsid w:val="00D25ECB"/>
    <w:rsid w:val="00D30107"/>
    <w:rsid w:val="00D3782E"/>
    <w:rsid w:val="00D5268F"/>
    <w:rsid w:val="00D67346"/>
    <w:rsid w:val="00DA1284"/>
    <w:rsid w:val="00DB4FC5"/>
    <w:rsid w:val="00DC27E1"/>
    <w:rsid w:val="00DD0F4D"/>
    <w:rsid w:val="00DE3C02"/>
    <w:rsid w:val="00DE3CE7"/>
    <w:rsid w:val="00DF07BD"/>
    <w:rsid w:val="00DF4CA1"/>
    <w:rsid w:val="00E038CE"/>
    <w:rsid w:val="00E12A39"/>
    <w:rsid w:val="00E1595D"/>
    <w:rsid w:val="00E231FA"/>
    <w:rsid w:val="00E5127C"/>
    <w:rsid w:val="00E52B0B"/>
    <w:rsid w:val="00E63228"/>
    <w:rsid w:val="00E8245F"/>
    <w:rsid w:val="00EA2FC3"/>
    <w:rsid w:val="00EC2EB0"/>
    <w:rsid w:val="00EF7953"/>
    <w:rsid w:val="00F06637"/>
    <w:rsid w:val="00F147D0"/>
    <w:rsid w:val="00F3414E"/>
    <w:rsid w:val="00F37B3C"/>
    <w:rsid w:val="00F61713"/>
    <w:rsid w:val="00F64A65"/>
    <w:rsid w:val="00F677DD"/>
    <w:rsid w:val="00F703BF"/>
    <w:rsid w:val="00F84EE6"/>
    <w:rsid w:val="00FC7D32"/>
    <w:rsid w:val="00FD33FF"/>
    <w:rsid w:val="00FE1E6E"/>
    <w:rsid w:val="00FE723E"/>
    <w:rsid w:val="00FF64C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995080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2023C6"/>
    <w:pPr>
      <w:widowControl/>
      <w:tabs>
        <w:tab w:val="center" w:pos="4536"/>
        <w:tab w:val="right" w:pos="9072"/>
      </w:tabs>
      <w:adjustRightInd/>
      <w:spacing w:after="0" w:line="240" w:lineRule="auto"/>
      <w:jc w:val="left"/>
    </w:pPr>
    <w:rPr>
      <w:rFonts w:ascii="Times New Roman" w:hAnsi="Times New Roman"/>
      <w:sz w:val="24"/>
      <w:szCs w:val="20"/>
      <w:lang w:val="sk-SK"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  <w:lang w:val="en-US" w:eastAsia="en-US"/>
    </w:rPr>
  </w:style>
  <w:style w:type="paragraph" w:styleId="BodyText2">
    <w:name w:val="Body Text 2"/>
    <w:basedOn w:val="Normal"/>
    <w:link w:val="Zkladntext2Char"/>
    <w:uiPriority w:val="99"/>
    <w:rsid w:val="002023C6"/>
    <w:pPr>
      <w:widowControl/>
      <w:adjustRightInd/>
      <w:spacing w:after="0" w:line="240" w:lineRule="auto"/>
      <w:jc w:val="both"/>
    </w:pPr>
    <w:rPr>
      <w:rFonts w:ascii="Times New Roman" w:hAnsi="Times New Roman"/>
      <w:sz w:val="24"/>
      <w:szCs w:val="20"/>
      <w:lang w:val="sk-SK"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  <w:lang w:val="en-US" w:eastAsia="en-US"/>
    </w:rPr>
  </w:style>
  <w:style w:type="paragraph" w:styleId="BodyTextIndent2">
    <w:name w:val="Body Text Indent 2"/>
    <w:basedOn w:val="Normal"/>
    <w:link w:val="Zarkazkladnhotextu2Char"/>
    <w:uiPriority w:val="99"/>
    <w:rsid w:val="002023C6"/>
    <w:pPr>
      <w:widowControl/>
      <w:adjustRightInd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val="sk-SK"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rtl w:val="0"/>
      <w:cs w:val="0"/>
      <w:lang w:val="en-US" w:eastAsia="en-US"/>
    </w:rPr>
  </w:style>
  <w:style w:type="character" w:styleId="PageNumber">
    <w:name w:val="page number"/>
    <w:basedOn w:val="DefaultParagraphFont"/>
    <w:uiPriority w:val="99"/>
    <w:rsid w:val="00507C1F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507C1F"/>
    <w:pPr>
      <w:widowControl/>
      <w:tabs>
        <w:tab w:val="center" w:pos="4536"/>
        <w:tab w:val="right" w:pos="9072"/>
      </w:tabs>
      <w:adjustRightInd/>
      <w:spacing w:after="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  <w:lang w:val="en-US" w:eastAsia="en-US"/>
    </w:rPr>
  </w:style>
  <w:style w:type="paragraph" w:styleId="NormalWeb">
    <w:name w:val="Normal (Web)"/>
    <w:aliases w:val="webb"/>
    <w:basedOn w:val="Normal"/>
    <w:uiPriority w:val="99"/>
    <w:rsid w:val="00507C1F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ZkladntextChar"/>
    <w:uiPriority w:val="99"/>
    <w:rsid w:val="0065489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801</TotalTime>
  <Pages>12</Pages>
  <Words>2352</Words>
  <Characters>13412</Characters>
  <Application>Microsoft Office Word</Application>
  <DocSecurity>0</DocSecurity>
  <Lines>0</Lines>
  <Paragraphs>0</Paragraphs>
  <ScaleCrop>false</ScaleCrop>
  <Company/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Jaroslav Koco</dc:creator>
  <cp:lastModifiedBy>aa</cp:lastModifiedBy>
  <cp:revision>149</cp:revision>
  <cp:lastPrinted>2012-10-11T13:13:00Z</cp:lastPrinted>
  <dcterms:created xsi:type="dcterms:W3CDTF">2012-06-06T13:08:00Z</dcterms:created>
  <dcterms:modified xsi:type="dcterms:W3CDTF">2012-10-11T13:13:00Z</dcterms:modified>
</cp:coreProperties>
</file>