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200A" w:rsidRPr="004B5AFB" w:rsidP="00F1200A">
      <w:pPr>
        <w:jc w:val="both"/>
        <w:rPr>
          <w:rStyle w:val="DefaultParagraphFont"/>
          <w:rFonts w:cs="Calibri"/>
          <w:b/>
          <w:color w:val="000000"/>
        </w:rPr>
      </w:pPr>
      <w:r w:rsidRPr="004B5AFB">
        <w:rPr>
          <w:rStyle w:val="DefaultParagraphFont"/>
          <w:rFonts w:cs="Calibri"/>
          <w:b/>
          <w:color w:val="000000"/>
        </w:rPr>
        <w:t>B. Osobitná časť</w:t>
      </w:r>
    </w:p>
    <w:p w:rsidR="00F1200A" w:rsidRPr="004B5AFB" w:rsidP="00F1200A">
      <w:pPr>
        <w:jc w:val="both"/>
        <w:rPr>
          <w:rStyle w:val="DefaultParagraphFont"/>
          <w:rFonts w:cs="Calibri"/>
          <w:color w:val="000000"/>
        </w:rPr>
      </w:pPr>
    </w:p>
    <w:p w:rsidR="00F1200A" w:rsidRPr="004B5AFB" w:rsidP="00F1200A">
      <w:pPr>
        <w:jc w:val="both"/>
        <w:rPr>
          <w:rStyle w:val="DefaultParagraphFont"/>
          <w:rFonts w:cs="Calibri"/>
          <w:color w:val="000000"/>
        </w:rPr>
      </w:pPr>
    </w:p>
    <w:p w:rsidR="00856250" w:rsidRPr="004B5AFB">
      <w:pPr>
        <w:spacing w:before="0" w:beforeAutospacing="0" w:after="0" w:afterAutospacing="0"/>
        <w:rPr>
          <w:rStyle w:val="DefaultParagraphFont"/>
          <w:rFonts w:cs="Calibri"/>
          <w:color w:val="000000"/>
        </w:rPr>
      </w:pPr>
      <w:r w:rsidR="00C56F59">
        <w:rPr>
          <w:rStyle w:val="PlaceholderText"/>
          <w:rFonts w:cs="Calibri"/>
          <w:b/>
          <w:color w:val="000000"/>
          <w:lang w:val="en-US"/>
        </w:rPr>
        <w:t>Čl. I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1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Vzhľadom na oznámenie Európskej komisie z 20. mája 2011 č. K(2011) 3370 je potrebné výslovne uvádzať pojem „mikroorganizmus“ a „geneticky modifikovaný mikroorganizmus“ .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 xml:space="preserve">K bodu 2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Upresňuje sa terminológia a do ustanovenia sa vkladá pojem „geneticky modifikované mikroorganizmy“ v zmysle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>oznámenia Európskej komisie z 20. mája 2011 č. K(2011) 3370 .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 xml:space="preserve">K bodu </w:t>
      </w:r>
      <w:r>
        <w:rPr>
          <w:rStyle w:val="PlaceholderText"/>
          <w:rFonts w:cs="Calibri"/>
          <w:b/>
          <w:color w:val="000000"/>
          <w:lang w:val="en-US"/>
        </w:rPr>
        <w:t>3 a</w:t>
      </w:r>
      <w:r>
        <w:rPr>
          <w:rStyle w:val="PlaceholderText"/>
          <w:rFonts w:cs="Calibri"/>
          <w:b/>
          <w:color w:val="000000"/>
          <w:lang w:val="en-US"/>
        </w:rPr>
        <w:t xml:space="preserve"> 4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Do ustanovení § 2 ods. 2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>a § 2 ods. 3 sa vkladá pojem „mikroorganizmus“ v príslušnom tvare v zmysle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>oznámenia Európskej komisie z 20. mája 2011 č. K(2011) 3370 .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  <w:r>
        <w:rPr>
          <w:rStyle w:val="PlaceholderText"/>
          <w:rFonts w:cs="Calibri"/>
          <w:color w:val="000000"/>
          <w:lang w:val="en-US"/>
        </w:rPr>
        <w:t>.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 xml:space="preserve">K bodu 5 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Ustanovenie § 3 ods. 1 sa uvádza v novom znení z </w:t>
      </w:r>
      <w:r>
        <w:rPr>
          <w:rStyle w:val="PlaceholderText"/>
          <w:rFonts w:cs="Calibri"/>
          <w:color w:val="000000"/>
          <w:lang w:val="en-US"/>
        </w:rPr>
        <w:t> </w:t>
      </w:r>
      <w:r>
        <w:rPr>
          <w:rStyle w:val="PlaceholderText"/>
          <w:rFonts w:cs="Calibri"/>
          <w:color w:val="000000"/>
          <w:lang w:val="en-US"/>
        </w:rPr>
        <w:t>dôvodu vykonania viacerých zmien.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6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Upresňuje sa terminológia v úvodnej vete v § 3 ods. 3 písm. c) zákona, keďže ustanovenie sa týka iba mikroorganizmov.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7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Do názvu § 4 sa vkladá pojem „geneticky modifikované mikroorganizmy“v zmysle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>oznámenia Európskej komisie z 20. mája 2011 č. K(2011) 3370 .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 xml:space="preserve">K bodu 8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Úprava tiež reaguje na oznámenie Európskej komisie z 20. mája 2011 č. K(2011) 3370 a definícia v § 4 ods. 2 sa dáva do súladu so smernicou 2009/41/ES.</w:t>
      </w:r>
      <w:r>
        <w:rPr>
          <w:rStyle w:val="PlaceholderText"/>
          <w:rFonts w:cs="Calibri"/>
          <w:color w:val="000000"/>
          <w:lang w:val="en-US"/>
        </w:rPr>
        <w:t xml:space="preserve">  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 xml:space="preserve">K bodu 9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Zákon o používaní genetických technológií a geneticky modifikovaných organizmov v sebe spája transpozíciu smernice 2001/18/ES o zámernom uvoľnení geneticky modifikovaných organizmov do životného prostredia, ktorá sa vzťahuje na organizmy, s transpozíciou smernice 2009/41/ES o používaní geneticky modifikovaných mikroorganizmov v uzavretých priestoroch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>ktorá sa vzťahuje na mikroorganizmy. Vzhľadom na oznámenie Európskej komisie z 20. mája 2011 č. K(2011) 3370 je potrebné výslovne uvádzať pojem „mikroorganizmus“ a „geneticky modifikovaný mikroorganizmus“ v tých ustanoveniach zákona, ktoré preberajú ustanovenia smernice 2009/41/ES.</w:t>
      </w:r>
      <w:r>
        <w:rPr>
          <w:rStyle w:val="PlaceholderText"/>
          <w:rFonts w:cs="Calibri"/>
          <w:color w:val="000000"/>
          <w:lang w:val="en-US"/>
        </w:rPr>
        <w:t xml:space="preserve">  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10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V § 6 ods. 2 sa definícia pojmu „havária“ zosúlaďuje s čl. 2 písm. d) smernice 2009/41/ES.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11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V § 7 ods. 2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>sa definícia pojmu „ochranné opatrenia“ zosúlaďujú s čl. 2 písm. c) smernice 2009/41/ES.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12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Ustanovenie § 8ods. 1 sa uvádza v novom znení z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>dôvodu vykonania viacerých zmien.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13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Úprava v § 8 ods. 3 sa vykonala z toho dôvodu, že smernica EP a R 2009/41/ES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 xml:space="preserve">sa vzťahuje nielen na štáty Európskej únie a le aj na štáty, </w:t>
      </w:r>
      <w:r>
        <w:rPr>
          <w:rStyle w:val="PlaceholderText"/>
          <w:rFonts w:cs="Calibri"/>
          <w:color w:val="000000"/>
          <w:lang w:val="en-US"/>
        </w:rPr>
        <w:t>ktoré sú zmluvnou stranou Dohody o Európskom hospodárskom priestore.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14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Ustanovenie odseku 8 prevzalo pravidlá laboratórnej praxe pri práci s mikroorganizmami zo smernice 2009/41/ES, ktoré sa môžu primerane použiť aj pri práci s organizmami. 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15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Ide o legislatívno – technickú úpravu. Vypúšťa sa neaktuálny vnútorný odkaz. 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16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Ide o legislatívno – technickú úpravu. Upresňuje sa vnútorný odkaz. 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17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Ohlásenia začatia činnosti a žiadosti o vydanie súhlasu podľa zákona sú zdrojom údajov pre vedenie evidencií a pre súhrnnú správu o skúsenostiach so smernicou 2009/41/ES, ktorú členské štáty podávajú podľa čl. 17 ods. 2 tejto smernice každé tri roky. Ohlásenie začatia činnosti v rizikovej triede 1 sa v bode 11 zrušuje, čím sa stráca zdroj informácií o činnostiach v rizikovej triede 1 pre evidenciu vedenú ministerstvom podľa § 14 vyhlášky č. 399/2005 Z.z. v znení vyhlášky č. 312/2008 Z.z., a tiež pre súhrnnú správu o skúsenostiach so smernicou.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Nová povinnosť ohlasovať predmetné údaje raz za 6 mesiacov pre používateľov vykonávajúcich činnosti v rizikovej triede 1 nahrádza tento zdroj informácií. Zároveň je pre používateľov </w:t>
      </w:r>
      <w:r>
        <w:rPr>
          <w:rStyle w:val="PlaceholderText"/>
          <w:rFonts w:cs="Calibri"/>
          <w:color w:val="000000"/>
          <w:lang w:val="en-US"/>
        </w:rPr>
        <w:t> </w:t>
      </w:r>
      <w:r>
        <w:rPr>
          <w:rStyle w:val="PlaceholderText"/>
          <w:rFonts w:cs="Calibri"/>
          <w:color w:val="000000"/>
          <w:lang w:val="en-US"/>
        </w:rPr>
        <w:t>v rizikovej triede 1 menej časovo a administratívne náročná než ohlasovanie začatia činnosti.</w:t>
      </w:r>
      <w:r>
        <w:rPr>
          <w:rStyle w:val="PlaceholderText"/>
          <w:rFonts w:cs="Calibri"/>
          <w:color w:val="000000"/>
          <w:lang w:val="en-US"/>
        </w:rPr>
        <w:t xml:space="preserve"> 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Lehota “raz za 6 mesiacov” dáva používateľom určitú flexibilitu na splnenie tejto povinnosti </w:t>
      </w:r>
      <w:r>
        <w:rPr>
          <w:rStyle w:val="PlaceholderText"/>
          <w:rFonts w:cs="Calibri"/>
          <w:color w:val="000000"/>
          <w:lang w:val="en-US"/>
        </w:rPr>
        <w:t> </w:t>
      </w:r>
      <w:r>
        <w:rPr>
          <w:rStyle w:val="PlaceholderText"/>
          <w:rFonts w:cs="Calibri"/>
          <w:color w:val="000000"/>
          <w:lang w:val="en-US"/>
        </w:rPr>
        <w:t>a ministerstvu umožňuje viesť evidenciu priebežne, pretože v rizikovej triede 1 pracuje všetkých 22 evidovaných používateľov.</w:t>
      </w:r>
      <w:r>
        <w:rPr>
          <w:rStyle w:val="PlaceholderText"/>
          <w:rFonts w:cs="Calibri"/>
          <w:color w:val="000000"/>
          <w:lang w:val="en-US"/>
        </w:rPr>
        <w:t xml:space="preserve">  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 xml:space="preserve">K bodu 18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Zrušuje sa povinnosť ohlasovania začatia činnosti v rizikovej triede 1, čo výslovne vyjadruje nové znenie § 12 ods. 3 zákona. V čase prijímania zákona išlo o novú právne upravenú oblasť, po niekoľkých rokoch účinnosti zákona je systém ohlásení a povolení používateľom genetických technológií a geneticky modifikovaných organizmov dobre známy a smernica 2009/41/ES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>ohlasovanie začatia činnosti v rizikovej triede 1 nevyžaduje. Používatelia pred začatím činnosti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>v rizikovej triede 1 už nebudú musieť 45 dní čakať na vyjadrenie ministerstva k ohláseniu, ale v zmysle bodu 13 podajú požadované informácie spätne.</w:t>
      </w:r>
      <w:r>
        <w:rPr>
          <w:rStyle w:val="PlaceholderText"/>
          <w:rFonts w:cs="Calibri"/>
          <w:color w:val="000000"/>
          <w:lang w:val="en-US"/>
        </w:rPr>
        <w:t xml:space="preserve"> 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19</w:t>
      </w:r>
      <w:r>
        <w:rPr>
          <w:rStyle w:val="PlaceholderText"/>
          <w:rFonts w:cs="Calibri"/>
          <w:color w:val="000000"/>
          <w:lang w:val="en-US"/>
        </w:rPr>
        <w:t xml:space="preserve">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Definícia geneticky modifikovaného organizmu a geneticky modifikovaného mikroorganizmu v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>§ 4 zákona platí pre ustanovenia zákona, ktoré transponujú smernicu 2009/41/ES ako aj pre ustanovenia, ktoré transponujú smernicu 2001/18/ES.</w:t>
      </w:r>
      <w:r>
        <w:rPr>
          <w:rStyle w:val="PlaceholderText"/>
          <w:rFonts w:cs="Calibri"/>
          <w:color w:val="000000"/>
          <w:lang w:val="en-US"/>
        </w:rPr>
        <w:t xml:space="preserve"> 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Zadefinovaním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 xml:space="preserve">mikroorganizmov presne podľa jednej smernice (2009/41/ES o používaní geneticky modifikovaných mikroorganizmov v uzavretých priestoroch), vyčleníme mikroorganizmy spod rozsahu uplatňovania druhej smernice (2001/18/ES o zámernom uvoľňovaní geneticky modifikovaných organizmov do životného prostredia), ktorá mikroorganizmy nedefinuje.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Geneticky modifikované mikroorganizmy nie je možné vylúčiť zo zámerného uvoľňovania a vytvoriť tak legislatívne vákuum.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20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Ide o legislatívno – technickú úpravu reagujúcu na prijatie Lisabonskej zmluvy. Slová “Európske spoločestvo“ sa nahrádzajú slovami „Európska únia“.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 xml:space="preserve">K bodu 21 </w:t>
      </w: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Ide o legislatívno – technickú úpravu vnútorného odkazu, ktorá nadväzuje na vypustenie povinnosti ohlasovať začatie činnosti zatriedenej do rizikovej triedy 1.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22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Ustanovuje sa jednotná lehota na posúdenie rôznych typov ohlásení. Lehota na posúdenie ohlásenia začatia činnosti zatriedenej do rizikovej triedy 2 sa skracuje a konanie urýchľuje v prospech používateľov genetických technológií.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23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Úprava nadväzuje na bod 22.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24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Ide o nevyhnutnú úpravu nadväzujúcu na vypustenie povinnosti ohlasovať začatie činnosti zatriedenej do rizikovej triedy 1, ruší sa možnosť spojenia konania o vydanie súhlasu na prvé použitie uzavretých priestorov s posudzovaním ohlásenia začatia činnosti v rizikovej triede 1.</w:t>
      </w:r>
      <w:r>
        <w:rPr>
          <w:rStyle w:val="PlaceholderText"/>
          <w:rFonts w:cs="Calibri"/>
          <w:color w:val="000000"/>
          <w:lang w:val="en-US"/>
        </w:rPr>
        <w:t xml:space="preserve">  </w:t>
      </w: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25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Ide o legislatívno – technickú úpravu reagujúcu na prijatie Lisabonskej zmluvy.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K bodu 26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Ide o legislatívno – technickú úpravu názvu prílohy reagujúcu na prijatie Lisabonskej zmluvy.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b/>
          <w:color w:val="000000"/>
          <w:lang w:val="en-US"/>
        </w:rPr>
        <w:t>Čl. II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Účinnosť zmien sa navrhuje od 1. januára 2013. 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 w:line="276" w:lineRule="auto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V Bratislave dňa 28. septembra </w:t>
      </w:r>
      <w:r>
        <w:rPr>
          <w:rStyle w:val="PlaceholderText"/>
          <w:rFonts w:cs="Calibri"/>
          <w:color w:val="000000"/>
          <w:lang w:val="en-US"/>
        </w:rPr>
        <w:t> </w:t>
      </w:r>
      <w:r>
        <w:rPr>
          <w:rStyle w:val="PlaceholderText"/>
          <w:rFonts w:cs="Calibri"/>
          <w:color w:val="000000"/>
          <w:lang w:val="en-US"/>
        </w:rPr>
        <w:t>2012.</w:t>
      </w: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Robert Fico 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predseda vlády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Slovenskej republiky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 xml:space="preserve">Peter Žiga 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minister životného prostredia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Slovenskej republiky</w:t>
      </w:r>
    </w:p>
    <w:p w:rsidR="00C56F59">
      <w:pPr>
        <w:spacing w:after="280" w:afterAutospacing="1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p w:rsidR="00C56F59">
      <w:pPr>
        <w:spacing w:after="280" w:afterAutospacing="1"/>
        <w:rPr>
          <w:rStyle w:val="PlaceholderText"/>
          <w:rFonts w:cs="Calibri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B5AFB"/>
    <w:rsid w:val="00856250"/>
    <w:rsid w:val="00C56F59"/>
    <w:rsid w:val="00F1200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00A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00A"/>
    <w:rPr>
      <w:rFonts w:ascii="Tahoma" w:hAnsi="Tahoma" w:cs="Tahoma"/>
      <w:sz w:val="16"/>
      <w:szCs w:val="16"/>
      <w:rtl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4</Words>
  <Characters>51</Characters>
  <Application>Microsoft Office Word</Application>
  <DocSecurity>0</DocSecurity>
  <Lines>0</Lines>
  <Paragraphs>0</Paragraphs>
  <ScaleCrop>false</ScaleCrop>
  <Company>Abyss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koki</cp:lastModifiedBy>
  <cp:revision>3</cp:revision>
  <dcterms:created xsi:type="dcterms:W3CDTF">2007-05-29T20:22:00Z</dcterms:created>
  <dcterms:modified xsi:type="dcterms:W3CDTF">2007-05-29T20:47:00Z</dcterms:modified>
</cp:coreProperties>
</file>