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644DF" w:rsidRPr="00E60ED5" w:rsidP="00E644DF">
      <w:pPr>
        <w:bidi w:val="0"/>
        <w:jc w:val="center"/>
        <w:rPr>
          <w:rFonts w:ascii="Times New Roman" w:hAnsi="Times New Roman"/>
          <w:b/>
        </w:rPr>
      </w:pPr>
      <w:r w:rsidRPr="00E60ED5">
        <w:rPr>
          <w:rFonts w:ascii="Times New Roman" w:hAnsi="Times New Roman"/>
          <w:b/>
        </w:rPr>
        <w:t>Dôvodová správa</w:t>
      </w:r>
    </w:p>
    <w:p w:rsidR="00E644DF" w:rsidRPr="00E60ED5" w:rsidP="00E644DF">
      <w:pPr>
        <w:bidi w:val="0"/>
        <w:outlineLvl w:val="0"/>
        <w:rPr>
          <w:rFonts w:ascii="Times New Roman" w:hAnsi="Times New Roman"/>
          <w:b/>
          <w:bCs/>
          <w:u w:val="single"/>
        </w:rPr>
      </w:pPr>
    </w:p>
    <w:p w:rsidR="00E644DF" w:rsidRPr="00E60ED5" w:rsidP="00E644DF">
      <w:pPr>
        <w:bidi w:val="0"/>
        <w:outlineLvl w:val="0"/>
        <w:rPr>
          <w:rFonts w:ascii="Times New Roman" w:hAnsi="Times New Roman"/>
          <w:b/>
          <w:bCs/>
          <w:u w:val="single"/>
        </w:rPr>
      </w:pPr>
      <w:r w:rsidRPr="00E60ED5">
        <w:rPr>
          <w:rFonts w:ascii="Times New Roman" w:hAnsi="Times New Roman"/>
          <w:b/>
          <w:bCs/>
          <w:u w:val="single"/>
        </w:rPr>
        <w:t xml:space="preserve">Všeobecná časť  </w:t>
      </w:r>
    </w:p>
    <w:p w:rsidR="00E644DF" w:rsidRPr="00E60ED5" w:rsidP="00E644DF">
      <w:pPr>
        <w:bidi w:val="0"/>
        <w:rPr>
          <w:rFonts w:ascii="Times New Roman" w:hAnsi="Times New Roman"/>
        </w:rPr>
      </w:pPr>
    </w:p>
    <w:p w:rsidR="00E644DF" w:rsidRPr="00E60ED5" w:rsidP="00E644DF">
      <w:pPr>
        <w:bidi w:val="0"/>
        <w:jc w:val="both"/>
        <w:rPr>
          <w:rFonts w:ascii="Times New Roman" w:hAnsi="Times New Roman"/>
        </w:rPr>
      </w:pPr>
      <w:r w:rsidR="003B5C1A">
        <w:rPr>
          <w:rFonts w:ascii="Times New Roman" w:hAnsi="Times New Roman"/>
        </w:rPr>
        <w:t>Vládny</w:t>
      </w:r>
      <w:r w:rsidRPr="00E60ED5">
        <w:rPr>
          <w:rFonts w:ascii="Times New Roman" w:hAnsi="Times New Roman"/>
        </w:rPr>
        <w:t xml:space="preserve"> návrh zákona, ktorým sa mení a dopĺňa zákon č. 595/2003 Z. z. o dani z príjmov v znení neskorších predpisov</w:t>
      </w:r>
      <w:r>
        <w:rPr>
          <w:rFonts w:ascii="Times New Roman" w:hAnsi="Times New Roman"/>
        </w:rPr>
        <w:t xml:space="preserve"> a ktorým sa menia niektoré zákony</w:t>
      </w:r>
      <w:r w:rsidR="003B5C1A">
        <w:rPr>
          <w:rFonts w:ascii="Times New Roman" w:hAnsi="Times New Roman"/>
        </w:rPr>
        <w:t xml:space="preserve"> je</w:t>
      </w:r>
      <w:r w:rsidRPr="00E60ED5">
        <w:rPr>
          <w:rFonts w:ascii="Times New Roman" w:hAnsi="Times New Roman"/>
        </w:rPr>
        <w:t xml:space="preserve"> vypracovaný na základe Plánu legislatívnych úloh vlády SR na 2. polrok 2012.</w:t>
      </w:r>
    </w:p>
    <w:p w:rsidR="00E644DF" w:rsidRPr="00E60ED5" w:rsidP="00E644DF">
      <w:pPr>
        <w:bidi w:val="0"/>
        <w:rPr>
          <w:rFonts w:ascii="Times New Roman" w:hAnsi="Times New Roman"/>
        </w:rPr>
      </w:pPr>
    </w:p>
    <w:p w:rsidR="00E644DF" w:rsidRPr="00E60ED5" w:rsidP="00E644DF">
      <w:pPr>
        <w:bidi w:val="0"/>
        <w:jc w:val="both"/>
        <w:rPr>
          <w:rStyle w:val="PlaceholderText"/>
          <w:color w:val="000000"/>
        </w:rPr>
      </w:pPr>
      <w:r w:rsidRPr="00E60ED5">
        <w:rPr>
          <w:rStyle w:val="PlaceholderText"/>
          <w:color w:val="000000"/>
        </w:rPr>
        <w:t xml:space="preserve">Predkladaný návrh zákona vychádza z Programového vyhlásenia vlády SR, ktorého cieľom je aj konsolidácia verejných financií so zámerom zníženia deficitu verejných financií pod 3 % HDP v roku 2013. Vláda SR </w:t>
      </w:r>
      <w:r>
        <w:rPr>
          <w:rStyle w:val="PlaceholderText"/>
          <w:color w:val="000000"/>
        </w:rPr>
        <w:t xml:space="preserve">sa </w:t>
      </w:r>
      <w:r w:rsidRPr="00E60ED5">
        <w:rPr>
          <w:rStyle w:val="PlaceholderText"/>
          <w:color w:val="000000"/>
        </w:rPr>
        <w:t>pri plnení tohto cieľa zaviazala zamerať na opatrenia, ktoré v snahe o zníženie deficitu nezablokujú ekonomickú aktivitu a hospodársky rast a nebudú predstavovať neúmerne veľký dopad na najzraniteľnejšie vrstvy spoločnosti.  Z tohto záväzku vlády SR vychádzajú aj navrhované úpravy, ktoré sú zamerané najmä na:</w:t>
      </w:r>
    </w:p>
    <w:p w:rsidR="00E644DF" w:rsidRPr="00E60ED5" w:rsidP="00E644DF">
      <w:pPr>
        <w:numPr>
          <w:numId w:val="1"/>
        </w:numPr>
        <w:bidi w:val="0"/>
        <w:jc w:val="both"/>
        <w:rPr>
          <w:rStyle w:val="PlaceholderText"/>
          <w:color w:val="000000"/>
        </w:rPr>
      </w:pPr>
      <w:r>
        <w:rPr>
          <w:rStyle w:val="PlaceholderText"/>
          <w:color w:val="000000"/>
        </w:rPr>
        <w:t>obmedzenie</w:t>
      </w:r>
      <w:r w:rsidRPr="00E60ED5">
        <w:rPr>
          <w:rStyle w:val="PlaceholderText"/>
          <w:color w:val="000000"/>
        </w:rPr>
        <w:t xml:space="preserve"> možnosti uplatnenia </w:t>
      </w:r>
      <w:r>
        <w:rPr>
          <w:rStyle w:val="PlaceholderText"/>
          <w:color w:val="000000"/>
        </w:rPr>
        <w:t xml:space="preserve">40 %-ných </w:t>
      </w:r>
      <w:r w:rsidRPr="00E60ED5">
        <w:rPr>
          <w:rStyle w:val="PlaceholderText"/>
          <w:color w:val="000000"/>
        </w:rPr>
        <w:t>paušálnych výdavkov v maximálnej výške 5 040 eur ročne, resp. 420 eur mesačne</w:t>
      </w:r>
      <w:r>
        <w:rPr>
          <w:rStyle w:val="PlaceholderText"/>
          <w:color w:val="000000"/>
        </w:rPr>
        <w:t>; zrušenie možnosti uplatnenia paušálnych výdavkov pri prenájme nehnuteľností</w:t>
      </w:r>
      <w:r w:rsidRPr="00E60ED5">
        <w:rPr>
          <w:rStyle w:val="PlaceholderText"/>
          <w:color w:val="000000"/>
        </w:rPr>
        <w:t>,</w:t>
      </w:r>
    </w:p>
    <w:p w:rsidR="00E644DF" w:rsidRPr="00E60ED5" w:rsidP="00E644DF">
      <w:pPr>
        <w:numPr>
          <w:numId w:val="1"/>
        </w:numPr>
        <w:bidi w:val="0"/>
        <w:jc w:val="both"/>
        <w:rPr>
          <w:rStyle w:val="PlaceholderText"/>
          <w:color w:val="000000"/>
        </w:rPr>
      </w:pPr>
      <w:r w:rsidRPr="00E60ED5">
        <w:rPr>
          <w:rStyle w:val="PlaceholderText"/>
          <w:color w:val="000000"/>
        </w:rPr>
        <w:t xml:space="preserve">uplatnenie nezdaniteľnej časti základu dane na manželku (manžela), ktorá žije s daňovníkom v spoločnej domácnosti a stará sa o maloleté dieťa tiež žijúce s daňovníkom v domácnosti do </w:t>
      </w:r>
      <w:r>
        <w:rPr>
          <w:rStyle w:val="PlaceholderText"/>
          <w:color w:val="000000"/>
        </w:rPr>
        <w:t>troch rokov (do šiestich rokov v prípade dieťaťa so zdravotným postihnutím) dieťaťa</w:t>
      </w:r>
      <w:r w:rsidRPr="00E60ED5">
        <w:rPr>
          <w:rStyle w:val="PlaceholderText"/>
          <w:color w:val="000000"/>
        </w:rPr>
        <w:t>, alebo ktorá poberala v zdaňovacom období príspevok na opatrovanie, alebo ktorá bola evidovaná na úrade práce,</w:t>
      </w:r>
    </w:p>
    <w:p w:rsidR="00E644DF" w:rsidRPr="00946E69" w:rsidP="00E644DF">
      <w:pPr>
        <w:numPr>
          <w:numId w:val="1"/>
        </w:numPr>
        <w:bidi w:val="0"/>
        <w:jc w:val="both"/>
        <w:rPr>
          <w:rStyle w:val="PlaceholderText"/>
          <w:color w:val="000000"/>
        </w:rPr>
      </w:pPr>
      <w:r>
        <w:rPr>
          <w:rStyle w:val="PlaceholderText"/>
          <w:color w:val="000000"/>
        </w:rPr>
        <w:t>obmedzenie</w:t>
      </w:r>
      <w:r w:rsidRPr="00E60ED5">
        <w:rPr>
          <w:rStyle w:val="PlaceholderText"/>
          <w:color w:val="000000"/>
        </w:rPr>
        <w:t xml:space="preserve"> možnosti uplatnenia daňového bonusu</w:t>
      </w:r>
      <w:r w:rsidRPr="00E60ED5">
        <w:rPr>
          <w:rFonts w:ascii="Times New Roman" w:hAnsi="Times New Roman"/>
        </w:rPr>
        <w:t xml:space="preserve"> len za podmienky, že daňovník dosahuje zákonom ustanovenú minimálnu výšku len z tzv. „aktívnych príjmov“, t. j. príjmov zo závislej činnosti podľa § 5 zákona o dani z príjmov a príjmov z podnikania a z inej samostatnej zárobkovej činnosti podľa § 6 ods. 1 a 2 zákona o dani z príjmov,</w:t>
      </w:r>
      <w:r w:rsidRPr="00946E69">
        <w:rPr>
          <w:rFonts w:ascii="Arial" w:hAnsi="Arial" w:cs="Arial"/>
          <w:sz w:val="16"/>
          <w:szCs w:val="16"/>
        </w:rPr>
        <w:t xml:space="preserve"> </w:t>
      </w:r>
    </w:p>
    <w:p w:rsidR="00E644DF" w:rsidRPr="00E60ED5" w:rsidP="00E644DF">
      <w:pPr>
        <w:numPr>
          <w:numId w:val="1"/>
        </w:numPr>
        <w:bidi w:val="0"/>
        <w:jc w:val="both"/>
        <w:rPr>
          <w:rStyle w:val="PlaceholderText"/>
          <w:color w:val="000000"/>
        </w:rPr>
      </w:pPr>
      <w:r w:rsidRPr="00E60ED5">
        <w:rPr>
          <w:rStyle w:val="PlaceholderText"/>
          <w:color w:val="000000"/>
        </w:rPr>
        <w:t>zavedenie progresívneho zdaňovania príjmov fyzických osôb s dvomi sadzbami dane, pričom vyššia z týchto sadzieb bude uplatňovaná pre fyzické osoby s nadštandardnými príjmami,</w:t>
      </w:r>
    </w:p>
    <w:p w:rsidR="00E644DF" w:rsidRPr="008A66DF" w:rsidP="00E644DF">
      <w:pPr>
        <w:numPr>
          <w:numId w:val="1"/>
        </w:numPr>
        <w:bidi w:val="0"/>
        <w:jc w:val="both"/>
        <w:rPr>
          <w:rStyle w:val="PlaceholderText"/>
          <w:color w:val="000000"/>
        </w:rPr>
      </w:pPr>
      <w:r w:rsidRPr="00E60ED5">
        <w:rPr>
          <w:rStyle w:val="PlaceholderText"/>
          <w:color w:val="000000"/>
        </w:rPr>
        <w:t xml:space="preserve">zavedenie osobitnej sadzby dane vo výške 5 % pre vybraných ústavných činiteľov (poslanci, prezident, členovia vlády, predseda a podpredseda NKÚ), </w:t>
      </w:r>
      <w:r>
        <w:rPr>
          <w:rStyle w:val="PlaceholderText"/>
          <w:color w:val="000000"/>
        </w:rPr>
        <w:t>pričom progresívne zdaňovanie týchto príjmov zostáva zachované,</w:t>
      </w:r>
    </w:p>
    <w:p w:rsidR="00B364C3" w:rsidP="00E644DF">
      <w:pPr>
        <w:numPr>
          <w:numId w:val="1"/>
        </w:numPr>
        <w:bidi w:val="0"/>
        <w:jc w:val="both"/>
        <w:rPr>
          <w:rStyle w:val="PlaceholderText"/>
          <w:color w:val="000000"/>
        </w:rPr>
      </w:pPr>
      <w:r w:rsidRPr="00E60ED5" w:rsidR="00E644DF">
        <w:rPr>
          <w:rStyle w:val="PlaceholderText"/>
          <w:color w:val="000000"/>
        </w:rPr>
        <w:t>zvýšenie sadzby dane pre právnické osoby</w:t>
      </w:r>
    </w:p>
    <w:p w:rsidR="00E644DF" w:rsidRPr="00E60ED5" w:rsidP="00E644DF">
      <w:pPr>
        <w:numPr>
          <w:numId w:val="1"/>
        </w:numPr>
        <w:bidi w:val="0"/>
        <w:jc w:val="both"/>
        <w:rPr>
          <w:rStyle w:val="PlaceholderText"/>
          <w:color w:val="000000"/>
        </w:rPr>
      </w:pPr>
      <w:r w:rsidR="00B364C3">
        <w:rPr>
          <w:rStyle w:val="PlaceholderText"/>
          <w:color w:val="000000"/>
        </w:rPr>
        <w:t>úpravu zdanenia podielov na zisku vykázanom za zdaňovacie obdobia do 31.</w:t>
      </w:r>
      <w:r w:rsidRPr="00E60ED5" w:rsidR="00B364C3">
        <w:rPr>
          <w:rStyle w:val="PlaceholderText"/>
          <w:color w:val="000000"/>
        </w:rPr>
        <w:t> </w:t>
      </w:r>
      <w:r w:rsidR="00B364C3">
        <w:rPr>
          <w:rStyle w:val="PlaceholderText"/>
          <w:color w:val="000000"/>
        </w:rPr>
        <w:t>decembra 2003 a vyplácanom po 31. decembri 2012</w:t>
      </w:r>
      <w:r w:rsidRPr="00E60ED5">
        <w:rPr>
          <w:rStyle w:val="PlaceholderText"/>
          <w:color w:val="000000"/>
        </w:rPr>
        <w:t>.</w:t>
      </w:r>
    </w:p>
    <w:p w:rsidR="00E644DF" w:rsidP="00E644DF">
      <w:pPr>
        <w:bidi w:val="0"/>
        <w:ind w:left="720"/>
        <w:jc w:val="both"/>
        <w:rPr>
          <w:rStyle w:val="PlaceholderText"/>
          <w:color w:val="000000"/>
        </w:rPr>
      </w:pPr>
    </w:p>
    <w:p w:rsidR="00E644DF" w:rsidP="00E644DF">
      <w:pPr>
        <w:bidi w:val="0"/>
        <w:jc w:val="both"/>
        <w:rPr>
          <w:rFonts w:ascii="Times New Roman" w:hAnsi="Times New Roman"/>
        </w:rPr>
      </w:pPr>
      <w:r w:rsidRPr="004E71D6">
        <w:rPr>
          <w:rFonts w:ascii="Times New Roman" w:hAnsi="Times New Roman"/>
        </w:rPr>
        <w:t>Vplyvy návrhu zákona na jednotlivé subjekty verejnej správy sú uvedené v Doložke vybraných vplyvov. Návrh zákona nemá vplyv</w:t>
      </w:r>
      <w:r>
        <w:rPr>
          <w:rFonts w:ascii="Times New Roman" w:hAnsi="Times New Roman"/>
        </w:rPr>
        <w:t xml:space="preserve"> na</w:t>
      </w:r>
      <w:r w:rsidRPr="004E71D6">
        <w:rPr>
          <w:rFonts w:ascii="Times New Roman" w:hAnsi="Times New Roman"/>
        </w:rPr>
        <w:t xml:space="preserve"> životné prostredie a ani na informatizáciu spoločnosti. </w:t>
      </w:r>
    </w:p>
    <w:p w:rsidR="00E644DF" w:rsidRPr="00E60ED5" w:rsidP="00E644DF">
      <w:pPr>
        <w:bidi w:val="0"/>
        <w:ind w:left="720"/>
        <w:jc w:val="both"/>
        <w:rPr>
          <w:rStyle w:val="PlaceholderText"/>
          <w:color w:val="000000"/>
        </w:rPr>
      </w:pPr>
    </w:p>
    <w:p w:rsidR="00E644DF" w:rsidRPr="00E60ED5" w:rsidP="00E644DF">
      <w:pPr>
        <w:bidi w:val="0"/>
        <w:jc w:val="both"/>
        <w:rPr>
          <w:rFonts w:ascii="Times New Roman" w:hAnsi="Times New Roman"/>
        </w:rPr>
      </w:pPr>
      <w:r w:rsidRPr="00E60ED5">
        <w:rPr>
          <w:rFonts w:ascii="Times New Roman" w:hAnsi="Times New Roman"/>
        </w:rPr>
        <w:t xml:space="preserve">Návrh zákona je v súlade s Ústavou SR, zákonmi a medzinárodnými zmluvami a inými medzinárodnými dokumentmi, ktorými je SR viazaná a s právom Európskej únie. </w:t>
      </w:r>
    </w:p>
    <w:p w:rsidR="00E644DF" w:rsidP="00E644DF">
      <w:pPr>
        <w:bidi w:val="0"/>
        <w:rPr>
          <w:rFonts w:ascii="Times New Roman" w:hAnsi="Times New Roman"/>
        </w:rPr>
      </w:pPr>
    </w:p>
    <w:p w:rsidR="00E644DF" w:rsidP="00E644DF">
      <w:pPr>
        <w:bidi w:val="0"/>
        <w:rPr>
          <w:rFonts w:ascii="Times New Roman" w:hAnsi="Times New Roman"/>
        </w:rPr>
      </w:pPr>
    </w:p>
    <w:p w:rsidR="003B5C1A" w:rsidP="00E644DF">
      <w:pPr>
        <w:bidi w:val="0"/>
        <w:rPr>
          <w:rFonts w:ascii="Times New Roman" w:hAnsi="Times New Roman"/>
        </w:rPr>
      </w:pPr>
    </w:p>
    <w:p w:rsidR="003B5C1A" w:rsidP="00E644DF">
      <w:pPr>
        <w:bidi w:val="0"/>
        <w:rPr>
          <w:rFonts w:ascii="Times New Roman" w:hAnsi="Times New Roman"/>
        </w:rPr>
      </w:pPr>
    </w:p>
    <w:p w:rsidR="003B5C1A" w:rsidP="00E644DF">
      <w:pPr>
        <w:bidi w:val="0"/>
        <w:rPr>
          <w:rFonts w:ascii="Times New Roman" w:hAnsi="Times New Roman"/>
        </w:rPr>
      </w:pPr>
    </w:p>
    <w:p w:rsidR="003B5C1A" w:rsidP="00E644DF">
      <w:pPr>
        <w:bidi w:val="0"/>
        <w:rPr>
          <w:rFonts w:ascii="Times New Roman" w:hAnsi="Times New Roman"/>
        </w:rPr>
      </w:pPr>
    </w:p>
    <w:p w:rsidR="003B5C1A" w:rsidP="00E644DF">
      <w:pPr>
        <w:bidi w:val="0"/>
        <w:rPr>
          <w:rFonts w:ascii="Times New Roman" w:hAnsi="Times New Roman"/>
        </w:rPr>
      </w:pPr>
    </w:p>
    <w:p w:rsidR="003B5C1A" w:rsidP="00E644DF">
      <w:pPr>
        <w:bidi w:val="0"/>
        <w:rPr>
          <w:rFonts w:ascii="Times New Roman" w:hAnsi="Times New Roman"/>
        </w:rPr>
      </w:pPr>
    </w:p>
    <w:p w:rsidR="0049728D" w:rsidRPr="0047032D" w:rsidP="0049728D">
      <w:pPr>
        <w:pStyle w:val="NormalWeb"/>
        <w:bidi w:val="0"/>
        <w:spacing w:before="0" w:beforeAutospacing="0" w:after="0" w:afterAutospacing="0"/>
        <w:jc w:val="center"/>
        <w:rPr>
          <w:rFonts w:ascii="Times New Roman" w:hAnsi="Times New Roman"/>
        </w:rPr>
      </w:pPr>
      <w:r w:rsidRPr="0047032D">
        <w:rPr>
          <w:rFonts w:ascii="Times New Roman" w:hAnsi="Times New Roman"/>
          <w:b/>
          <w:bCs/>
        </w:rPr>
        <w:t>Doložka vybraných vplyvov</w:t>
      </w:r>
    </w:p>
    <w:p w:rsidR="0049728D" w:rsidRPr="0047032D" w:rsidP="0049728D">
      <w:pPr>
        <w:pStyle w:val="NormalWeb"/>
        <w:bidi w:val="0"/>
        <w:spacing w:before="0" w:beforeAutospacing="0" w:after="0" w:afterAutospacing="0"/>
        <w:ind w:right="-108"/>
        <w:jc w:val="center"/>
        <w:rPr>
          <w:rFonts w:ascii="Times New Roman" w:hAnsi="Times New Roman"/>
        </w:rPr>
      </w:pPr>
      <w:r w:rsidRPr="0047032D">
        <w:rPr>
          <w:rFonts w:ascii="Times New Roman" w:hAnsi="Times New Roman"/>
          <w:b/>
          <w:bCs/>
        </w:rPr>
        <w:t> </w:t>
      </w:r>
    </w:p>
    <w:p w:rsidR="0049728D" w:rsidRPr="0047032D" w:rsidP="0049728D">
      <w:pPr>
        <w:bidi w:val="0"/>
        <w:jc w:val="both"/>
        <w:rPr>
          <w:rFonts w:ascii="Times New Roman" w:hAnsi="Times New Roman"/>
          <w:b/>
          <w:bCs/>
        </w:rPr>
      </w:pPr>
      <w:r w:rsidRPr="0047032D">
        <w:rPr>
          <w:rFonts w:ascii="Times New Roman" w:hAnsi="Times New Roman"/>
          <w:b/>
          <w:bCs/>
        </w:rPr>
        <w:t xml:space="preserve"> A.1. Názov materiálu: </w:t>
      </w:r>
      <w:r w:rsidRPr="0047032D">
        <w:rPr>
          <w:rFonts w:ascii="Times New Roman" w:hAnsi="Times New Roman"/>
          <w:bCs/>
        </w:rPr>
        <w:t>Návrh zákona, ktorým sa mení a dopĺňa zákon č. 595/2003 Z. z. o dani z príjmov v znení neskorších predpisov</w:t>
      </w:r>
      <w:r>
        <w:rPr>
          <w:rFonts w:ascii="Times New Roman" w:hAnsi="Times New Roman"/>
          <w:bCs/>
        </w:rPr>
        <w:t xml:space="preserve"> a ktorým sa menia niektoré zákony</w:t>
      </w:r>
      <w:r w:rsidRPr="0047032D">
        <w:rPr>
          <w:rFonts w:ascii="Times New Roman" w:hAnsi="Times New Roman"/>
          <w:bCs/>
        </w:rPr>
        <w:t xml:space="preserve"> </w:t>
      </w:r>
    </w:p>
    <w:p w:rsidR="0049728D" w:rsidRPr="0047032D" w:rsidP="0049728D">
      <w:pPr>
        <w:pStyle w:val="NormalWeb"/>
        <w:bidi w:val="0"/>
        <w:spacing w:before="0" w:beforeAutospacing="0" w:after="0" w:afterAutospacing="0"/>
        <w:rPr>
          <w:rFonts w:ascii="Times New Roman" w:hAnsi="Times New Roman"/>
        </w:rPr>
      </w:pPr>
    </w:p>
    <w:p w:rsidR="0049728D" w:rsidRPr="0047032D" w:rsidP="0049728D">
      <w:pPr>
        <w:pStyle w:val="NormalWeb"/>
        <w:bidi w:val="0"/>
        <w:spacing w:before="0" w:beforeAutospacing="0" w:after="0" w:afterAutospacing="0"/>
        <w:rPr>
          <w:rFonts w:ascii="Times New Roman" w:hAnsi="Times New Roman"/>
        </w:rPr>
      </w:pPr>
      <w:r w:rsidRPr="0047032D">
        <w:rPr>
          <w:rFonts w:ascii="Times New Roman" w:hAnsi="Times New Roman"/>
          <w:b/>
          <w:bCs/>
        </w:rPr>
        <w:t> Termín začatia a ukončenia PPK: </w:t>
      </w:r>
      <w:r>
        <w:rPr>
          <w:rFonts w:ascii="Times New Roman" w:hAnsi="Times New Roman"/>
          <w:b/>
          <w:bCs/>
        </w:rPr>
        <w:t>-</w:t>
      </w:r>
    </w:p>
    <w:p w:rsidR="0049728D" w:rsidRPr="0047032D" w:rsidP="0049728D">
      <w:pPr>
        <w:pStyle w:val="NormalWeb"/>
        <w:bidi w:val="0"/>
        <w:spacing w:before="0" w:beforeAutospacing="0" w:after="0" w:afterAutospacing="0"/>
        <w:rPr>
          <w:rFonts w:ascii="Times New Roman" w:hAnsi="Times New Roman"/>
        </w:rPr>
      </w:pPr>
      <w:r w:rsidRPr="0047032D">
        <w:rPr>
          <w:rFonts w:ascii="Times New Roman" w:hAnsi="Times New Roman"/>
          <w:b/>
          <w:bCs/>
        </w:rPr>
        <w:t>A.2. Vplyvy:</w:t>
      </w:r>
    </w:p>
    <w:p w:rsidR="0049728D" w:rsidRPr="0047032D" w:rsidP="0049728D">
      <w:pPr>
        <w:pStyle w:val="NormalWeb"/>
        <w:bidi w:val="0"/>
        <w:spacing w:before="0" w:beforeAutospacing="0" w:after="0" w:afterAutospacing="0"/>
        <w:rPr>
          <w:rFonts w:ascii="Times New Roman" w:hAnsi="Times New Roman"/>
        </w:rPr>
      </w:pPr>
      <w:r w:rsidRPr="0047032D">
        <w:rPr>
          <w:rFonts w:ascii="Times New Roman" w:hAnsi="Times New Roman"/>
        </w:rPr>
        <w:t> </w:t>
      </w:r>
    </w:p>
    <w:tbl>
      <w:tblPr>
        <w:tblStyle w:val="TableNormal"/>
        <w:tblW w:w="9180" w:type="dxa"/>
        <w:tblLayout w:type="fixed"/>
        <w:tblCellMar>
          <w:left w:w="0" w:type="dxa"/>
          <w:right w:w="0" w:type="dxa"/>
        </w:tblCellMar>
      </w:tblPr>
      <w:tblGrid>
        <w:gridCol w:w="5211"/>
        <w:gridCol w:w="1276"/>
        <w:gridCol w:w="1276"/>
        <w:gridCol w:w="1417"/>
      </w:tblGrid>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rPr>
                <w:rFonts w:ascii="Times New Roman" w:hAnsi="Times New Roman"/>
              </w:rPr>
            </w:pPr>
            <w:r w:rsidRPr="0047032D">
              <w:rPr>
                <w:rFonts w:ascii="Times New Roman" w:hAnsi="Times New Roman"/>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9728D" w:rsidRPr="0047032D" w:rsidP="0049728D">
            <w:pPr>
              <w:pStyle w:val="NormalWeb"/>
              <w:bidi w:val="0"/>
              <w:spacing w:before="0" w:beforeAutospacing="0" w:after="0" w:afterAutospacing="0"/>
              <w:jc w:val="center"/>
              <w:rPr>
                <w:rFonts w:ascii="Times New Roman" w:hAnsi="Times New Roman"/>
              </w:rPr>
            </w:pPr>
            <w:r w:rsidRPr="0047032D">
              <w:rPr>
                <w:rFonts w:ascii="Times New Roman" w:hAnsi="Times New Roman"/>
              </w:rPr>
              <w:t>Pozitívne</w:t>
            </w:r>
            <w:r w:rsidRPr="0047032D">
              <w:rPr>
                <w:rFonts w:ascii="Times New Roman" w:hAnsi="Times New Roman"/>
                <w:vertAlign w:val="superscript"/>
              </w:rPr>
              <w:t>*</w:t>
            </w:r>
            <w:r w:rsidRPr="0047032D">
              <w:rPr>
                <w:rFonts w:ascii="Times New Roman" w:hAnsi="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9728D" w:rsidRPr="0047032D" w:rsidP="0049728D">
            <w:pPr>
              <w:pStyle w:val="NormalWeb"/>
              <w:bidi w:val="0"/>
              <w:spacing w:before="0" w:beforeAutospacing="0" w:after="0" w:afterAutospacing="0"/>
              <w:jc w:val="center"/>
              <w:rPr>
                <w:rFonts w:ascii="Times New Roman" w:hAnsi="Times New Roman"/>
              </w:rPr>
            </w:pPr>
            <w:r w:rsidRPr="0047032D">
              <w:rPr>
                <w:rFonts w:ascii="Times New Roman" w:hAnsi="Times New Roman"/>
              </w:rPr>
              <w:t>Žiadne</w:t>
            </w:r>
            <w:r w:rsidRPr="0047032D">
              <w:rPr>
                <w:rFonts w:ascii="Times New Roman" w:hAnsi="Times New Roman"/>
                <w:vertAlign w:val="superscript"/>
              </w:rPr>
              <w:t>*</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9728D" w:rsidRPr="0047032D" w:rsidP="0049728D">
            <w:pPr>
              <w:pStyle w:val="NormalWeb"/>
              <w:bidi w:val="0"/>
              <w:spacing w:before="0" w:beforeAutospacing="0" w:after="0" w:afterAutospacing="0"/>
              <w:jc w:val="center"/>
              <w:rPr>
                <w:rFonts w:ascii="Times New Roman" w:hAnsi="Times New Roman"/>
              </w:rPr>
            </w:pPr>
            <w:r w:rsidRPr="0047032D">
              <w:rPr>
                <w:rFonts w:ascii="Times New Roman" w:hAnsi="Times New Roman"/>
              </w:rPr>
              <w:t>Negatívne</w:t>
            </w:r>
            <w:r w:rsidRPr="0047032D">
              <w:rPr>
                <w:rFonts w:ascii="Times New Roman" w:hAnsi="Times New Roman"/>
                <w:vertAlign w:val="superscript"/>
              </w:rPr>
              <w:t>*</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rPr>
                <w:rFonts w:ascii="Times New Roman" w:hAnsi="Times New Roman"/>
              </w:rPr>
            </w:pPr>
            <w:r w:rsidRPr="0047032D">
              <w:rPr>
                <w:rFonts w:ascii="Times New Roman" w:hAnsi="Times New Roman"/>
              </w:rPr>
              <w:t>1. Vplyvy na rozpočet verejnej správy</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jc w:val="center"/>
              <w:rPr>
                <w:rFonts w:ascii="Times New Roman" w:hAnsi="Times New Roman"/>
              </w:rPr>
            </w:pPr>
            <w:r w:rsidRPr="0047032D">
              <w:rPr>
                <w:rFonts w:ascii="Times New Roman" w:hAnsi="Times New Roman"/>
              </w:rPr>
              <w:t>X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jc w:val="center"/>
              <w:rPr>
                <w:rFonts w:ascii="Times New Roman" w:hAnsi="Times New Roman"/>
              </w:rPr>
            </w:pPr>
            <w:r w:rsidRPr="0047032D">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jc w:val="center"/>
              <w:rPr>
                <w:rFonts w:ascii="Times New Roman" w:hAnsi="Times New Roman"/>
              </w:rPr>
            </w:pP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rPr>
                <w:rFonts w:ascii="Times New Roman" w:hAnsi="Times New Roman"/>
              </w:rPr>
            </w:pPr>
            <w:r w:rsidRPr="0047032D">
              <w:rPr>
                <w:rFonts w:ascii="Times New Roman" w:hAnsi="Times New Roman"/>
              </w:rPr>
              <w:t>2. Vplyvy na podnikateľské prostredie – dochádza k zvýšeniu regulačného zaťaženia?</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jc w:val="center"/>
              <w:rPr>
                <w:rFonts w:ascii="Times New Roman" w:hAnsi="Times New Roman"/>
              </w:rPr>
            </w:pPr>
            <w:r w:rsidRPr="0047032D">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jc w:val="center"/>
              <w:rPr>
                <w:rFonts w:ascii="Times New Roman" w:hAnsi="Times New Roman"/>
              </w:rPr>
            </w:pPr>
            <w:r>
              <w:rPr>
                <w:rFonts w:ascii="Times New Roman" w:hAnsi="Times New Roman"/>
              </w:rPr>
              <w:t>X</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rPr>
                <w:rFonts w:ascii="Times New Roman" w:hAnsi="Times New Roman"/>
              </w:rPr>
            </w:pPr>
            <w:r w:rsidRPr="0047032D">
              <w:rPr>
                <w:rFonts w:ascii="Times New Roman" w:hAnsi="Times New Roman"/>
              </w:rPr>
              <w:t xml:space="preserve">3, Sociálne vplyvy </w:t>
            </w:r>
          </w:p>
          <w:p w:rsidR="0049728D" w:rsidRPr="0047032D" w:rsidP="0049728D">
            <w:pPr>
              <w:pStyle w:val="NormalWeb"/>
              <w:bidi w:val="0"/>
              <w:spacing w:before="0" w:beforeAutospacing="0" w:after="0" w:afterAutospacing="0"/>
              <w:rPr>
                <w:rFonts w:ascii="Times New Roman" w:hAnsi="Times New Roman"/>
              </w:rPr>
            </w:pPr>
            <w:r w:rsidRPr="0047032D">
              <w:rPr>
                <w:rFonts w:ascii="Times New Roman" w:hAnsi="Times New Roman"/>
              </w:rPr>
              <w:t>– vplyvy na hospodárenie obyvateľstva,</w:t>
            </w:r>
          </w:p>
          <w:p w:rsidR="0049728D" w:rsidRPr="0047032D" w:rsidP="0049728D">
            <w:pPr>
              <w:pStyle w:val="NormalWeb"/>
              <w:bidi w:val="0"/>
              <w:spacing w:before="0" w:beforeAutospacing="0" w:after="0" w:afterAutospacing="0"/>
              <w:rPr>
                <w:rFonts w:ascii="Times New Roman" w:hAnsi="Times New Roman"/>
              </w:rPr>
            </w:pPr>
            <w:r w:rsidRPr="0047032D">
              <w:rPr>
                <w:rFonts w:ascii="Times New Roman" w:hAnsi="Times New Roman"/>
              </w:rPr>
              <w:t>– sociálnu exklúziu,</w:t>
            </w:r>
          </w:p>
          <w:p w:rsidR="0049728D" w:rsidRPr="0047032D" w:rsidP="0049728D">
            <w:pPr>
              <w:pStyle w:val="NormalWeb"/>
              <w:bidi w:val="0"/>
              <w:spacing w:before="0" w:beforeAutospacing="0" w:after="0" w:afterAutospacing="0"/>
              <w:rPr>
                <w:rFonts w:ascii="Times New Roman" w:hAnsi="Times New Roman"/>
              </w:rPr>
            </w:pPr>
            <w:r w:rsidRPr="0047032D">
              <w:rPr>
                <w:rFonts w:ascii="Times New Roman" w:hAnsi="Times New Roman"/>
              </w:rPr>
              <w:t>– rovnosť príležitostí a rodovú rovnosť a vplyvy na zamestnanosť</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jc w:val="center"/>
              <w:rPr>
                <w:rFonts w:ascii="Times New Roman" w:hAnsi="Times New Roman"/>
              </w:rPr>
            </w:pPr>
          </w:p>
          <w:p w:rsidR="0049728D" w:rsidRPr="0047032D" w:rsidP="0049728D">
            <w:pPr>
              <w:pStyle w:val="NormalWeb"/>
              <w:bidi w:val="0"/>
              <w:spacing w:before="0" w:beforeAutospacing="0" w:after="0" w:afterAutospacing="0"/>
              <w:jc w:val="center"/>
              <w:rPr>
                <w:rFonts w:ascii="Times New Roman" w:hAnsi="Times New Roman"/>
              </w:rPr>
            </w:pPr>
          </w:p>
          <w:p w:rsidR="0049728D" w:rsidRPr="0047032D" w:rsidP="0049728D">
            <w:pPr>
              <w:pStyle w:val="NormalWeb"/>
              <w:bidi w:val="0"/>
              <w:spacing w:before="0" w:beforeAutospacing="0" w:after="0" w:afterAutospacing="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jc w:val="center"/>
              <w:rPr>
                <w:rFonts w:ascii="Times New Roman" w:hAnsi="Times New Roman"/>
              </w:rPr>
            </w:pPr>
            <w:r>
              <w:rPr>
                <w:rFonts w:ascii="Times New Roman" w:hAnsi="Times New Roman"/>
              </w:rPr>
              <w:t>X</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rPr>
                <w:rFonts w:ascii="Times New Roman" w:hAnsi="Times New Roman"/>
              </w:rPr>
            </w:pPr>
            <w:r w:rsidRPr="0047032D">
              <w:rPr>
                <w:rFonts w:ascii="Times New Roman" w:hAnsi="Times New Roman"/>
              </w:rPr>
              <w:t>4. Vplyvy na životné prostredie</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jc w:val="center"/>
              <w:rPr>
                <w:rFonts w:ascii="Times New Roman" w:hAnsi="Times New Roman"/>
              </w:rPr>
            </w:pPr>
            <w:r w:rsidRPr="0047032D">
              <w:rPr>
                <w:rFonts w:ascii="Times New Roman" w:hAnsi="Times New Roman"/>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jc w:val="center"/>
              <w:rPr>
                <w:rFonts w:ascii="Times New Roman" w:hAnsi="Times New Roman"/>
              </w:rPr>
            </w:pPr>
            <w:r w:rsidRPr="0047032D">
              <w:rPr>
                <w:rFonts w:ascii="Times New Roman" w:hAnsi="Times New Roman"/>
              </w:rPr>
              <w:t>X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jc w:val="center"/>
              <w:rPr>
                <w:rFonts w:ascii="Times New Roman" w:hAnsi="Times New Roman"/>
              </w:rPr>
            </w:pPr>
            <w:r w:rsidRPr="0047032D">
              <w:rPr>
                <w:rFonts w:ascii="Times New Roman" w:hAnsi="Times New Roman"/>
              </w:rPr>
              <w:t> </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rPr>
                <w:rFonts w:ascii="Times New Roman" w:hAnsi="Times New Roman"/>
              </w:rPr>
            </w:pPr>
            <w:r w:rsidRPr="0047032D">
              <w:rPr>
                <w:rFonts w:ascii="Times New Roman" w:hAnsi="Times New Roman"/>
              </w:rPr>
              <w:t>5. Vplyvy na informatizáciu spoločnosti</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jc w:val="center"/>
              <w:rPr>
                <w:rFonts w:ascii="Times New Roman" w:hAnsi="Times New Roman"/>
              </w:rPr>
            </w:pPr>
            <w:r w:rsidRPr="0047032D">
              <w:rPr>
                <w:rFonts w:ascii="Times New Roman" w:hAnsi="Times New Roman"/>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jc w:val="center"/>
              <w:rPr>
                <w:rFonts w:ascii="Times New Roman" w:hAnsi="Times New Roman"/>
              </w:rPr>
            </w:pPr>
            <w:r w:rsidRPr="0047032D">
              <w:rPr>
                <w:rFonts w:ascii="Times New Roman" w:hAnsi="Times New Roman"/>
              </w:rPr>
              <w:t>X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728D" w:rsidRPr="0047032D" w:rsidP="0049728D">
            <w:pPr>
              <w:pStyle w:val="NormalWeb"/>
              <w:bidi w:val="0"/>
              <w:spacing w:before="0" w:beforeAutospacing="0" w:after="0" w:afterAutospacing="0"/>
              <w:jc w:val="center"/>
              <w:rPr>
                <w:rFonts w:ascii="Times New Roman" w:hAnsi="Times New Roman"/>
              </w:rPr>
            </w:pPr>
            <w:r w:rsidRPr="0047032D">
              <w:rPr>
                <w:rFonts w:ascii="Times New Roman" w:hAnsi="Times New Roman"/>
              </w:rPr>
              <w:t> </w:t>
            </w:r>
          </w:p>
        </w:tc>
      </w:tr>
    </w:tbl>
    <w:p w:rsidR="0049728D" w:rsidRPr="0047032D" w:rsidP="0049728D">
      <w:pPr>
        <w:pStyle w:val="NormalWeb"/>
        <w:bidi w:val="0"/>
        <w:spacing w:before="0" w:beforeAutospacing="0" w:after="0" w:afterAutospacing="0"/>
        <w:jc w:val="both"/>
        <w:rPr>
          <w:rFonts w:ascii="Times New Roman" w:hAnsi="Times New Roman"/>
        </w:rPr>
      </w:pPr>
      <w:r w:rsidRPr="0047032D">
        <w:rPr>
          <w:rFonts w:ascii="Times New Roman" w:hAnsi="Times New Roman"/>
        </w:rPr>
        <w:t> </w:t>
      </w:r>
    </w:p>
    <w:p w:rsidR="0049728D" w:rsidRPr="0047032D" w:rsidP="0049728D">
      <w:pPr>
        <w:pStyle w:val="NormalWeb"/>
        <w:bidi w:val="0"/>
        <w:spacing w:before="0" w:beforeAutospacing="0" w:after="0" w:afterAutospacing="0"/>
        <w:jc w:val="both"/>
        <w:rPr>
          <w:rFonts w:ascii="Times New Roman" w:hAnsi="Times New Roman"/>
        </w:rPr>
      </w:pPr>
      <w:r w:rsidRPr="0047032D">
        <w:rPr>
          <w:rFonts w:ascii="Times New Roman" w:hAnsi="Times New Roman"/>
          <w:b/>
          <w:bCs/>
        </w:rPr>
        <w:t>A.3. Poznámky</w:t>
      </w:r>
    </w:p>
    <w:p w:rsidR="0049728D" w:rsidRPr="0047032D" w:rsidP="0049728D">
      <w:pPr>
        <w:pStyle w:val="NormalWeb"/>
        <w:bidi w:val="0"/>
        <w:spacing w:before="0" w:beforeAutospacing="0" w:after="0" w:afterAutospacing="0"/>
        <w:jc w:val="both"/>
        <w:rPr>
          <w:rFonts w:ascii="Times New Roman" w:hAnsi="Times New Roman"/>
        </w:rPr>
      </w:pPr>
      <w:r w:rsidRPr="0047032D">
        <w:rPr>
          <w:rFonts w:ascii="Times New Roman" w:hAnsi="Times New Roman"/>
          <w:b/>
          <w:bCs/>
        </w:rPr>
        <w:t>A.4. Alternatívne riešenia</w:t>
      </w:r>
    </w:p>
    <w:p w:rsidR="0049728D" w:rsidRPr="0047032D" w:rsidP="0049728D">
      <w:pPr>
        <w:pStyle w:val="NormalWeb"/>
        <w:bidi w:val="0"/>
        <w:spacing w:before="0" w:beforeAutospacing="0" w:after="0" w:afterAutospacing="0"/>
        <w:jc w:val="both"/>
        <w:rPr>
          <w:rFonts w:ascii="Times New Roman" w:hAnsi="Times New Roman"/>
        </w:rPr>
      </w:pPr>
      <w:r>
        <w:rPr>
          <w:rFonts w:ascii="Times New Roman" w:hAnsi="Times New Roman"/>
        </w:rPr>
        <w:t>Bezpredmetné</w:t>
      </w:r>
      <w:r w:rsidRPr="0047032D">
        <w:rPr>
          <w:rFonts w:ascii="Times New Roman" w:hAnsi="Times New Roman"/>
        </w:rPr>
        <w:t> </w:t>
      </w:r>
    </w:p>
    <w:p w:rsidR="0049728D" w:rsidRPr="0047032D" w:rsidP="0049728D">
      <w:pPr>
        <w:pStyle w:val="NormalWeb"/>
        <w:bidi w:val="0"/>
        <w:spacing w:before="0" w:beforeAutospacing="0" w:after="0" w:afterAutospacing="0"/>
        <w:jc w:val="both"/>
        <w:rPr>
          <w:rFonts w:ascii="Times New Roman" w:hAnsi="Times New Roman"/>
        </w:rPr>
      </w:pPr>
      <w:r w:rsidRPr="0047032D">
        <w:rPr>
          <w:rFonts w:ascii="Times New Roman" w:hAnsi="Times New Roman"/>
          <w:b/>
          <w:bCs/>
        </w:rPr>
        <w:t>  </w:t>
      </w:r>
    </w:p>
    <w:p w:rsidR="0049728D" w:rsidRPr="00207C1A" w:rsidP="0049728D">
      <w:pPr>
        <w:pStyle w:val="NormalWeb"/>
        <w:bidi w:val="0"/>
        <w:spacing w:before="0" w:beforeAutospacing="0" w:after="0" w:afterAutospacing="0"/>
        <w:rPr>
          <w:rFonts w:ascii="Times New Roman" w:hAnsi="Times New Roman"/>
          <w:b/>
          <w:bCs/>
        </w:rPr>
      </w:pPr>
      <w:r w:rsidRPr="0047032D">
        <w:rPr>
          <w:rFonts w:ascii="Times New Roman" w:hAnsi="Times New Roman"/>
          <w:b/>
          <w:bCs/>
        </w:rPr>
        <w:t>A.5. Stanovisko gestorov</w:t>
      </w:r>
    </w:p>
    <w:p w:rsidR="0049728D" w:rsidP="0049728D">
      <w:pPr>
        <w:pStyle w:val="NormalWeb"/>
        <w:bidi w:val="0"/>
        <w:spacing w:before="0" w:beforeAutospacing="0" w:after="0" w:afterAutospacing="0"/>
        <w:jc w:val="both"/>
        <w:rPr>
          <w:rFonts w:ascii="Times New Roman" w:hAnsi="Times New Roman"/>
        </w:rPr>
      </w:pPr>
      <w:r>
        <w:rPr>
          <w:rFonts w:ascii="Times New Roman" w:hAnsi="Times New Roman"/>
        </w:rPr>
        <w:t>-</w:t>
      </w:r>
    </w:p>
    <w:p w:rsidR="00A8025E">
      <w:pPr>
        <w:bidi w:val="0"/>
        <w:rPr>
          <w:rFonts w:ascii="Times New Roman" w:hAnsi="Times New Roman"/>
        </w:rPr>
      </w:pPr>
    </w:p>
    <w:p w:rsidR="0049728D">
      <w:pPr>
        <w:bidi w:val="0"/>
        <w:rPr>
          <w:rFonts w:ascii="Times New Roman" w:hAnsi="Times New Roman"/>
        </w:rPr>
      </w:pPr>
    </w:p>
    <w:p w:rsidR="0049728D">
      <w:pPr>
        <w:bidi w:val="0"/>
        <w:rPr>
          <w:rFonts w:ascii="Times New Roman" w:hAnsi="Times New Roman"/>
        </w:rPr>
      </w:pPr>
    </w:p>
    <w:p w:rsidR="0049728D">
      <w:pPr>
        <w:bidi w:val="0"/>
        <w:rPr>
          <w:rFonts w:ascii="Times New Roman" w:hAnsi="Times New Roman"/>
        </w:rPr>
      </w:pPr>
    </w:p>
    <w:p w:rsidR="0049728D">
      <w:pPr>
        <w:bidi w:val="0"/>
        <w:rPr>
          <w:rFonts w:ascii="Times New Roman" w:hAnsi="Times New Roman"/>
        </w:rPr>
      </w:pPr>
    </w:p>
    <w:p w:rsidR="0049728D">
      <w:pPr>
        <w:bidi w:val="0"/>
        <w:rPr>
          <w:rFonts w:ascii="Times New Roman" w:hAnsi="Times New Roman"/>
        </w:rPr>
      </w:pPr>
    </w:p>
    <w:p w:rsidR="0049728D">
      <w:pPr>
        <w:bidi w:val="0"/>
        <w:rPr>
          <w:rFonts w:ascii="Times New Roman" w:hAnsi="Times New Roman"/>
        </w:rPr>
      </w:pPr>
    </w:p>
    <w:p w:rsidR="0049728D">
      <w:pPr>
        <w:bidi w:val="0"/>
        <w:rPr>
          <w:rFonts w:ascii="Times New Roman" w:hAnsi="Times New Roman"/>
        </w:rPr>
      </w:pPr>
    </w:p>
    <w:p w:rsidR="0049728D">
      <w:pPr>
        <w:bidi w:val="0"/>
        <w:rPr>
          <w:rFonts w:ascii="Times New Roman" w:hAnsi="Times New Roman"/>
        </w:rPr>
      </w:pPr>
    </w:p>
    <w:p w:rsidR="0049728D">
      <w:pPr>
        <w:bidi w:val="0"/>
        <w:rPr>
          <w:rFonts w:ascii="Times New Roman" w:hAnsi="Times New Roman"/>
        </w:rPr>
      </w:pPr>
    </w:p>
    <w:p w:rsidR="0049728D">
      <w:pPr>
        <w:bidi w:val="0"/>
        <w:rPr>
          <w:rFonts w:ascii="Times New Roman" w:hAnsi="Times New Roman"/>
        </w:rPr>
      </w:pPr>
    </w:p>
    <w:p w:rsidR="0049728D">
      <w:pPr>
        <w:bidi w:val="0"/>
        <w:rPr>
          <w:rFonts w:ascii="Times New Roman" w:hAnsi="Times New Roman"/>
        </w:rPr>
      </w:pPr>
    </w:p>
    <w:p w:rsidR="0049728D">
      <w:pPr>
        <w:bidi w:val="0"/>
        <w:rPr>
          <w:rFonts w:ascii="Times New Roman" w:hAnsi="Times New Roman"/>
        </w:rPr>
      </w:pPr>
    </w:p>
    <w:p w:rsidR="0049728D">
      <w:pPr>
        <w:bidi w:val="0"/>
        <w:rPr>
          <w:rFonts w:ascii="Times New Roman" w:hAnsi="Times New Roman"/>
        </w:rPr>
      </w:pPr>
    </w:p>
    <w:p w:rsidR="002D488F">
      <w:pPr>
        <w:bidi w:val="0"/>
        <w:rPr>
          <w:rFonts w:ascii="Times New Roman" w:hAnsi="Times New Roman"/>
        </w:rPr>
      </w:pPr>
    </w:p>
    <w:p w:rsidR="002D488F">
      <w:pPr>
        <w:bidi w:val="0"/>
        <w:rPr>
          <w:rFonts w:ascii="Times New Roman" w:hAnsi="Times New Roman"/>
        </w:rPr>
      </w:pPr>
    </w:p>
    <w:p w:rsidR="002D488F">
      <w:pPr>
        <w:bidi w:val="0"/>
        <w:rPr>
          <w:rFonts w:ascii="Times New Roman" w:hAnsi="Times New Roman"/>
        </w:rPr>
      </w:pPr>
    </w:p>
    <w:p w:rsidR="002D488F">
      <w:pPr>
        <w:bidi w:val="0"/>
        <w:rPr>
          <w:rFonts w:ascii="Times New Roman" w:hAnsi="Times New Roman"/>
        </w:rPr>
      </w:pPr>
    </w:p>
    <w:p w:rsidR="0049728D">
      <w:pPr>
        <w:bidi w:val="0"/>
        <w:rPr>
          <w:rFonts w:ascii="Times New Roman" w:hAnsi="Times New Roman"/>
        </w:rPr>
      </w:pPr>
    </w:p>
    <w:p w:rsidR="0049728D">
      <w:pPr>
        <w:bidi w:val="0"/>
        <w:rPr>
          <w:rFonts w:ascii="Times New Roman" w:hAnsi="Times New Roman"/>
        </w:rPr>
      </w:pPr>
    </w:p>
    <w:p w:rsidR="0049728D">
      <w:pPr>
        <w:bidi w:val="0"/>
        <w:rPr>
          <w:rFonts w:ascii="Times New Roman" w:hAnsi="Times New Roman"/>
        </w:rPr>
      </w:pPr>
    </w:p>
    <w:p w:rsidR="0049728D">
      <w:pPr>
        <w:bidi w:val="0"/>
        <w:rPr>
          <w:rFonts w:ascii="Times New Roman" w:hAnsi="Times New Roman"/>
        </w:rPr>
      </w:pPr>
    </w:p>
    <w:p w:rsidR="0049728D" w:rsidRPr="002D488F" w:rsidP="002D488F">
      <w:pPr>
        <w:bidi w:val="0"/>
        <w:jc w:val="right"/>
        <w:rPr>
          <w:rFonts w:ascii="Times New Roman" w:hAnsi="Times New Roman"/>
          <w:b/>
        </w:rPr>
      </w:pPr>
      <w:r w:rsidRPr="002D488F" w:rsidR="002D488F">
        <w:rPr>
          <w:rFonts w:ascii="Times New Roman" w:hAnsi="Times New Roman"/>
          <w:b/>
        </w:rPr>
        <w:t>Príloha č. 1</w:t>
      </w:r>
    </w:p>
    <w:p w:rsidR="00B43540" w:rsidRPr="00323053" w:rsidP="00B43540">
      <w:pPr>
        <w:bidi w:val="0"/>
        <w:jc w:val="center"/>
        <w:rPr>
          <w:rFonts w:ascii="Times New Roman" w:hAnsi="Times New Roman"/>
        </w:rPr>
      </w:pPr>
      <w:r w:rsidRPr="00323053">
        <w:rPr>
          <w:rFonts w:ascii="Times New Roman" w:hAnsi="Times New Roman"/>
          <w:b/>
          <w:bCs/>
        </w:rPr>
        <w:t>Vplyvy na rozpočet verejnej správy,</w:t>
      </w:r>
    </w:p>
    <w:p w:rsidR="00B43540" w:rsidP="00B43540">
      <w:pPr>
        <w:bidi w:val="0"/>
        <w:jc w:val="center"/>
        <w:rPr>
          <w:rFonts w:ascii="Times New Roman" w:hAnsi="Times New Roman"/>
          <w:b/>
          <w:bCs/>
        </w:rPr>
      </w:pPr>
      <w:r w:rsidRPr="00323053">
        <w:rPr>
          <w:rFonts w:ascii="Times New Roman" w:hAnsi="Times New Roman"/>
          <w:b/>
          <w:bCs/>
        </w:rPr>
        <w:t xml:space="preserve">na zamestnanosť vo verejnej správe a financovanie </w:t>
      </w:r>
    </w:p>
    <w:p w:rsidR="00B43540" w:rsidRPr="00323053" w:rsidP="00B43540">
      <w:pPr>
        <w:bidi w:val="0"/>
        <w:jc w:val="center"/>
        <w:rPr>
          <w:rFonts w:ascii="Times New Roman" w:hAnsi="Times New Roman"/>
        </w:rPr>
      </w:pPr>
      <w:r w:rsidRPr="00323053">
        <w:rPr>
          <w:rFonts w:ascii="Times New Roman" w:hAnsi="Times New Roman"/>
          <w:b/>
          <w:bCs/>
        </w:rPr>
        <w:t>návrhu</w:t>
      </w:r>
      <w:r>
        <w:rPr>
          <w:rFonts w:ascii="Times New Roman" w:hAnsi="Times New Roman"/>
          <w:b/>
          <w:bCs/>
        </w:rPr>
        <w:t xml:space="preserve"> zákona, ktorým sa mení a dopĺňa zákon č. 595/2003 Z. z. o dani z príjmov v znení neskorších predpisov</w:t>
      </w:r>
    </w:p>
    <w:p w:rsidR="00B43540" w:rsidRPr="00323053" w:rsidP="00B43540">
      <w:pPr>
        <w:bidi w:val="0"/>
        <w:rPr>
          <w:rFonts w:ascii="Times New Roman" w:hAnsi="Times New Roman"/>
        </w:rPr>
      </w:pPr>
      <w:r w:rsidRPr="00323053">
        <w:rPr>
          <w:rFonts w:ascii="Times New Roman" w:hAnsi="Times New Roman"/>
        </w:rPr>
        <w:t> </w:t>
      </w:r>
    </w:p>
    <w:p w:rsidR="00B43540" w:rsidRPr="00323053" w:rsidP="00B43540">
      <w:pPr>
        <w:bidi w:val="0"/>
        <w:rPr>
          <w:rFonts w:ascii="Times New Roman" w:hAnsi="Times New Roman"/>
        </w:rPr>
      </w:pPr>
      <w:r w:rsidRPr="00323053">
        <w:rPr>
          <w:rFonts w:ascii="Times New Roman" w:hAnsi="Times New Roman"/>
          <w:b/>
          <w:bCs/>
        </w:rPr>
        <w:t>2.1. Zhrnutie vplyvov na rozpočet verejnej správy v návrhu</w:t>
      </w:r>
    </w:p>
    <w:p w:rsidR="00B43540" w:rsidP="00B43540">
      <w:pPr>
        <w:bidi w:val="0"/>
        <w:jc w:val="right"/>
        <w:rPr>
          <w:rFonts w:ascii="Times New Roman" w:hAnsi="Times New Roman"/>
        </w:rPr>
      </w:pPr>
      <w:r w:rsidRPr="00323053">
        <w:rPr>
          <w:rFonts w:ascii="Times New Roman" w:hAnsi="Times New Roman"/>
        </w:rPr>
        <w:t>Tabuľka č. 1</w:t>
      </w:r>
    </w:p>
    <w:tbl>
      <w:tblPr>
        <w:tblStyle w:val="TableNormal"/>
        <w:tblW w:w="9020" w:type="dxa"/>
        <w:tblInd w:w="65" w:type="dxa"/>
        <w:tblCellMar>
          <w:left w:w="70" w:type="dxa"/>
          <w:right w:w="70" w:type="dxa"/>
        </w:tblCellMar>
        <w:tblLook w:val="04A0"/>
      </w:tblPr>
      <w:tblGrid>
        <w:gridCol w:w="4060"/>
        <w:gridCol w:w="691"/>
        <w:gridCol w:w="1423"/>
        <w:gridCol w:w="1423"/>
        <w:gridCol w:w="1423"/>
      </w:tblGrid>
      <w:tr>
        <w:tblPrEx>
          <w:tblW w:w="9020" w:type="dxa"/>
          <w:tblInd w:w="65" w:type="dxa"/>
          <w:tblCellMar>
            <w:left w:w="70" w:type="dxa"/>
            <w:right w:w="70" w:type="dxa"/>
          </w:tblCellMar>
          <w:tblLook w:val="04A0"/>
        </w:tblPrEx>
        <w:trPr>
          <w:trHeight w:val="375"/>
        </w:trPr>
        <w:tc>
          <w:tcPr>
            <w:tcW w:w="4060" w:type="dxa"/>
            <w:vMerge w:val="restart"/>
            <w:tcBorders>
              <w:top w:val="single" w:sz="4" w:space="0" w:color="auto"/>
              <w:left w:val="single" w:sz="4" w:space="0" w:color="auto"/>
              <w:bottom w:val="single" w:sz="4" w:space="0" w:color="000000"/>
              <w:right w:val="single" w:sz="4" w:space="0" w:color="auto"/>
            </w:tcBorders>
            <w:shd w:val="clear" w:color="000000" w:fill="000000"/>
            <w:noWrap/>
            <w:textDirection w:val="lrTb"/>
            <w:vAlign w:val="center"/>
            <w:hideMark/>
          </w:tcPr>
          <w:p w:rsidR="00B43540" w:rsidP="002D488F">
            <w:pPr>
              <w:bidi w:val="0"/>
              <w:rPr>
                <w:rFonts w:ascii="Times New Roman" w:hAnsi="Times New Roman"/>
                <w:b/>
                <w:bCs/>
                <w:color w:val="FFFFFF"/>
                <w:u w:val="single"/>
              </w:rPr>
            </w:pPr>
            <w:r>
              <w:rPr>
                <w:rFonts w:ascii="Times New Roman" w:hAnsi="Times New Roman"/>
                <w:b/>
                <w:bCs/>
                <w:color w:val="FFFFFF"/>
                <w:u w:val="single"/>
              </w:rPr>
              <w:t>Rozpočet verejnej správy (v eur)</w:t>
            </w:r>
          </w:p>
        </w:tc>
        <w:tc>
          <w:tcPr>
            <w:tcW w:w="4960" w:type="dxa"/>
            <w:gridSpan w:val="4"/>
            <w:tcBorders>
              <w:top w:val="single" w:sz="4" w:space="0" w:color="auto"/>
              <w:left w:val="nil"/>
              <w:bottom w:val="single" w:sz="4" w:space="0" w:color="auto"/>
              <w:right w:val="single" w:sz="4" w:space="0" w:color="auto"/>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Vplyv na rozpočet verejnej správy (ESA95)</w:t>
            </w:r>
          </w:p>
        </w:tc>
      </w:tr>
      <w:tr>
        <w:tblPrEx>
          <w:tblW w:w="9020" w:type="dxa"/>
          <w:tblInd w:w="65" w:type="dxa"/>
          <w:tblCellMar>
            <w:left w:w="70" w:type="dxa"/>
            <w:right w:w="70" w:type="dxa"/>
          </w:tblCellMar>
          <w:tblLook w:val="04A0"/>
        </w:tblPrEx>
        <w:trPr>
          <w:trHeight w:val="375"/>
        </w:trPr>
        <w:tc>
          <w:tcPr>
            <w:tcW w:w="4060" w:type="dxa"/>
            <w:vMerge/>
            <w:tcBorders>
              <w:top w:val="single" w:sz="4" w:space="0" w:color="auto"/>
              <w:left w:val="single" w:sz="4" w:space="0" w:color="auto"/>
              <w:bottom w:val="single" w:sz="4" w:space="0" w:color="000000"/>
              <w:right w:val="single" w:sz="4" w:space="0" w:color="auto"/>
            </w:tcBorders>
            <w:textDirection w:val="lrTb"/>
            <w:vAlign w:val="center"/>
            <w:hideMark/>
          </w:tcPr>
          <w:p w:rsidR="00B43540" w:rsidP="002D488F">
            <w:pPr>
              <w:bidi w:val="0"/>
              <w:rPr>
                <w:rFonts w:ascii="Times New Roman" w:hAnsi="Times New Roman"/>
                <w:b/>
                <w:bCs/>
                <w:color w:val="FFFFFF"/>
                <w:u w:val="single"/>
              </w:rPr>
            </w:pPr>
          </w:p>
        </w:tc>
        <w:tc>
          <w:tcPr>
            <w:tcW w:w="691" w:type="dxa"/>
            <w:tcBorders>
              <w:top w:val="nil"/>
              <w:left w:val="nil"/>
              <w:bottom w:val="single" w:sz="4" w:space="0" w:color="auto"/>
              <w:right w:val="single" w:sz="4" w:space="0" w:color="auto"/>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2012</w:t>
            </w:r>
          </w:p>
        </w:tc>
        <w:tc>
          <w:tcPr>
            <w:tcW w:w="1423" w:type="dxa"/>
            <w:tcBorders>
              <w:top w:val="nil"/>
              <w:left w:val="nil"/>
              <w:bottom w:val="single" w:sz="4" w:space="0" w:color="auto"/>
              <w:right w:val="single" w:sz="4" w:space="0" w:color="auto"/>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2013</w:t>
            </w:r>
          </w:p>
        </w:tc>
        <w:tc>
          <w:tcPr>
            <w:tcW w:w="1423" w:type="dxa"/>
            <w:tcBorders>
              <w:top w:val="nil"/>
              <w:left w:val="nil"/>
              <w:bottom w:val="single" w:sz="4" w:space="0" w:color="auto"/>
              <w:right w:val="single" w:sz="4" w:space="0" w:color="auto"/>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2014</w:t>
            </w:r>
          </w:p>
        </w:tc>
        <w:tc>
          <w:tcPr>
            <w:tcW w:w="1423" w:type="dxa"/>
            <w:tcBorders>
              <w:top w:val="nil"/>
              <w:left w:val="nil"/>
              <w:bottom w:val="single" w:sz="4" w:space="0" w:color="auto"/>
              <w:right w:val="single" w:sz="4" w:space="0" w:color="auto"/>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2015</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shd w:val="clear" w:color="000000" w:fill="969696"/>
            <w:noWrap/>
            <w:textDirection w:val="lrTb"/>
            <w:vAlign w:val="center"/>
            <w:hideMark/>
          </w:tcPr>
          <w:p w:rsidR="00B43540" w:rsidP="002D488F">
            <w:pPr>
              <w:bidi w:val="0"/>
              <w:rPr>
                <w:rFonts w:ascii="Times New Roman" w:hAnsi="Times New Roman"/>
                <w:b/>
                <w:bCs/>
                <w:color w:val="000000"/>
              </w:rPr>
            </w:pPr>
            <w:r>
              <w:rPr>
                <w:rFonts w:ascii="Times New Roman" w:hAnsi="Times New Roman"/>
                <w:b/>
                <w:bCs/>
                <w:color w:val="000000"/>
              </w:rPr>
              <w:t>Príjmy verejnej správy celkom</w:t>
            </w:r>
          </w:p>
        </w:tc>
        <w:tc>
          <w:tcPr>
            <w:tcW w:w="691" w:type="dxa"/>
            <w:tcBorders>
              <w:top w:val="nil"/>
              <w:left w:val="nil"/>
              <w:bottom w:val="single" w:sz="4" w:space="0" w:color="auto"/>
              <w:right w:val="single" w:sz="4" w:space="0" w:color="auto"/>
            </w:tcBorders>
            <w:shd w:val="clear" w:color="000000" w:fill="969696"/>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423" w:type="dxa"/>
            <w:tcBorders>
              <w:top w:val="nil"/>
              <w:left w:val="nil"/>
              <w:bottom w:val="single" w:sz="4" w:space="0" w:color="auto"/>
              <w:right w:val="single" w:sz="4" w:space="0" w:color="auto"/>
            </w:tcBorders>
            <w:shd w:val="clear" w:color="000000" w:fill="969696"/>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376 550 884</w:t>
            </w:r>
          </w:p>
        </w:tc>
        <w:tc>
          <w:tcPr>
            <w:tcW w:w="1423" w:type="dxa"/>
            <w:tcBorders>
              <w:top w:val="nil"/>
              <w:left w:val="nil"/>
              <w:bottom w:val="single" w:sz="4" w:space="0" w:color="auto"/>
              <w:right w:val="single" w:sz="4" w:space="0" w:color="auto"/>
            </w:tcBorders>
            <w:shd w:val="clear" w:color="000000" w:fill="969696"/>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418 980 765</w:t>
            </w:r>
          </w:p>
        </w:tc>
        <w:tc>
          <w:tcPr>
            <w:tcW w:w="1423" w:type="dxa"/>
            <w:tcBorders>
              <w:top w:val="nil"/>
              <w:left w:val="nil"/>
              <w:bottom w:val="single" w:sz="4" w:space="0" w:color="auto"/>
              <w:right w:val="single" w:sz="4" w:space="0" w:color="auto"/>
            </w:tcBorders>
            <w:shd w:val="clear" w:color="000000" w:fill="969696"/>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448 399 647</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 xml:space="preserve">Štátny rozpočet </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341 215 769</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327 051 563</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358 468 748</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 xml:space="preserve"> - Všeobecná pokladničná správa</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341 215 769</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327 051 563</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358 468 748</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Obce</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26 544 315</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62 185 541</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59 698 164</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VÚC</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8 888 692</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20 823 599</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19 990 669</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Sociálna poisťovňa</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-55 064</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6 050 110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6 962 954</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zdravotné poisťovne</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-42 828</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2 869 953</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3 279 112</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shd w:val="clear" w:color="000000" w:fill="969696"/>
            <w:noWrap/>
            <w:textDirection w:val="lrTb"/>
            <w:vAlign w:val="center"/>
            <w:hideMark/>
          </w:tcPr>
          <w:p w:rsidR="00B43540" w:rsidP="002D488F">
            <w:pPr>
              <w:bidi w:val="0"/>
              <w:rPr>
                <w:rFonts w:ascii="Times New Roman" w:hAnsi="Times New Roman"/>
                <w:b/>
                <w:bCs/>
                <w:color w:val="000000"/>
              </w:rPr>
            </w:pPr>
            <w:r>
              <w:rPr>
                <w:rFonts w:ascii="Times New Roman" w:hAnsi="Times New Roman"/>
                <w:b/>
                <w:bCs/>
                <w:color w:val="000000"/>
              </w:rPr>
              <w:t>Výdavky verejnej správy celkom</w:t>
            </w:r>
          </w:p>
        </w:tc>
        <w:tc>
          <w:tcPr>
            <w:tcW w:w="691" w:type="dxa"/>
            <w:tcBorders>
              <w:top w:val="nil"/>
              <w:left w:val="nil"/>
              <w:bottom w:val="single" w:sz="4" w:space="0" w:color="auto"/>
              <w:right w:val="single" w:sz="4" w:space="0" w:color="auto"/>
            </w:tcBorders>
            <w:shd w:val="clear" w:color="000000" w:fill="969696"/>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423" w:type="dxa"/>
            <w:tcBorders>
              <w:top w:val="nil"/>
              <w:left w:val="nil"/>
              <w:bottom w:val="single" w:sz="4" w:space="0" w:color="auto"/>
              <w:right w:val="single" w:sz="4" w:space="0" w:color="auto"/>
            </w:tcBorders>
            <w:shd w:val="clear" w:color="000000" w:fill="969696"/>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423" w:type="dxa"/>
            <w:tcBorders>
              <w:top w:val="nil"/>
              <w:left w:val="nil"/>
              <w:bottom w:val="single" w:sz="4" w:space="0" w:color="auto"/>
              <w:right w:val="single" w:sz="4" w:space="0" w:color="auto"/>
            </w:tcBorders>
            <w:shd w:val="clear" w:color="000000" w:fill="969696"/>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3 044 955</w:t>
            </w:r>
          </w:p>
        </w:tc>
        <w:tc>
          <w:tcPr>
            <w:tcW w:w="1423" w:type="dxa"/>
            <w:tcBorders>
              <w:top w:val="nil"/>
              <w:left w:val="nil"/>
              <w:bottom w:val="single" w:sz="4" w:space="0" w:color="auto"/>
              <w:right w:val="single" w:sz="4" w:space="0" w:color="auto"/>
            </w:tcBorders>
            <w:shd w:val="clear" w:color="000000" w:fill="969696"/>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3 165 319</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 xml:space="preserve">Štátny rozpočet </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838 418</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935 969</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 xml:space="preserve"> - Všeobecná pokladničná správa</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838 418</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935 969</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Obce</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2 054 788</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2 076 203</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VÚC</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151 750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153 147</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Sociálna poisťovňa</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zdravotné poisťovne</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r>
    </w:tbl>
    <w:p w:rsidR="00B43540" w:rsidP="00B43540">
      <w:pPr>
        <w:bidi w:val="0"/>
        <w:jc w:val="right"/>
        <w:rPr>
          <w:rFonts w:ascii="Times New Roman" w:hAnsi="Times New Roman"/>
        </w:rPr>
      </w:pPr>
    </w:p>
    <w:tbl>
      <w:tblPr>
        <w:tblStyle w:val="TableNormal"/>
        <w:tblW w:w="9020" w:type="dxa"/>
        <w:tblInd w:w="65" w:type="dxa"/>
        <w:tblCellMar>
          <w:left w:w="70" w:type="dxa"/>
          <w:right w:w="70" w:type="dxa"/>
        </w:tblCellMar>
        <w:tblLook w:val="04A0"/>
      </w:tblPr>
      <w:tblGrid>
        <w:gridCol w:w="4060"/>
        <w:gridCol w:w="691"/>
        <w:gridCol w:w="1423"/>
        <w:gridCol w:w="1423"/>
        <w:gridCol w:w="1423"/>
      </w:tblGrid>
      <w:tr>
        <w:tblPrEx>
          <w:tblW w:w="9020" w:type="dxa"/>
          <w:tblInd w:w="65" w:type="dxa"/>
          <w:tblCellMar>
            <w:left w:w="70" w:type="dxa"/>
            <w:right w:w="70" w:type="dxa"/>
          </w:tblCellMar>
          <w:tblLook w:val="04A0"/>
        </w:tblPrEx>
        <w:trPr>
          <w:trHeight w:val="375"/>
        </w:trPr>
        <w:tc>
          <w:tcPr>
            <w:tcW w:w="4060" w:type="dxa"/>
            <w:vMerge w:val="restart"/>
            <w:tcBorders>
              <w:top w:val="single" w:sz="4" w:space="0" w:color="auto"/>
              <w:left w:val="single" w:sz="4" w:space="0" w:color="auto"/>
              <w:bottom w:val="single" w:sz="4" w:space="0" w:color="000000"/>
              <w:right w:val="single" w:sz="4" w:space="0" w:color="auto"/>
            </w:tcBorders>
            <w:shd w:val="clear" w:color="000000" w:fill="000000"/>
            <w:noWrap/>
            <w:textDirection w:val="lrTb"/>
            <w:vAlign w:val="center"/>
            <w:hideMark/>
          </w:tcPr>
          <w:p w:rsidR="00B43540" w:rsidP="002D488F">
            <w:pPr>
              <w:bidi w:val="0"/>
              <w:rPr>
                <w:rFonts w:ascii="Times New Roman" w:hAnsi="Times New Roman"/>
                <w:b/>
                <w:bCs/>
                <w:color w:val="FFFFFF"/>
                <w:u w:val="single"/>
              </w:rPr>
            </w:pPr>
            <w:r>
              <w:rPr>
                <w:rFonts w:ascii="Times New Roman" w:hAnsi="Times New Roman"/>
                <w:b/>
                <w:bCs/>
                <w:color w:val="FFFFFF"/>
                <w:u w:val="single"/>
              </w:rPr>
              <w:t>Rozpočet verejnej správy (v eur)</w:t>
            </w:r>
          </w:p>
        </w:tc>
        <w:tc>
          <w:tcPr>
            <w:tcW w:w="4960" w:type="dxa"/>
            <w:gridSpan w:val="4"/>
            <w:tcBorders>
              <w:top w:val="single" w:sz="4" w:space="0" w:color="auto"/>
              <w:left w:val="nil"/>
              <w:bottom w:val="single" w:sz="4" w:space="0" w:color="auto"/>
              <w:right w:val="single" w:sz="4" w:space="0" w:color="auto"/>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Vplyv na rozpočet verejnej správy (cash)</w:t>
            </w:r>
          </w:p>
        </w:tc>
      </w:tr>
      <w:tr>
        <w:tblPrEx>
          <w:tblW w:w="9020" w:type="dxa"/>
          <w:tblInd w:w="65" w:type="dxa"/>
          <w:tblCellMar>
            <w:left w:w="70" w:type="dxa"/>
            <w:right w:w="70" w:type="dxa"/>
          </w:tblCellMar>
          <w:tblLook w:val="04A0"/>
        </w:tblPrEx>
        <w:trPr>
          <w:trHeight w:val="375"/>
        </w:trPr>
        <w:tc>
          <w:tcPr>
            <w:tcW w:w="4060" w:type="dxa"/>
            <w:vMerge/>
            <w:tcBorders>
              <w:top w:val="single" w:sz="4" w:space="0" w:color="auto"/>
              <w:left w:val="single" w:sz="4" w:space="0" w:color="auto"/>
              <w:bottom w:val="single" w:sz="4" w:space="0" w:color="000000"/>
              <w:right w:val="single" w:sz="4" w:space="0" w:color="auto"/>
            </w:tcBorders>
            <w:textDirection w:val="lrTb"/>
            <w:vAlign w:val="center"/>
            <w:hideMark/>
          </w:tcPr>
          <w:p w:rsidR="00B43540" w:rsidP="002D488F">
            <w:pPr>
              <w:bidi w:val="0"/>
              <w:rPr>
                <w:rFonts w:ascii="Times New Roman" w:hAnsi="Times New Roman"/>
                <w:b/>
                <w:bCs/>
                <w:color w:val="FFFFFF"/>
                <w:u w:val="single"/>
              </w:rPr>
            </w:pPr>
          </w:p>
        </w:tc>
        <w:tc>
          <w:tcPr>
            <w:tcW w:w="691" w:type="dxa"/>
            <w:tcBorders>
              <w:top w:val="nil"/>
              <w:left w:val="nil"/>
              <w:bottom w:val="single" w:sz="4" w:space="0" w:color="auto"/>
              <w:right w:val="single" w:sz="4" w:space="0" w:color="auto"/>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2012</w:t>
            </w:r>
          </w:p>
        </w:tc>
        <w:tc>
          <w:tcPr>
            <w:tcW w:w="1423" w:type="dxa"/>
            <w:tcBorders>
              <w:top w:val="nil"/>
              <w:left w:val="nil"/>
              <w:bottom w:val="single" w:sz="4" w:space="0" w:color="auto"/>
              <w:right w:val="single" w:sz="4" w:space="0" w:color="auto"/>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2013</w:t>
            </w:r>
          </w:p>
        </w:tc>
        <w:tc>
          <w:tcPr>
            <w:tcW w:w="1423" w:type="dxa"/>
            <w:tcBorders>
              <w:top w:val="nil"/>
              <w:left w:val="nil"/>
              <w:bottom w:val="single" w:sz="4" w:space="0" w:color="auto"/>
              <w:right w:val="single" w:sz="4" w:space="0" w:color="auto"/>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2014</w:t>
            </w:r>
          </w:p>
        </w:tc>
        <w:tc>
          <w:tcPr>
            <w:tcW w:w="1423" w:type="dxa"/>
            <w:tcBorders>
              <w:top w:val="nil"/>
              <w:left w:val="nil"/>
              <w:bottom w:val="single" w:sz="4" w:space="0" w:color="auto"/>
              <w:right w:val="single" w:sz="4" w:space="0" w:color="auto"/>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2015</w:t>
            </w:r>
          </w:p>
        </w:tc>
      </w:tr>
      <w:tr>
        <w:tblPrEx>
          <w:tblW w:w="9020"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shd w:val="clear" w:color="000000" w:fill="969696"/>
            <w:noWrap/>
            <w:textDirection w:val="lrTb"/>
            <w:vAlign w:val="center"/>
            <w:hideMark/>
          </w:tcPr>
          <w:p w:rsidR="00B43540" w:rsidP="002D488F">
            <w:pPr>
              <w:bidi w:val="0"/>
              <w:rPr>
                <w:rFonts w:ascii="Times New Roman" w:hAnsi="Times New Roman"/>
                <w:b/>
                <w:bCs/>
                <w:color w:val="000000"/>
              </w:rPr>
            </w:pPr>
            <w:r>
              <w:rPr>
                <w:rFonts w:ascii="Times New Roman" w:hAnsi="Times New Roman"/>
                <w:b/>
                <w:bCs/>
                <w:color w:val="000000"/>
              </w:rPr>
              <w:t>Príjmy verejnej správy celkom</w:t>
            </w:r>
          </w:p>
        </w:tc>
        <w:tc>
          <w:tcPr>
            <w:tcW w:w="691" w:type="dxa"/>
            <w:tcBorders>
              <w:top w:val="nil"/>
              <w:left w:val="nil"/>
              <w:bottom w:val="single" w:sz="4" w:space="0" w:color="auto"/>
              <w:right w:val="single" w:sz="4" w:space="0" w:color="auto"/>
            </w:tcBorders>
            <w:shd w:val="clear" w:color="000000" w:fill="969696"/>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423" w:type="dxa"/>
            <w:tcBorders>
              <w:top w:val="nil"/>
              <w:left w:val="nil"/>
              <w:bottom w:val="single" w:sz="4" w:space="0" w:color="auto"/>
              <w:right w:val="single" w:sz="4" w:space="0" w:color="auto"/>
            </w:tcBorders>
            <w:shd w:val="clear" w:color="000000" w:fill="969696"/>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313 011 509</w:t>
            </w:r>
          </w:p>
        </w:tc>
        <w:tc>
          <w:tcPr>
            <w:tcW w:w="1423" w:type="dxa"/>
            <w:tcBorders>
              <w:top w:val="nil"/>
              <w:left w:val="nil"/>
              <w:bottom w:val="single" w:sz="4" w:space="0" w:color="auto"/>
              <w:right w:val="single" w:sz="4" w:space="0" w:color="auto"/>
            </w:tcBorders>
            <w:shd w:val="clear" w:color="000000" w:fill="969696"/>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422 843 261</w:t>
            </w:r>
          </w:p>
        </w:tc>
        <w:tc>
          <w:tcPr>
            <w:tcW w:w="1423" w:type="dxa"/>
            <w:tcBorders>
              <w:top w:val="nil"/>
              <w:left w:val="nil"/>
              <w:bottom w:val="single" w:sz="4" w:space="0" w:color="auto"/>
              <w:right w:val="single" w:sz="4" w:space="0" w:color="auto"/>
            </w:tcBorders>
            <w:shd w:val="clear" w:color="000000" w:fill="969696"/>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453 071 902</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 xml:space="preserve">Štátny rozpočet </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277 676 394</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332 356 323</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364 064 764</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 xml:space="preserve"> - Všeobecná pokladničná správa</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277 676 394</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332 356 323</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364 064 764</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Obce</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26 544 315</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61 637 216</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59 086 040</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VÚC</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8 888 692</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20 639 985</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19 785 692</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Sociálna poisťovňa</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-55 064</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5 582 338</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6 890 221</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zdravotné poisťovne</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-42 828</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2 627 399</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3 245 185</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shd w:val="clear" w:color="000000" w:fill="969696"/>
            <w:noWrap/>
            <w:textDirection w:val="lrTb"/>
            <w:vAlign w:val="center"/>
            <w:hideMark/>
          </w:tcPr>
          <w:p w:rsidR="00B43540" w:rsidP="002D488F">
            <w:pPr>
              <w:bidi w:val="0"/>
              <w:rPr>
                <w:rFonts w:ascii="Times New Roman" w:hAnsi="Times New Roman"/>
                <w:b/>
                <w:bCs/>
                <w:color w:val="000000"/>
              </w:rPr>
            </w:pPr>
            <w:r>
              <w:rPr>
                <w:rFonts w:ascii="Times New Roman" w:hAnsi="Times New Roman"/>
                <w:b/>
                <w:bCs/>
                <w:color w:val="000000"/>
              </w:rPr>
              <w:t>Výdavky verejnej správy celkom</w:t>
            </w:r>
          </w:p>
        </w:tc>
        <w:tc>
          <w:tcPr>
            <w:tcW w:w="691" w:type="dxa"/>
            <w:tcBorders>
              <w:top w:val="nil"/>
              <w:left w:val="nil"/>
              <w:bottom w:val="single" w:sz="4" w:space="0" w:color="auto"/>
              <w:right w:val="single" w:sz="4" w:space="0" w:color="auto"/>
            </w:tcBorders>
            <w:shd w:val="clear" w:color="000000" w:fill="969696"/>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423" w:type="dxa"/>
            <w:tcBorders>
              <w:top w:val="nil"/>
              <w:left w:val="nil"/>
              <w:bottom w:val="single" w:sz="4" w:space="0" w:color="auto"/>
              <w:right w:val="single" w:sz="4" w:space="0" w:color="auto"/>
            </w:tcBorders>
            <w:shd w:val="clear" w:color="000000" w:fill="969696"/>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423" w:type="dxa"/>
            <w:tcBorders>
              <w:top w:val="nil"/>
              <w:left w:val="nil"/>
              <w:bottom w:val="single" w:sz="4" w:space="0" w:color="auto"/>
              <w:right w:val="single" w:sz="4" w:space="0" w:color="auto"/>
            </w:tcBorders>
            <w:shd w:val="clear" w:color="000000" w:fill="969696"/>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2 206 538</w:t>
            </w:r>
          </w:p>
        </w:tc>
        <w:tc>
          <w:tcPr>
            <w:tcW w:w="1423" w:type="dxa"/>
            <w:tcBorders>
              <w:top w:val="nil"/>
              <w:left w:val="nil"/>
              <w:bottom w:val="single" w:sz="4" w:space="0" w:color="auto"/>
              <w:right w:val="single" w:sz="4" w:space="0" w:color="auto"/>
            </w:tcBorders>
            <w:shd w:val="clear" w:color="000000" w:fill="969696"/>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2 229 350</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 xml:space="preserve">Štátny rozpočet </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 xml:space="preserve"> - Všeobecná pokladničná správa</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Obce</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2 054 788</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2 076 203</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VÚC</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151 750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153 147</w:t>
            </w:r>
          </w:p>
        </w:tc>
      </w:tr>
      <w:tr>
        <w:tblPrEx>
          <w:tblW w:w="9020" w:type="dxa"/>
          <w:tblInd w:w="65" w:type="dxa"/>
          <w:tblCellMar>
            <w:left w:w="70" w:type="dxa"/>
            <w:right w:w="70" w:type="dxa"/>
          </w:tblCellMar>
          <w:tblLook w:val="04A0"/>
        </w:tblPrEx>
        <w:trPr>
          <w:trHeight w:val="340"/>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Sociálna poisťovňa</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020"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zdravotné poisťovne</w:t>
            </w:r>
          </w:p>
        </w:tc>
        <w:tc>
          <w:tcPr>
            <w:tcW w:w="691"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r>
    </w:tbl>
    <w:p w:rsidR="00B43540" w:rsidRPr="00323053" w:rsidP="00B43540">
      <w:pPr>
        <w:bidi w:val="0"/>
        <w:rPr>
          <w:rFonts w:ascii="Times New Roman" w:hAnsi="Times New Roman"/>
        </w:rPr>
      </w:pPr>
      <w:r w:rsidRPr="00323053">
        <w:rPr>
          <w:rFonts w:ascii="Times New Roman" w:hAnsi="Times New Roman"/>
        </w:rPr>
        <w:t xml:space="preserve"> </w:t>
      </w:r>
    </w:p>
    <w:p w:rsidR="00B43540" w:rsidRPr="00323053" w:rsidP="00B43540">
      <w:pPr>
        <w:bidi w:val="0"/>
        <w:rPr>
          <w:rFonts w:ascii="Times New Roman" w:hAnsi="Times New Roman"/>
        </w:rPr>
      </w:pPr>
      <w:r w:rsidRPr="00323053">
        <w:rPr>
          <w:rFonts w:ascii="Times New Roman" w:hAnsi="Times New Roman"/>
          <w:b/>
          <w:bCs/>
        </w:rPr>
        <w:t>2.2. Financovanie návrhu</w:t>
      </w:r>
    </w:p>
    <w:p w:rsidR="00B43540" w:rsidRPr="00323053" w:rsidP="00B43540">
      <w:pPr>
        <w:bidi w:val="0"/>
        <w:jc w:val="right"/>
        <w:rPr>
          <w:rFonts w:ascii="Times New Roman" w:hAnsi="Times New Roman"/>
        </w:rPr>
      </w:pPr>
      <w:r w:rsidRPr="00323053">
        <w:rPr>
          <w:rFonts w:ascii="Times New Roman" w:hAnsi="Times New Roman"/>
        </w:rPr>
        <w:t>Tabuľka č. 2</w:t>
      </w:r>
    </w:p>
    <w:tbl>
      <w:tblPr>
        <w:tblStyle w:val="TableNormal"/>
        <w:tblW w:w="9021" w:type="dxa"/>
        <w:tblInd w:w="65" w:type="dxa"/>
        <w:tblCellMar>
          <w:left w:w="70" w:type="dxa"/>
          <w:right w:w="70" w:type="dxa"/>
        </w:tblCellMar>
        <w:tblLook w:val="04A0"/>
      </w:tblPr>
      <w:tblGrid>
        <w:gridCol w:w="4060"/>
        <w:gridCol w:w="653"/>
        <w:gridCol w:w="1436"/>
        <w:gridCol w:w="1436"/>
        <w:gridCol w:w="1436"/>
      </w:tblGrid>
      <w:tr>
        <w:tblPrEx>
          <w:tblW w:w="9021" w:type="dxa"/>
          <w:tblInd w:w="65" w:type="dxa"/>
          <w:tblCellMar>
            <w:left w:w="70" w:type="dxa"/>
            <w:right w:w="70" w:type="dxa"/>
          </w:tblCellMar>
          <w:tblLook w:val="04A0"/>
        </w:tblPrEx>
        <w:trPr>
          <w:trHeight w:val="375"/>
        </w:trPr>
        <w:tc>
          <w:tcPr>
            <w:tcW w:w="4060" w:type="dxa"/>
            <w:vMerge w:val="restart"/>
            <w:tcBorders>
              <w:top w:val="single" w:sz="4" w:space="0" w:color="auto"/>
              <w:left w:val="single" w:sz="4" w:space="0" w:color="auto"/>
              <w:bottom w:val="single" w:sz="4" w:space="0" w:color="000000"/>
              <w:right w:val="single" w:sz="4" w:space="0" w:color="auto"/>
            </w:tcBorders>
            <w:shd w:val="clear" w:color="000000" w:fill="000000"/>
            <w:noWrap/>
            <w:textDirection w:val="lrTb"/>
            <w:vAlign w:val="center"/>
            <w:hideMark/>
          </w:tcPr>
          <w:p w:rsidR="00B43540" w:rsidP="002D488F">
            <w:pPr>
              <w:bidi w:val="0"/>
              <w:rPr>
                <w:rFonts w:ascii="Times New Roman" w:hAnsi="Times New Roman"/>
                <w:b/>
                <w:bCs/>
                <w:color w:val="FFFFFF"/>
                <w:u w:val="single"/>
              </w:rPr>
            </w:pPr>
            <w:r>
              <w:rPr>
                <w:rFonts w:ascii="Times New Roman" w:hAnsi="Times New Roman"/>
                <w:b/>
                <w:bCs/>
                <w:color w:val="FFFFFF"/>
                <w:u w:val="single"/>
              </w:rPr>
              <w:t>Financovanie (v eur)</w:t>
            </w:r>
          </w:p>
        </w:tc>
        <w:tc>
          <w:tcPr>
            <w:tcW w:w="4961" w:type="dxa"/>
            <w:gridSpan w:val="4"/>
            <w:tcBorders>
              <w:top w:val="single" w:sz="4" w:space="0" w:color="auto"/>
              <w:left w:val="nil"/>
              <w:bottom w:val="single" w:sz="4" w:space="0" w:color="auto"/>
              <w:right w:val="single" w:sz="4" w:space="0" w:color="auto"/>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Vplyv na rozpočet verejnej správy (ESA95)</w:t>
            </w:r>
          </w:p>
        </w:tc>
      </w:tr>
      <w:tr>
        <w:tblPrEx>
          <w:tblW w:w="9021" w:type="dxa"/>
          <w:tblInd w:w="65" w:type="dxa"/>
          <w:tblCellMar>
            <w:left w:w="70" w:type="dxa"/>
            <w:right w:w="70" w:type="dxa"/>
          </w:tblCellMar>
          <w:tblLook w:val="04A0"/>
        </w:tblPrEx>
        <w:trPr>
          <w:trHeight w:val="375"/>
        </w:trPr>
        <w:tc>
          <w:tcPr>
            <w:tcW w:w="4060" w:type="dxa"/>
            <w:vMerge/>
            <w:tcBorders>
              <w:top w:val="single" w:sz="4" w:space="0" w:color="auto"/>
              <w:left w:val="single" w:sz="4" w:space="0" w:color="auto"/>
              <w:bottom w:val="single" w:sz="4" w:space="0" w:color="000000"/>
              <w:right w:val="single" w:sz="4" w:space="0" w:color="auto"/>
            </w:tcBorders>
            <w:textDirection w:val="lrTb"/>
            <w:vAlign w:val="center"/>
            <w:hideMark/>
          </w:tcPr>
          <w:p w:rsidR="00B43540" w:rsidP="002D488F">
            <w:pPr>
              <w:bidi w:val="0"/>
              <w:rPr>
                <w:rFonts w:ascii="Times New Roman" w:hAnsi="Times New Roman"/>
                <w:b/>
                <w:bCs/>
                <w:color w:val="FFFFFF"/>
                <w:u w:val="single"/>
              </w:rPr>
            </w:pPr>
          </w:p>
        </w:tc>
        <w:tc>
          <w:tcPr>
            <w:tcW w:w="653" w:type="dxa"/>
            <w:tcBorders>
              <w:top w:val="nil"/>
              <w:left w:val="nil"/>
              <w:bottom w:val="single" w:sz="4" w:space="0" w:color="auto"/>
              <w:right w:val="single" w:sz="4" w:space="0" w:color="auto"/>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2012</w:t>
            </w:r>
          </w:p>
        </w:tc>
        <w:tc>
          <w:tcPr>
            <w:tcW w:w="1436" w:type="dxa"/>
            <w:tcBorders>
              <w:top w:val="nil"/>
              <w:left w:val="nil"/>
              <w:bottom w:val="single" w:sz="4" w:space="0" w:color="auto"/>
              <w:right w:val="single" w:sz="4" w:space="0" w:color="auto"/>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2013</w:t>
            </w:r>
          </w:p>
        </w:tc>
        <w:tc>
          <w:tcPr>
            <w:tcW w:w="1436" w:type="dxa"/>
            <w:tcBorders>
              <w:top w:val="nil"/>
              <w:left w:val="nil"/>
              <w:bottom w:val="single" w:sz="4" w:space="0" w:color="auto"/>
              <w:right w:val="single" w:sz="4" w:space="0" w:color="auto"/>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2014</w:t>
            </w:r>
          </w:p>
        </w:tc>
        <w:tc>
          <w:tcPr>
            <w:tcW w:w="1436" w:type="dxa"/>
            <w:tcBorders>
              <w:top w:val="nil"/>
              <w:left w:val="nil"/>
              <w:bottom w:val="single" w:sz="4" w:space="0" w:color="auto"/>
              <w:right w:val="single" w:sz="4" w:space="0" w:color="auto"/>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2015</w:t>
            </w:r>
          </w:p>
        </w:tc>
      </w:tr>
      <w:tr>
        <w:tblPrEx>
          <w:tblW w:w="9021"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textDirection w:val="lrTb"/>
            <w:vAlign w:val="center"/>
            <w:hideMark/>
          </w:tcPr>
          <w:p w:rsidR="00B43540" w:rsidP="002D488F">
            <w:pPr>
              <w:bidi w:val="0"/>
              <w:rPr>
                <w:rFonts w:ascii="Times New Roman" w:hAnsi="Times New Roman"/>
                <w:b/>
                <w:bCs/>
                <w:color w:val="000000"/>
              </w:rPr>
            </w:pPr>
            <w:r>
              <w:rPr>
                <w:rFonts w:ascii="Times New Roman" w:hAnsi="Times New Roman"/>
                <w:b/>
                <w:bCs/>
                <w:color w:val="000000"/>
              </w:rPr>
              <w:t>Celkový vplyv na rozpočet verejnej správy (- príjmy, + výdavky)</w:t>
            </w:r>
          </w:p>
        </w:tc>
        <w:tc>
          <w:tcPr>
            <w:tcW w:w="65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-376 550 884</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-415 935 810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-445 234 328</w:t>
            </w:r>
          </w:p>
        </w:tc>
      </w:tr>
      <w:tr>
        <w:tblPrEx>
          <w:tblW w:w="9021"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z toho vplyv na ŠR</w:t>
            </w:r>
          </w:p>
        </w:tc>
        <w:tc>
          <w:tcPr>
            <w:tcW w:w="65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-341 215 769</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-326 213 145</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-357 532 779</w:t>
            </w:r>
          </w:p>
        </w:tc>
      </w:tr>
      <w:tr>
        <w:tblPrEx>
          <w:tblW w:w="9021"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 xml:space="preserve"> - Všeobecná pokladničná správa</w:t>
            </w:r>
          </w:p>
        </w:tc>
        <w:tc>
          <w:tcPr>
            <w:tcW w:w="65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-341 215 769</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-326 213 145</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-357 532 779</w:t>
            </w:r>
          </w:p>
        </w:tc>
      </w:tr>
      <w:tr>
        <w:tblPrEx>
          <w:tblW w:w="9021"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Obce</w:t>
            </w:r>
          </w:p>
        </w:tc>
        <w:tc>
          <w:tcPr>
            <w:tcW w:w="65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-26 544 315</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-60 130 753</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-57 621 960</w:t>
            </w:r>
          </w:p>
        </w:tc>
      </w:tr>
      <w:tr>
        <w:tblPrEx>
          <w:tblW w:w="9021"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VÚC</w:t>
            </w:r>
          </w:p>
        </w:tc>
        <w:tc>
          <w:tcPr>
            <w:tcW w:w="65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-8 888 692</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-20 671 848</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-19 837 523</w:t>
            </w:r>
          </w:p>
        </w:tc>
      </w:tr>
      <w:tr>
        <w:tblPrEx>
          <w:tblW w:w="9021"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z toho vplyv na Sociálnu poisťovňu</w:t>
            </w:r>
          </w:p>
        </w:tc>
        <w:tc>
          <w:tcPr>
            <w:tcW w:w="65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55 064</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-6 050 110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-6 962 954</w:t>
            </w:r>
          </w:p>
        </w:tc>
      </w:tr>
      <w:tr>
        <w:tblPrEx>
          <w:tblW w:w="9021"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z toho vplyv na zdravotné poisťovne</w:t>
            </w:r>
          </w:p>
        </w:tc>
        <w:tc>
          <w:tcPr>
            <w:tcW w:w="65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42 828</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-2 869 953</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-3 279 112</w:t>
            </w:r>
          </w:p>
        </w:tc>
      </w:tr>
      <w:tr>
        <w:tblPrEx>
          <w:tblW w:w="9021"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financovanie zabezpečené v rozpočte</w:t>
            </w:r>
          </w:p>
        </w:tc>
        <w:tc>
          <w:tcPr>
            <w:tcW w:w="65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021"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ostatné zdroje financovania</w:t>
            </w:r>
          </w:p>
        </w:tc>
        <w:tc>
          <w:tcPr>
            <w:tcW w:w="65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021"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b/>
                <w:bCs/>
                <w:color w:val="000000"/>
              </w:rPr>
            </w:pPr>
            <w:r>
              <w:rPr>
                <w:rFonts w:ascii="Times New Roman" w:hAnsi="Times New Roman"/>
                <w:b/>
                <w:bCs/>
                <w:color w:val="000000"/>
              </w:rPr>
              <w:t>Rozpočtovo nekrytý vplyv / úspora *</w:t>
            </w:r>
          </w:p>
        </w:tc>
        <w:tc>
          <w:tcPr>
            <w:tcW w:w="65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-376 550 884</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-415 935 810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-445 234 328</w:t>
            </w:r>
          </w:p>
        </w:tc>
      </w:tr>
      <w:tr>
        <w:tblPrEx>
          <w:tblW w:w="9021" w:type="dxa"/>
          <w:tblInd w:w="65" w:type="dxa"/>
          <w:tblCellMar>
            <w:left w:w="70" w:type="dxa"/>
            <w:right w:w="70" w:type="dxa"/>
          </w:tblCellMar>
          <w:tblLook w:val="04A0"/>
        </w:tblPrEx>
        <w:trPr>
          <w:trHeight w:val="375"/>
        </w:trPr>
        <w:tc>
          <w:tcPr>
            <w:tcW w:w="4060" w:type="dxa"/>
            <w:tcBorders>
              <w:top w:val="nil"/>
              <w:left w:val="nil"/>
              <w:bottom w:val="nil"/>
              <w:right w:val="nil"/>
            </w:tcBorders>
            <w:noWrap/>
            <w:textDirection w:val="lrTb"/>
            <w:vAlign w:val="center"/>
            <w:hideMark/>
          </w:tcPr>
          <w:p w:rsidR="00B43540" w:rsidP="002D488F">
            <w:pPr>
              <w:bidi w:val="0"/>
              <w:rPr>
                <w:rFonts w:ascii="Times New Roman" w:hAnsi="Times New Roman"/>
                <w:color w:val="000000"/>
                <w:sz w:val="20"/>
                <w:szCs w:val="20"/>
              </w:rPr>
            </w:pPr>
            <w:r>
              <w:rPr>
                <w:rFonts w:ascii="Times New Roman" w:hAnsi="Times New Roman"/>
                <w:color w:val="000000"/>
                <w:sz w:val="20"/>
                <w:szCs w:val="20"/>
              </w:rPr>
              <w:t>* úspora má znamienko (-)</w:t>
            </w:r>
          </w:p>
        </w:tc>
        <w:tc>
          <w:tcPr>
            <w:tcW w:w="653" w:type="dxa"/>
            <w:tcBorders>
              <w:top w:val="nil"/>
              <w:left w:val="nil"/>
              <w:bottom w:val="nil"/>
              <w:right w:val="nil"/>
            </w:tcBorders>
            <w:noWrap/>
            <w:textDirection w:val="lrTb"/>
            <w:vAlign w:val="center"/>
            <w:hideMark/>
          </w:tcPr>
          <w:p w:rsidR="00B43540" w:rsidP="002D488F">
            <w:pPr>
              <w:bidi w:val="0"/>
              <w:rPr>
                <w:rFonts w:ascii="Times New Roman" w:hAnsi="Times New Roman"/>
                <w:color w:val="000000"/>
              </w:rPr>
            </w:pPr>
          </w:p>
        </w:tc>
        <w:tc>
          <w:tcPr>
            <w:tcW w:w="1436" w:type="dxa"/>
            <w:tcBorders>
              <w:top w:val="nil"/>
              <w:left w:val="nil"/>
              <w:bottom w:val="nil"/>
              <w:right w:val="nil"/>
            </w:tcBorders>
            <w:noWrap/>
            <w:textDirection w:val="lrTb"/>
            <w:vAlign w:val="center"/>
            <w:hideMark/>
          </w:tcPr>
          <w:p w:rsidR="00B43540" w:rsidP="002D488F">
            <w:pPr>
              <w:bidi w:val="0"/>
              <w:rPr>
                <w:rFonts w:ascii="Times New Roman" w:hAnsi="Times New Roman"/>
                <w:color w:val="000000"/>
              </w:rPr>
            </w:pPr>
          </w:p>
        </w:tc>
        <w:tc>
          <w:tcPr>
            <w:tcW w:w="1436" w:type="dxa"/>
            <w:tcBorders>
              <w:top w:val="nil"/>
              <w:left w:val="nil"/>
              <w:bottom w:val="nil"/>
              <w:right w:val="nil"/>
            </w:tcBorders>
            <w:noWrap/>
            <w:textDirection w:val="lrTb"/>
            <w:vAlign w:val="center"/>
            <w:hideMark/>
          </w:tcPr>
          <w:p w:rsidR="00B43540" w:rsidP="002D488F">
            <w:pPr>
              <w:bidi w:val="0"/>
              <w:rPr>
                <w:rFonts w:ascii="Times New Roman" w:hAnsi="Times New Roman"/>
                <w:color w:val="000000"/>
              </w:rPr>
            </w:pPr>
          </w:p>
        </w:tc>
        <w:tc>
          <w:tcPr>
            <w:tcW w:w="1436" w:type="dxa"/>
            <w:tcBorders>
              <w:top w:val="nil"/>
              <w:left w:val="nil"/>
              <w:bottom w:val="nil"/>
              <w:right w:val="nil"/>
            </w:tcBorders>
            <w:noWrap/>
            <w:textDirection w:val="lrTb"/>
            <w:vAlign w:val="center"/>
            <w:hideMark/>
          </w:tcPr>
          <w:p w:rsidR="00B43540" w:rsidP="002D488F">
            <w:pPr>
              <w:bidi w:val="0"/>
              <w:rPr>
                <w:rFonts w:ascii="Times New Roman" w:hAnsi="Times New Roman"/>
                <w:color w:val="000000"/>
              </w:rPr>
            </w:pPr>
          </w:p>
        </w:tc>
      </w:tr>
    </w:tbl>
    <w:p w:rsidR="00B43540" w:rsidP="00B43540">
      <w:pPr>
        <w:bidi w:val="0"/>
        <w:rPr>
          <w:rFonts w:ascii="Times New Roman" w:hAnsi="Times New Roman"/>
          <w:b/>
          <w:bCs/>
        </w:rPr>
      </w:pPr>
    </w:p>
    <w:tbl>
      <w:tblPr>
        <w:tblStyle w:val="TableNormal"/>
        <w:tblW w:w="9021" w:type="dxa"/>
        <w:tblInd w:w="65" w:type="dxa"/>
        <w:tblCellMar>
          <w:left w:w="70" w:type="dxa"/>
          <w:right w:w="70" w:type="dxa"/>
        </w:tblCellMar>
        <w:tblLook w:val="04A0"/>
      </w:tblPr>
      <w:tblGrid>
        <w:gridCol w:w="4060"/>
        <w:gridCol w:w="653"/>
        <w:gridCol w:w="1436"/>
        <w:gridCol w:w="1436"/>
        <w:gridCol w:w="1436"/>
      </w:tblGrid>
      <w:tr>
        <w:tblPrEx>
          <w:tblW w:w="9021" w:type="dxa"/>
          <w:tblInd w:w="65" w:type="dxa"/>
          <w:tblCellMar>
            <w:left w:w="70" w:type="dxa"/>
            <w:right w:w="70" w:type="dxa"/>
          </w:tblCellMar>
          <w:tblLook w:val="04A0"/>
        </w:tblPrEx>
        <w:trPr>
          <w:trHeight w:val="375"/>
        </w:trPr>
        <w:tc>
          <w:tcPr>
            <w:tcW w:w="4060" w:type="dxa"/>
            <w:vMerge w:val="restart"/>
            <w:tcBorders>
              <w:top w:val="single" w:sz="4" w:space="0" w:color="auto"/>
              <w:left w:val="single" w:sz="4" w:space="0" w:color="auto"/>
              <w:bottom w:val="single" w:sz="4" w:space="0" w:color="000000"/>
              <w:right w:val="single" w:sz="4" w:space="0" w:color="auto"/>
            </w:tcBorders>
            <w:shd w:val="clear" w:color="000000" w:fill="000000"/>
            <w:noWrap/>
            <w:textDirection w:val="lrTb"/>
            <w:vAlign w:val="center"/>
            <w:hideMark/>
          </w:tcPr>
          <w:p w:rsidR="00B43540" w:rsidP="002D488F">
            <w:pPr>
              <w:bidi w:val="0"/>
              <w:rPr>
                <w:rFonts w:ascii="Times New Roman" w:hAnsi="Times New Roman"/>
                <w:b/>
                <w:bCs/>
                <w:color w:val="FFFFFF"/>
                <w:u w:val="single"/>
              </w:rPr>
            </w:pPr>
            <w:r>
              <w:rPr>
                <w:rFonts w:ascii="Times New Roman" w:hAnsi="Times New Roman"/>
                <w:b/>
                <w:bCs/>
                <w:color w:val="FFFFFF"/>
                <w:u w:val="single"/>
              </w:rPr>
              <w:t>Financovanie (v eur)</w:t>
            </w:r>
          </w:p>
        </w:tc>
        <w:tc>
          <w:tcPr>
            <w:tcW w:w="4961" w:type="dxa"/>
            <w:gridSpan w:val="4"/>
            <w:tcBorders>
              <w:top w:val="single" w:sz="4" w:space="0" w:color="auto"/>
              <w:left w:val="nil"/>
              <w:bottom w:val="single" w:sz="4" w:space="0" w:color="auto"/>
              <w:right w:val="single" w:sz="4" w:space="0" w:color="auto"/>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Vplyv na rozpočet verejnej správy (cash)</w:t>
            </w:r>
          </w:p>
        </w:tc>
      </w:tr>
      <w:tr>
        <w:tblPrEx>
          <w:tblW w:w="9021" w:type="dxa"/>
          <w:tblInd w:w="65" w:type="dxa"/>
          <w:tblCellMar>
            <w:left w:w="70" w:type="dxa"/>
            <w:right w:w="70" w:type="dxa"/>
          </w:tblCellMar>
          <w:tblLook w:val="04A0"/>
        </w:tblPrEx>
        <w:trPr>
          <w:trHeight w:val="375"/>
        </w:trPr>
        <w:tc>
          <w:tcPr>
            <w:tcW w:w="4060" w:type="dxa"/>
            <w:vMerge/>
            <w:tcBorders>
              <w:top w:val="single" w:sz="4" w:space="0" w:color="auto"/>
              <w:left w:val="single" w:sz="4" w:space="0" w:color="auto"/>
              <w:bottom w:val="single" w:sz="4" w:space="0" w:color="000000"/>
              <w:right w:val="single" w:sz="4" w:space="0" w:color="auto"/>
            </w:tcBorders>
            <w:textDirection w:val="lrTb"/>
            <w:vAlign w:val="center"/>
            <w:hideMark/>
          </w:tcPr>
          <w:p w:rsidR="00B43540" w:rsidP="002D488F">
            <w:pPr>
              <w:bidi w:val="0"/>
              <w:rPr>
                <w:rFonts w:ascii="Times New Roman" w:hAnsi="Times New Roman"/>
                <w:b/>
                <w:bCs/>
                <w:color w:val="FFFFFF"/>
                <w:u w:val="single"/>
              </w:rPr>
            </w:pPr>
          </w:p>
        </w:tc>
        <w:tc>
          <w:tcPr>
            <w:tcW w:w="653" w:type="dxa"/>
            <w:tcBorders>
              <w:top w:val="nil"/>
              <w:left w:val="nil"/>
              <w:bottom w:val="single" w:sz="4" w:space="0" w:color="auto"/>
              <w:right w:val="single" w:sz="4" w:space="0" w:color="auto"/>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2012</w:t>
            </w:r>
          </w:p>
        </w:tc>
        <w:tc>
          <w:tcPr>
            <w:tcW w:w="1436" w:type="dxa"/>
            <w:tcBorders>
              <w:top w:val="nil"/>
              <w:left w:val="nil"/>
              <w:bottom w:val="single" w:sz="4" w:space="0" w:color="auto"/>
              <w:right w:val="single" w:sz="4" w:space="0" w:color="auto"/>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2013</w:t>
            </w:r>
          </w:p>
        </w:tc>
        <w:tc>
          <w:tcPr>
            <w:tcW w:w="1436" w:type="dxa"/>
            <w:tcBorders>
              <w:top w:val="nil"/>
              <w:left w:val="nil"/>
              <w:bottom w:val="single" w:sz="4" w:space="0" w:color="auto"/>
              <w:right w:val="single" w:sz="4" w:space="0" w:color="auto"/>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2014</w:t>
            </w:r>
          </w:p>
        </w:tc>
        <w:tc>
          <w:tcPr>
            <w:tcW w:w="1436" w:type="dxa"/>
            <w:tcBorders>
              <w:top w:val="nil"/>
              <w:left w:val="nil"/>
              <w:bottom w:val="single" w:sz="4" w:space="0" w:color="auto"/>
              <w:right w:val="single" w:sz="4" w:space="0" w:color="auto"/>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2015</w:t>
            </w:r>
          </w:p>
        </w:tc>
      </w:tr>
      <w:tr>
        <w:tblPrEx>
          <w:tblW w:w="9021"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textDirection w:val="lrTb"/>
            <w:vAlign w:val="center"/>
            <w:hideMark/>
          </w:tcPr>
          <w:p w:rsidR="00B43540" w:rsidP="002D488F">
            <w:pPr>
              <w:bidi w:val="0"/>
              <w:rPr>
                <w:rFonts w:ascii="Times New Roman" w:hAnsi="Times New Roman"/>
                <w:b/>
                <w:bCs/>
                <w:color w:val="000000"/>
              </w:rPr>
            </w:pPr>
            <w:r>
              <w:rPr>
                <w:rFonts w:ascii="Times New Roman" w:hAnsi="Times New Roman"/>
                <w:b/>
                <w:bCs/>
                <w:color w:val="000000"/>
              </w:rPr>
              <w:t>Celkový vplyv na rozpočet verejnej správy (- príjmy, + výdavky)</w:t>
            </w:r>
          </w:p>
        </w:tc>
        <w:tc>
          <w:tcPr>
            <w:tcW w:w="65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-313 011 509</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-420 636 723</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-450 842 552</w:t>
            </w:r>
          </w:p>
        </w:tc>
      </w:tr>
      <w:tr>
        <w:tblPrEx>
          <w:tblW w:w="9021"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z toho vplyv na ŠR</w:t>
            </w:r>
          </w:p>
        </w:tc>
        <w:tc>
          <w:tcPr>
            <w:tcW w:w="65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-277 676 394</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-332 356 323</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-364 064 764</w:t>
            </w:r>
          </w:p>
        </w:tc>
      </w:tr>
      <w:tr>
        <w:tblPrEx>
          <w:tblW w:w="9021"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 xml:space="preserve"> - Všeobecná pokladničná správa</w:t>
            </w:r>
          </w:p>
        </w:tc>
        <w:tc>
          <w:tcPr>
            <w:tcW w:w="65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-277 676 394</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-332 356 323</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-364 064 764</w:t>
            </w:r>
          </w:p>
        </w:tc>
      </w:tr>
      <w:tr>
        <w:tblPrEx>
          <w:tblW w:w="9021"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Obce</w:t>
            </w:r>
          </w:p>
        </w:tc>
        <w:tc>
          <w:tcPr>
            <w:tcW w:w="65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-26 544 315</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-59 582 428</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-57 009 837</w:t>
            </w:r>
          </w:p>
        </w:tc>
      </w:tr>
      <w:tr>
        <w:tblPrEx>
          <w:tblW w:w="9021"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VÚC</w:t>
            </w:r>
          </w:p>
        </w:tc>
        <w:tc>
          <w:tcPr>
            <w:tcW w:w="65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-8 888 692</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-20 488 235</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-19 632 546</w:t>
            </w:r>
          </w:p>
        </w:tc>
      </w:tr>
      <w:tr>
        <w:tblPrEx>
          <w:tblW w:w="9021"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z toho vplyv na Sociálnu poisťovňu</w:t>
            </w:r>
          </w:p>
        </w:tc>
        <w:tc>
          <w:tcPr>
            <w:tcW w:w="65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55 064</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-5 582 338</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-6 890 221</w:t>
            </w:r>
          </w:p>
        </w:tc>
      </w:tr>
      <w:tr>
        <w:tblPrEx>
          <w:tblW w:w="9021"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z toho vplyv na zdravotné poisťovne</w:t>
            </w:r>
          </w:p>
        </w:tc>
        <w:tc>
          <w:tcPr>
            <w:tcW w:w="65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42 828</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-2 627 399</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-3 245 185</w:t>
            </w:r>
          </w:p>
        </w:tc>
      </w:tr>
      <w:tr>
        <w:tblPrEx>
          <w:tblW w:w="9021"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financovanie zabezpečené v rozpočte</w:t>
            </w:r>
          </w:p>
        </w:tc>
        <w:tc>
          <w:tcPr>
            <w:tcW w:w="65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021"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rPr>
            </w:pPr>
            <w:r>
              <w:rPr>
                <w:rFonts w:ascii="Times New Roman" w:hAnsi="Times New Roman"/>
                <w:color w:val="000000"/>
              </w:rPr>
              <w:t>ostatné zdroje financovania</w:t>
            </w:r>
          </w:p>
        </w:tc>
        <w:tc>
          <w:tcPr>
            <w:tcW w:w="65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021" w:type="dxa"/>
          <w:tblInd w:w="65" w:type="dxa"/>
          <w:tblCellMar>
            <w:left w:w="70" w:type="dxa"/>
            <w:right w:w="70" w:type="dxa"/>
          </w:tblCellMar>
          <w:tblLook w:val="04A0"/>
        </w:tblPrEx>
        <w:trPr>
          <w:trHeight w:val="375"/>
        </w:trPr>
        <w:tc>
          <w:tcPr>
            <w:tcW w:w="4060"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rPr>
                <w:rFonts w:ascii="Times New Roman" w:hAnsi="Times New Roman"/>
                <w:b/>
                <w:bCs/>
                <w:color w:val="000000"/>
              </w:rPr>
            </w:pPr>
            <w:r>
              <w:rPr>
                <w:rFonts w:ascii="Times New Roman" w:hAnsi="Times New Roman"/>
                <w:b/>
                <w:bCs/>
                <w:color w:val="000000"/>
              </w:rPr>
              <w:t>Rozpočtovo nekrytý vplyv / úspora *</w:t>
            </w:r>
          </w:p>
        </w:tc>
        <w:tc>
          <w:tcPr>
            <w:tcW w:w="65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-313 011 509</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-420 636 723</w:t>
            </w:r>
          </w:p>
        </w:tc>
        <w:tc>
          <w:tcPr>
            <w:tcW w:w="143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-450 842 552</w:t>
            </w:r>
          </w:p>
        </w:tc>
      </w:tr>
      <w:tr>
        <w:tblPrEx>
          <w:tblW w:w="9021" w:type="dxa"/>
          <w:tblInd w:w="65" w:type="dxa"/>
          <w:tblCellMar>
            <w:left w:w="70" w:type="dxa"/>
            <w:right w:w="70" w:type="dxa"/>
          </w:tblCellMar>
          <w:tblLook w:val="04A0"/>
        </w:tblPrEx>
        <w:trPr>
          <w:trHeight w:val="375"/>
        </w:trPr>
        <w:tc>
          <w:tcPr>
            <w:tcW w:w="4060" w:type="dxa"/>
            <w:tcBorders>
              <w:top w:val="nil"/>
              <w:left w:val="nil"/>
              <w:bottom w:val="nil"/>
              <w:right w:val="nil"/>
            </w:tcBorders>
            <w:noWrap/>
            <w:textDirection w:val="lrTb"/>
            <w:vAlign w:val="center"/>
            <w:hideMark/>
          </w:tcPr>
          <w:p w:rsidR="00B43540" w:rsidP="002D488F">
            <w:pPr>
              <w:bidi w:val="0"/>
              <w:rPr>
                <w:rFonts w:ascii="Times New Roman" w:hAnsi="Times New Roman"/>
                <w:color w:val="000000"/>
                <w:sz w:val="20"/>
                <w:szCs w:val="20"/>
              </w:rPr>
            </w:pPr>
            <w:r>
              <w:rPr>
                <w:rFonts w:ascii="Times New Roman" w:hAnsi="Times New Roman"/>
                <w:color w:val="000000"/>
                <w:sz w:val="20"/>
                <w:szCs w:val="20"/>
              </w:rPr>
              <w:t>* úspora má znamienko (-)</w:t>
            </w:r>
          </w:p>
        </w:tc>
        <w:tc>
          <w:tcPr>
            <w:tcW w:w="653" w:type="dxa"/>
            <w:tcBorders>
              <w:top w:val="nil"/>
              <w:left w:val="nil"/>
              <w:bottom w:val="nil"/>
              <w:right w:val="nil"/>
            </w:tcBorders>
            <w:noWrap/>
            <w:textDirection w:val="lrTb"/>
            <w:vAlign w:val="center"/>
            <w:hideMark/>
          </w:tcPr>
          <w:p w:rsidR="00B43540" w:rsidP="002D488F">
            <w:pPr>
              <w:bidi w:val="0"/>
              <w:rPr>
                <w:rFonts w:ascii="Times New Roman" w:hAnsi="Times New Roman"/>
                <w:color w:val="000000"/>
              </w:rPr>
            </w:pPr>
          </w:p>
        </w:tc>
        <w:tc>
          <w:tcPr>
            <w:tcW w:w="1436" w:type="dxa"/>
            <w:tcBorders>
              <w:top w:val="nil"/>
              <w:left w:val="nil"/>
              <w:bottom w:val="nil"/>
              <w:right w:val="nil"/>
            </w:tcBorders>
            <w:noWrap/>
            <w:textDirection w:val="lrTb"/>
            <w:vAlign w:val="center"/>
            <w:hideMark/>
          </w:tcPr>
          <w:p w:rsidR="00B43540" w:rsidP="002D488F">
            <w:pPr>
              <w:bidi w:val="0"/>
              <w:rPr>
                <w:rFonts w:ascii="Times New Roman" w:hAnsi="Times New Roman"/>
                <w:color w:val="000000"/>
              </w:rPr>
            </w:pPr>
          </w:p>
        </w:tc>
        <w:tc>
          <w:tcPr>
            <w:tcW w:w="1436" w:type="dxa"/>
            <w:tcBorders>
              <w:top w:val="nil"/>
              <w:left w:val="nil"/>
              <w:bottom w:val="nil"/>
              <w:right w:val="nil"/>
            </w:tcBorders>
            <w:noWrap/>
            <w:textDirection w:val="lrTb"/>
            <w:vAlign w:val="center"/>
            <w:hideMark/>
          </w:tcPr>
          <w:p w:rsidR="00B43540" w:rsidP="002D488F">
            <w:pPr>
              <w:bidi w:val="0"/>
              <w:rPr>
                <w:rFonts w:ascii="Times New Roman" w:hAnsi="Times New Roman"/>
                <w:color w:val="000000"/>
              </w:rPr>
            </w:pPr>
          </w:p>
        </w:tc>
        <w:tc>
          <w:tcPr>
            <w:tcW w:w="1436" w:type="dxa"/>
            <w:tcBorders>
              <w:top w:val="nil"/>
              <w:left w:val="nil"/>
              <w:bottom w:val="nil"/>
              <w:right w:val="nil"/>
            </w:tcBorders>
            <w:noWrap/>
            <w:textDirection w:val="lrTb"/>
            <w:vAlign w:val="center"/>
            <w:hideMark/>
          </w:tcPr>
          <w:p w:rsidR="00B43540" w:rsidP="002D488F">
            <w:pPr>
              <w:bidi w:val="0"/>
              <w:rPr>
                <w:rFonts w:ascii="Times New Roman" w:hAnsi="Times New Roman"/>
                <w:color w:val="000000"/>
              </w:rPr>
            </w:pPr>
          </w:p>
        </w:tc>
      </w:tr>
    </w:tbl>
    <w:p w:rsidR="00B43540" w:rsidRPr="00323053" w:rsidP="00B43540">
      <w:pPr>
        <w:bidi w:val="0"/>
        <w:rPr>
          <w:rFonts w:ascii="Times New Roman" w:hAnsi="Times New Roman"/>
          <w:b/>
          <w:bCs/>
        </w:rPr>
      </w:pPr>
    </w:p>
    <w:p w:rsidR="00B43540" w:rsidRPr="00323053" w:rsidP="00B43540">
      <w:pPr>
        <w:bidi w:val="0"/>
        <w:rPr>
          <w:rFonts w:ascii="Times New Roman" w:hAnsi="Times New Roman"/>
        </w:rPr>
      </w:pPr>
      <w:r w:rsidRPr="00323053">
        <w:rPr>
          <w:rFonts w:ascii="Times New Roman" w:hAnsi="Times New Roman"/>
          <w:b/>
          <w:bCs/>
        </w:rPr>
        <w:t>Návrh na riešenie úbytku príjmov alebo zvýšených výdavkov podľa § 33 ods. 1 zákona č. 523/2004 Z. z. o rozpočtových pravidlách verejnej správy:</w:t>
      </w:r>
    </w:p>
    <w:p w:rsidR="00B43540" w:rsidRPr="00323053" w:rsidP="00B43540">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323053">
        <w:rPr>
          <w:rFonts w:ascii="Times New Roman" w:hAnsi="Times New Roman"/>
          <w:b/>
          <w:bCs/>
        </w:rPr>
        <w:t> </w:t>
      </w:r>
    </w:p>
    <w:p w:rsidR="00B43540" w:rsidRPr="00323053" w:rsidP="00B43540">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323053">
        <w:rPr>
          <w:rFonts w:ascii="Times New Roman" w:hAnsi="Times New Roman"/>
          <w:b/>
          <w:bCs/>
        </w:rPr>
        <w:t> </w:t>
      </w:r>
    </w:p>
    <w:p w:rsidR="00B43540" w:rsidRPr="00323053" w:rsidP="00B43540">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323053">
        <w:rPr>
          <w:rFonts w:ascii="Times New Roman" w:hAnsi="Times New Roman"/>
          <w:b/>
          <w:bCs/>
        </w:rPr>
        <w:t> </w:t>
      </w:r>
    </w:p>
    <w:p w:rsidR="00B43540" w:rsidRPr="00323053" w:rsidP="00B43540">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323053">
        <w:rPr>
          <w:rFonts w:ascii="Times New Roman" w:hAnsi="Times New Roman"/>
          <w:b/>
          <w:bCs/>
        </w:rPr>
        <w:t> </w:t>
      </w:r>
    </w:p>
    <w:p w:rsidR="00B43540" w:rsidRPr="00323053" w:rsidP="00B43540">
      <w:pPr>
        <w:bidi w:val="0"/>
        <w:rPr>
          <w:rFonts w:ascii="Times New Roman" w:hAnsi="Times New Roman"/>
          <w:b/>
          <w:bCs/>
        </w:rPr>
      </w:pPr>
    </w:p>
    <w:p w:rsidR="00B43540" w:rsidRPr="00323053" w:rsidP="00B43540">
      <w:pPr>
        <w:bidi w:val="0"/>
        <w:rPr>
          <w:rFonts w:ascii="Times New Roman" w:hAnsi="Times New Roman"/>
        </w:rPr>
      </w:pPr>
      <w:r w:rsidRPr="00323053">
        <w:rPr>
          <w:rFonts w:ascii="Times New Roman" w:hAnsi="Times New Roman"/>
          <w:b/>
          <w:bCs/>
        </w:rPr>
        <w:t>2.3. Popis a charakteristika návrhu</w:t>
      </w:r>
    </w:p>
    <w:p w:rsidR="00B43540" w:rsidRPr="00323053" w:rsidP="00B43540">
      <w:pPr>
        <w:bidi w:val="0"/>
        <w:rPr>
          <w:rFonts w:ascii="Times New Roman" w:hAnsi="Times New Roman"/>
        </w:rPr>
      </w:pPr>
      <w:r w:rsidRPr="00323053">
        <w:rPr>
          <w:rFonts w:ascii="Times New Roman" w:hAnsi="Times New Roman"/>
        </w:rPr>
        <w:t> </w:t>
      </w:r>
    </w:p>
    <w:p w:rsidR="00B43540" w:rsidRPr="00323053" w:rsidP="00B43540">
      <w:pPr>
        <w:bidi w:val="0"/>
        <w:jc w:val="both"/>
        <w:rPr>
          <w:rFonts w:ascii="Times New Roman" w:hAnsi="Times New Roman"/>
        </w:rPr>
      </w:pPr>
      <w:r w:rsidRPr="00323053">
        <w:rPr>
          <w:rFonts w:ascii="Times New Roman" w:hAnsi="Times New Roman"/>
          <w:b/>
          <w:bCs/>
        </w:rPr>
        <w:t>2.3.1. Popis návrhu:</w:t>
      </w:r>
    </w:p>
    <w:p w:rsidR="00B43540" w:rsidRPr="00323053" w:rsidP="00B43540">
      <w:pPr>
        <w:bidi w:val="0"/>
        <w:jc w:val="both"/>
        <w:rPr>
          <w:rFonts w:ascii="Times New Roman" w:hAnsi="Times New Roman"/>
          <w:b/>
          <w:bCs/>
        </w:rPr>
      </w:pPr>
    </w:p>
    <w:p w:rsidR="00B43540" w:rsidP="00B43540">
      <w:pPr>
        <w:bidi w:val="0"/>
        <w:jc w:val="both"/>
        <w:rPr>
          <w:rFonts w:ascii="Times New Roman" w:hAnsi="Times New Roman"/>
          <w:b/>
          <w:bCs/>
        </w:rPr>
      </w:pPr>
      <w:r w:rsidRPr="00323053">
        <w:rPr>
          <w:rFonts w:ascii="Times New Roman" w:hAnsi="Times New Roman"/>
          <w:b/>
          <w:bCs/>
        </w:rPr>
        <w:t>Návrh zákona, ktorým sa mení a dopĺňa zákon č. 595/2003 Z. z. o dani z príjmov v znení neskorších predpisov</w:t>
      </w:r>
      <w:r>
        <w:rPr>
          <w:rFonts w:ascii="Times New Roman" w:hAnsi="Times New Roman"/>
          <w:b/>
          <w:bCs/>
        </w:rPr>
        <w:t>.</w:t>
      </w:r>
    </w:p>
    <w:p w:rsidR="00B43540" w:rsidP="00B43540">
      <w:pPr>
        <w:bidi w:val="0"/>
        <w:jc w:val="both"/>
        <w:rPr>
          <w:rFonts w:ascii="Times New Roman" w:hAnsi="Times New Roman"/>
          <w:b/>
          <w:bCs/>
        </w:rPr>
      </w:pPr>
    </w:p>
    <w:p w:rsidR="00B43540" w:rsidRPr="00277A69" w:rsidP="00B43540">
      <w:pPr>
        <w:numPr>
          <w:numId w:val="1"/>
        </w:numPr>
        <w:bidi w:val="0"/>
        <w:jc w:val="both"/>
        <w:rPr>
          <w:rStyle w:val="PlaceholderText"/>
          <w:color w:val="000000"/>
        </w:rPr>
      </w:pPr>
      <w:r w:rsidRPr="00277A69">
        <w:rPr>
          <w:rStyle w:val="PlaceholderText"/>
          <w:color w:val="000000"/>
        </w:rPr>
        <w:t xml:space="preserve">Zavedenie možnosti uplatnenia </w:t>
      </w:r>
      <w:r w:rsidRPr="00277A69">
        <w:rPr>
          <w:rStyle w:val="PlaceholderText"/>
          <w:b/>
          <w:color w:val="000000"/>
        </w:rPr>
        <w:t>paušálnych výdavkov v maximálnej výške 5 040 eur</w:t>
      </w:r>
      <w:r w:rsidRPr="00277A69">
        <w:rPr>
          <w:rStyle w:val="PlaceholderText"/>
          <w:color w:val="000000"/>
        </w:rPr>
        <w:t xml:space="preserve"> </w:t>
      </w:r>
      <w:r w:rsidRPr="00277A69">
        <w:rPr>
          <w:rStyle w:val="PlaceholderText"/>
          <w:b/>
          <w:color w:val="000000"/>
        </w:rPr>
        <w:t>ročne, resp. 420 eur mesačne</w:t>
      </w:r>
      <w:r>
        <w:rPr>
          <w:rStyle w:val="PlaceholderText"/>
          <w:color w:val="000000"/>
        </w:rPr>
        <w:t xml:space="preserve"> a zrušenie možnosti uplatňovania paušálnych výdavkov pri príjmoch z prenájmu</w:t>
      </w:r>
    </w:p>
    <w:p w:rsidR="00B43540" w:rsidRPr="00277A69" w:rsidP="00B43540">
      <w:pPr>
        <w:numPr>
          <w:numId w:val="1"/>
        </w:numPr>
        <w:bidi w:val="0"/>
        <w:jc w:val="both"/>
        <w:rPr>
          <w:rStyle w:val="PlaceholderText"/>
          <w:color w:val="000000"/>
        </w:rPr>
      </w:pPr>
      <w:r w:rsidRPr="00277A69">
        <w:rPr>
          <w:rStyle w:val="PlaceholderText"/>
          <w:b/>
          <w:color w:val="000000"/>
        </w:rPr>
        <w:t>Uplatnenie nezdaniteľnej časti základu dane na manželku (manžela)</w:t>
      </w:r>
      <w:r w:rsidRPr="00277A69">
        <w:rPr>
          <w:rStyle w:val="PlaceholderText"/>
          <w:color w:val="000000"/>
        </w:rPr>
        <w:t>, ktorá žije s daňovníkom v spoločnej domácnosti a stará sa o maloleté dieťa tiež žijúce s daňovníkom v</w:t>
      </w:r>
      <w:r>
        <w:rPr>
          <w:rStyle w:val="PlaceholderText"/>
          <w:color w:val="000000"/>
        </w:rPr>
        <w:t xml:space="preserve"> spoločnej </w:t>
      </w:r>
      <w:r w:rsidRPr="00277A69">
        <w:rPr>
          <w:rStyle w:val="PlaceholderText"/>
          <w:color w:val="000000"/>
        </w:rPr>
        <w:t>domácnosti do zániku nároku na rodičovský príspevok na dieťa, alebo ktorá poberala v zdaňovacom období príspevok na opatrovanie, alebo ktorá bola evidovaná na úrade práce,</w:t>
      </w:r>
    </w:p>
    <w:p w:rsidR="00B43540" w:rsidRPr="00277A69" w:rsidP="00B43540">
      <w:pPr>
        <w:numPr>
          <w:numId w:val="1"/>
        </w:numPr>
        <w:bidi w:val="0"/>
        <w:jc w:val="both"/>
        <w:rPr>
          <w:rStyle w:val="PlaceholderText"/>
          <w:color w:val="000000"/>
        </w:rPr>
      </w:pPr>
      <w:r w:rsidRPr="00277A69">
        <w:rPr>
          <w:rStyle w:val="PlaceholderText"/>
          <w:b/>
          <w:color w:val="000000"/>
        </w:rPr>
        <w:t>Zavedenie možnosti uplatnenia daňového bonusu</w:t>
      </w:r>
      <w:r w:rsidRPr="00277A69">
        <w:rPr>
          <w:rFonts w:ascii="Times New Roman" w:hAnsi="Times New Roman"/>
          <w:b/>
        </w:rPr>
        <w:t xml:space="preserve"> len za podmienky,  že daňovník dosahuje zákonom ustanovenú minimálnu výšku len z tzv. „aktívnych príjmov“</w:t>
      </w:r>
      <w:r w:rsidRPr="00277A69">
        <w:rPr>
          <w:rFonts w:ascii="Times New Roman" w:hAnsi="Times New Roman"/>
        </w:rPr>
        <w:t xml:space="preserve">, t. j. </w:t>
      </w:r>
      <w:r>
        <w:rPr>
          <w:rFonts w:ascii="Times New Roman" w:hAnsi="Times New Roman"/>
        </w:rPr>
        <w:t xml:space="preserve">z </w:t>
      </w:r>
      <w:r w:rsidRPr="00277A69">
        <w:rPr>
          <w:rFonts w:ascii="Times New Roman" w:hAnsi="Times New Roman"/>
        </w:rPr>
        <w:t>príjmov zo závislej činnosti podľa § 5 zákona o dani z príjmov a príjmov z podnikania a z inej samostatnej zárobkovej činnosti podľa § 6 ods. 1 a 2 zákona o dani z príjmov</w:t>
      </w:r>
    </w:p>
    <w:p w:rsidR="00B43540" w:rsidRPr="00277A69" w:rsidP="00B43540">
      <w:pPr>
        <w:numPr>
          <w:numId w:val="1"/>
        </w:numPr>
        <w:bidi w:val="0"/>
        <w:jc w:val="both"/>
        <w:rPr>
          <w:rStyle w:val="PlaceholderText"/>
          <w:color w:val="000000"/>
        </w:rPr>
      </w:pPr>
      <w:r w:rsidRPr="00277A69">
        <w:rPr>
          <w:rStyle w:val="PlaceholderText"/>
          <w:b/>
          <w:color w:val="000000"/>
        </w:rPr>
        <w:t>Zavedenie progresívneho zdaňovania príjmov fyzických osôb</w:t>
      </w:r>
      <w:r w:rsidRPr="00277A69">
        <w:rPr>
          <w:rStyle w:val="PlaceholderText"/>
          <w:color w:val="000000"/>
        </w:rPr>
        <w:t xml:space="preserve"> s dvomi sadzbami dane, pričom vyššia z týchto sadzieb bude uplatňovaná pre fyzické osoby s nadštandardnými príjmami,</w:t>
      </w:r>
    </w:p>
    <w:p w:rsidR="00B43540" w:rsidRPr="00277A69" w:rsidP="00B43540">
      <w:pPr>
        <w:numPr>
          <w:numId w:val="1"/>
        </w:numPr>
        <w:bidi w:val="0"/>
        <w:jc w:val="both"/>
        <w:rPr>
          <w:rStyle w:val="PlaceholderText"/>
          <w:color w:val="000000"/>
        </w:rPr>
      </w:pPr>
      <w:r w:rsidRPr="00277A69">
        <w:rPr>
          <w:rStyle w:val="PlaceholderText"/>
          <w:b/>
          <w:color w:val="000000"/>
        </w:rPr>
        <w:t>Zavedenie osobitnej sadzby dane vo výške 5 % pre vybraných ústavných činiteľov</w:t>
      </w:r>
      <w:r w:rsidRPr="00277A69">
        <w:rPr>
          <w:rStyle w:val="PlaceholderText"/>
          <w:color w:val="000000"/>
        </w:rPr>
        <w:t xml:space="preserve"> (poslanci, prezident, členovia vlády, predseda a podpredseda NKÚ), </w:t>
      </w:r>
    </w:p>
    <w:p w:rsidR="00B43540" w:rsidP="00B43540">
      <w:pPr>
        <w:numPr>
          <w:numId w:val="1"/>
        </w:numPr>
        <w:bidi w:val="0"/>
        <w:jc w:val="both"/>
        <w:rPr>
          <w:rStyle w:val="PlaceholderText"/>
          <w:color w:val="000000"/>
        </w:rPr>
      </w:pPr>
      <w:r w:rsidRPr="00277A69">
        <w:rPr>
          <w:rStyle w:val="PlaceholderText"/>
          <w:b/>
          <w:color w:val="000000"/>
        </w:rPr>
        <w:t>Zvýšenie sadzby dane pre právnické osoby</w:t>
      </w:r>
      <w:r>
        <w:rPr>
          <w:rStyle w:val="PlaceholderText"/>
          <w:color w:val="000000"/>
        </w:rPr>
        <w:t>,</w:t>
      </w:r>
    </w:p>
    <w:p w:rsidR="00B43540" w:rsidRPr="00F6324F" w:rsidP="00B43540">
      <w:pPr>
        <w:numPr>
          <w:numId w:val="1"/>
        </w:numPr>
        <w:bidi w:val="0"/>
        <w:jc w:val="both"/>
        <w:rPr>
          <w:rStyle w:val="PlaceholderText"/>
          <w:color w:val="000000"/>
        </w:rPr>
      </w:pPr>
      <w:r>
        <w:rPr>
          <w:rStyle w:val="PlaceholderText"/>
          <w:b/>
          <w:color w:val="000000"/>
        </w:rPr>
        <w:t xml:space="preserve">Oslobodenie príjmov z baníckych deputátov </w:t>
      </w:r>
      <w:r w:rsidRPr="002A4E6D">
        <w:rPr>
          <w:rStyle w:val="PlaceholderText"/>
          <w:color w:val="000000"/>
        </w:rPr>
        <w:t>od dane z</w:t>
      </w:r>
      <w:r>
        <w:rPr>
          <w:rStyle w:val="PlaceholderText"/>
          <w:color w:val="000000"/>
        </w:rPr>
        <w:t> </w:t>
      </w:r>
      <w:r w:rsidRPr="002A4E6D">
        <w:rPr>
          <w:rStyle w:val="PlaceholderText"/>
          <w:color w:val="000000"/>
        </w:rPr>
        <w:t>príjmov</w:t>
      </w:r>
      <w:r>
        <w:rPr>
          <w:rStyle w:val="PlaceholderText"/>
          <w:color w:val="000000"/>
        </w:rPr>
        <w:t xml:space="preserve"> a tým aj platenia sociálnych a zdravotných odvodov, </w:t>
      </w:r>
      <w:r w:rsidR="00393D31">
        <w:rPr>
          <w:rStyle w:val="PlaceholderText"/>
          <w:color w:val="000000"/>
        </w:rPr>
        <w:t>úprava  štruktúry príjmov zo závislej činnosti tak, aby</w:t>
      </w:r>
      <w:r>
        <w:rPr>
          <w:rStyle w:val="PlaceholderText"/>
          <w:color w:val="000000"/>
        </w:rPr>
        <w:t xml:space="preserve"> nepeňažn</w:t>
      </w:r>
      <w:r w:rsidR="00393D31">
        <w:rPr>
          <w:rStyle w:val="PlaceholderText"/>
          <w:color w:val="000000"/>
        </w:rPr>
        <w:t>é</w:t>
      </w:r>
      <w:r>
        <w:rPr>
          <w:rStyle w:val="PlaceholderText"/>
          <w:color w:val="000000"/>
        </w:rPr>
        <w:t xml:space="preserve"> príjm</w:t>
      </w:r>
      <w:r w:rsidR="00393D31">
        <w:rPr>
          <w:rStyle w:val="PlaceholderText"/>
          <w:color w:val="000000"/>
        </w:rPr>
        <w:t>y</w:t>
      </w:r>
      <w:r>
        <w:rPr>
          <w:rStyle w:val="PlaceholderText"/>
          <w:color w:val="000000"/>
        </w:rPr>
        <w:t xml:space="preserve"> </w:t>
      </w:r>
      <w:r w:rsidR="00393D31">
        <w:rPr>
          <w:rStyle w:val="PlaceholderText"/>
          <w:color w:val="000000"/>
        </w:rPr>
        <w:t>poskytnuté od</w:t>
      </w:r>
      <w:r>
        <w:rPr>
          <w:rStyle w:val="PlaceholderText"/>
          <w:color w:val="000000"/>
        </w:rPr>
        <w:t xml:space="preserve"> zamestnávateľa po skončení pracovného pomeru</w:t>
      </w:r>
      <w:r w:rsidR="00393D31">
        <w:rPr>
          <w:rStyle w:val="PlaceholderText"/>
          <w:color w:val="000000"/>
        </w:rPr>
        <w:t xml:space="preserve"> bývalým zamestnancom, </w:t>
      </w:r>
      <w:r>
        <w:rPr>
          <w:rStyle w:val="PlaceholderText"/>
          <w:color w:val="000000"/>
        </w:rPr>
        <w:t>poberateľom dôchodkov a</w:t>
      </w:r>
      <w:r w:rsidR="00393D31">
        <w:rPr>
          <w:rStyle w:val="PlaceholderText"/>
          <w:color w:val="000000"/>
        </w:rPr>
        <w:t>ko aj</w:t>
      </w:r>
      <w:r>
        <w:rPr>
          <w:rStyle w:val="PlaceholderText"/>
          <w:color w:val="000000"/>
        </w:rPr>
        <w:t> odmen</w:t>
      </w:r>
      <w:r w:rsidR="00393D31">
        <w:rPr>
          <w:rStyle w:val="PlaceholderText"/>
          <w:color w:val="000000"/>
        </w:rPr>
        <w:t>y</w:t>
      </w:r>
      <w:r>
        <w:rPr>
          <w:rStyle w:val="PlaceholderText"/>
          <w:color w:val="000000"/>
        </w:rPr>
        <w:t xml:space="preserve"> členov volebných a okrskových komisií pri voľbách a referende </w:t>
      </w:r>
      <w:r w:rsidR="00393D31">
        <w:rPr>
          <w:rStyle w:val="PlaceholderText"/>
          <w:color w:val="000000"/>
        </w:rPr>
        <w:t>nevstupovali do vymeriavacieho základu na sociálne poistenie,</w:t>
      </w:r>
    </w:p>
    <w:p w:rsidR="00B43540" w:rsidRPr="00277A69" w:rsidP="00B43540">
      <w:pPr>
        <w:numPr>
          <w:numId w:val="1"/>
        </w:numPr>
        <w:bidi w:val="0"/>
        <w:jc w:val="both"/>
        <w:rPr>
          <w:rStyle w:val="PlaceholderText"/>
          <w:color w:val="000000"/>
        </w:rPr>
      </w:pPr>
      <w:r>
        <w:rPr>
          <w:rStyle w:val="PlaceholderText"/>
          <w:b/>
          <w:color w:val="000000"/>
        </w:rPr>
        <w:t xml:space="preserve">Zdanenie podielov na zisku (dividend) vyplácaných z nerozdeleného zisku z pred roku 2004 </w:t>
      </w:r>
      <w:r w:rsidRPr="002A4E6D">
        <w:rPr>
          <w:rStyle w:val="PlaceholderText"/>
          <w:color w:val="000000"/>
        </w:rPr>
        <w:t>sadzbou dane vo výške 15%</w:t>
      </w:r>
    </w:p>
    <w:p w:rsidR="00B43540" w:rsidRPr="00986C44" w:rsidP="00B43540">
      <w:pPr>
        <w:pStyle w:val="ListParagraph"/>
        <w:tabs>
          <w:tab w:val="left" w:pos="2040"/>
        </w:tabs>
        <w:bidi w:val="0"/>
        <w:ind w:left="786"/>
        <w:jc w:val="both"/>
        <w:rPr>
          <w:b/>
        </w:rPr>
      </w:pPr>
      <w:r>
        <w:rPr>
          <w:b/>
        </w:rPr>
        <w:tab/>
      </w:r>
    </w:p>
    <w:p w:rsidR="00B43540" w:rsidRPr="00323053" w:rsidP="00B43540">
      <w:pPr>
        <w:bidi w:val="0"/>
        <w:jc w:val="both"/>
        <w:rPr>
          <w:rFonts w:ascii="Times New Roman" w:hAnsi="Times New Roman"/>
        </w:rPr>
      </w:pPr>
      <w:r w:rsidRPr="00323053">
        <w:rPr>
          <w:rFonts w:ascii="Times New Roman" w:hAnsi="Times New Roman"/>
        </w:rPr>
        <w:t>Legislatívne zmeny bude implementovať Ministerstvo financií SR a</w:t>
      </w:r>
      <w:r>
        <w:rPr>
          <w:rFonts w:ascii="Times New Roman" w:hAnsi="Times New Roman"/>
        </w:rPr>
        <w:t> Finančné riaditeľstvo SR</w:t>
      </w:r>
    </w:p>
    <w:p w:rsidR="00B43540" w:rsidRPr="00323053" w:rsidP="00B43540">
      <w:pPr>
        <w:bidi w:val="0"/>
        <w:rPr>
          <w:rFonts w:ascii="Times New Roman" w:hAnsi="Times New Roman"/>
        </w:rPr>
      </w:pPr>
      <w:r w:rsidRPr="00323053">
        <w:rPr>
          <w:rFonts w:ascii="Times New Roman" w:hAnsi="Times New Roman"/>
          <w:b/>
          <w:bCs/>
        </w:rPr>
        <w:t>2.3.2. Charakteristika návrhu podľa bodu  2.3.2. Metodiky :</w:t>
      </w:r>
    </w:p>
    <w:p w:rsidR="00B43540" w:rsidRPr="00323053" w:rsidP="00B43540">
      <w:pPr>
        <w:bidi w:val="0"/>
        <w:rPr>
          <w:rFonts w:ascii="Times New Roman" w:hAnsi="Times New Roman"/>
        </w:rPr>
      </w:pPr>
      <w:r w:rsidRPr="00323053">
        <w:rPr>
          <w:rFonts w:ascii="Times New Roman" w:hAnsi="Times New Roman"/>
        </w:rPr>
        <w:t> </w:t>
      </w:r>
    </w:p>
    <w:p w:rsidR="00B43540" w:rsidRPr="00323053" w:rsidP="00B43540">
      <w:pPr>
        <w:bidi w:val="0"/>
        <w:rPr>
          <w:rFonts w:ascii="Times New Roman" w:hAnsi="Times New Roman"/>
        </w:rPr>
      </w:pPr>
      <w:r w:rsidRPr="00323053">
        <w:rPr>
          <w:rFonts w:ascii="Times New Roman" w:hAnsi="Times New Roman"/>
          <w:b/>
          <w:bCs/>
          <w:bdr w:val="single" w:sz="4" w:space="0" w:color="000000" w:frame="1"/>
        </w:rPr>
        <w:t> </w:t>
      </w:r>
      <w:r w:rsidRPr="005E182D">
        <w:rPr>
          <w:rFonts w:ascii="Times New Roman" w:hAnsi="Times New Roman"/>
          <w:bCs/>
          <w:bdr w:val="single" w:sz="4" w:space="0" w:color="000000" w:frame="1"/>
        </w:rPr>
        <w:t>x</w:t>
      </w:r>
      <w:r w:rsidRPr="00323053">
        <w:rPr>
          <w:rFonts w:ascii="Times New Roman" w:hAnsi="Times New Roman"/>
          <w:b/>
          <w:bCs/>
          <w:bdr w:val="single" w:sz="4" w:space="0" w:color="000000" w:frame="1"/>
        </w:rPr>
        <w:t xml:space="preserve">  </w:t>
      </w:r>
      <w:r w:rsidRPr="00323053">
        <w:rPr>
          <w:rFonts w:ascii="Times New Roman" w:hAnsi="Times New Roman"/>
          <w:b/>
          <w:bCs/>
        </w:rPr>
        <w:t xml:space="preserve">  </w:t>
      </w:r>
      <w:r w:rsidRPr="00323053">
        <w:rPr>
          <w:rFonts w:ascii="Times New Roman" w:hAnsi="Times New Roman"/>
        </w:rPr>
        <w:t>zmena sadzby</w:t>
      </w:r>
    </w:p>
    <w:p w:rsidR="00B43540" w:rsidRPr="00323053" w:rsidP="00B43540">
      <w:pPr>
        <w:bidi w:val="0"/>
        <w:rPr>
          <w:rFonts w:ascii="Times New Roman" w:hAnsi="Times New Roman"/>
        </w:rPr>
      </w:pPr>
      <w:r w:rsidRPr="00323053">
        <w:rPr>
          <w:rFonts w:ascii="Times New Roman" w:hAnsi="Times New Roman"/>
          <w:bdr w:val="single" w:sz="4" w:space="0" w:color="000000" w:frame="1"/>
        </w:rPr>
        <w:t xml:space="preserve">     </w:t>
      </w:r>
      <w:r w:rsidRPr="00323053">
        <w:rPr>
          <w:rFonts w:ascii="Times New Roman" w:hAnsi="Times New Roman"/>
        </w:rPr>
        <w:t>  zmena v nároku</w:t>
      </w:r>
    </w:p>
    <w:p w:rsidR="00B43540" w:rsidRPr="00323053" w:rsidP="00B43540">
      <w:pPr>
        <w:bidi w:val="0"/>
        <w:rPr>
          <w:rFonts w:ascii="Times New Roman" w:hAnsi="Times New Roman"/>
        </w:rPr>
      </w:pPr>
      <w:r w:rsidRPr="00323053">
        <w:rPr>
          <w:rFonts w:ascii="Times New Roman" w:hAnsi="Times New Roman"/>
          <w:bdr w:val="single" w:sz="4" w:space="0" w:color="000000" w:frame="1"/>
        </w:rPr>
        <w:t xml:space="preserve">     </w:t>
      </w:r>
      <w:r w:rsidRPr="00323053">
        <w:rPr>
          <w:rFonts w:ascii="Times New Roman" w:hAnsi="Times New Roman"/>
        </w:rPr>
        <w:t>  nová služba alebo nariadenie (alebo ich zrušenie)</w:t>
      </w:r>
    </w:p>
    <w:p w:rsidR="00B43540" w:rsidRPr="00323053" w:rsidP="00B43540">
      <w:pPr>
        <w:bidi w:val="0"/>
        <w:rPr>
          <w:rFonts w:ascii="Times New Roman" w:hAnsi="Times New Roman"/>
        </w:rPr>
      </w:pPr>
      <w:r w:rsidRPr="00323053">
        <w:rPr>
          <w:rFonts w:ascii="Times New Roman" w:hAnsi="Times New Roman"/>
          <w:bdr w:val="single" w:sz="4" w:space="0" w:color="000000" w:frame="1"/>
        </w:rPr>
        <w:t>     </w:t>
      </w:r>
      <w:r w:rsidRPr="00323053">
        <w:rPr>
          <w:rFonts w:ascii="Times New Roman" w:hAnsi="Times New Roman"/>
        </w:rPr>
        <w:t>  kombinovaný návrh</w:t>
      </w:r>
    </w:p>
    <w:p w:rsidR="00B43540" w:rsidRPr="00323053" w:rsidP="00B43540">
      <w:pPr>
        <w:bidi w:val="0"/>
        <w:rPr>
          <w:rFonts w:ascii="Times New Roman" w:hAnsi="Times New Roman"/>
        </w:rPr>
      </w:pPr>
      <w:r w:rsidRPr="00323053">
        <w:rPr>
          <w:rFonts w:ascii="Times New Roman" w:hAnsi="Times New Roman"/>
          <w:bdr w:val="single" w:sz="4" w:space="0" w:color="000000" w:frame="1"/>
        </w:rPr>
        <w:t xml:space="preserve"> x  </w:t>
      </w:r>
      <w:r w:rsidRPr="00323053">
        <w:rPr>
          <w:rFonts w:ascii="Times New Roman" w:hAnsi="Times New Roman"/>
        </w:rPr>
        <w:t>  iné (rozšírenie základne pre výpočet dane z príjmov)</w:t>
      </w:r>
    </w:p>
    <w:p w:rsidR="00B43540" w:rsidP="00B43540">
      <w:pPr>
        <w:bidi w:val="0"/>
        <w:rPr>
          <w:rFonts w:ascii="Times New Roman" w:hAnsi="Times New Roman"/>
        </w:rPr>
      </w:pPr>
      <w:r w:rsidRPr="00323053">
        <w:rPr>
          <w:rFonts w:ascii="Times New Roman" w:hAnsi="Times New Roman"/>
        </w:rPr>
        <w:t>  </w:t>
      </w:r>
    </w:p>
    <w:p w:rsidR="002D488F" w:rsidRPr="00323053" w:rsidP="00B43540">
      <w:pPr>
        <w:bidi w:val="0"/>
        <w:rPr>
          <w:rFonts w:ascii="Times New Roman" w:hAnsi="Times New Roman"/>
        </w:rPr>
      </w:pPr>
    </w:p>
    <w:p w:rsidR="00B43540" w:rsidRPr="00323053" w:rsidP="00B43540">
      <w:pPr>
        <w:bidi w:val="0"/>
        <w:rPr>
          <w:rFonts w:ascii="Times New Roman" w:hAnsi="Times New Roman"/>
        </w:rPr>
      </w:pPr>
      <w:r w:rsidRPr="00323053">
        <w:rPr>
          <w:rFonts w:ascii="Times New Roman" w:hAnsi="Times New Roman"/>
          <w:b/>
          <w:bCs/>
        </w:rPr>
        <w:t>2.3.3. Predpoklady vývoja objemu aktivít:</w:t>
      </w:r>
    </w:p>
    <w:p w:rsidR="00B43540" w:rsidP="00B43540">
      <w:pPr>
        <w:bidi w:val="0"/>
        <w:rPr>
          <w:rFonts w:ascii="Times New Roman" w:hAnsi="Times New Roman"/>
        </w:rPr>
      </w:pPr>
      <w:r w:rsidRPr="00323053">
        <w:rPr>
          <w:rFonts w:ascii="Times New Roman" w:hAnsi="Times New Roman"/>
        </w:rPr>
        <w:t> </w:t>
      </w:r>
      <w:r>
        <w:rPr>
          <w:rFonts w:ascii="Times New Roman" w:hAnsi="Times New Roman"/>
        </w:rPr>
        <w:t>-</w:t>
      </w:r>
    </w:p>
    <w:p w:rsidR="00B43540" w:rsidP="00B43540">
      <w:pPr>
        <w:bidi w:val="0"/>
        <w:rPr>
          <w:rFonts w:ascii="Times New Roman" w:hAnsi="Times New Roman"/>
        </w:rPr>
      </w:pPr>
    </w:p>
    <w:p w:rsidR="002D488F" w:rsidRPr="00323053" w:rsidP="00B43540">
      <w:pPr>
        <w:bidi w:val="0"/>
        <w:rPr>
          <w:rFonts w:ascii="Times New Roman" w:hAnsi="Times New Roman"/>
        </w:rPr>
      </w:pPr>
    </w:p>
    <w:p w:rsidR="00B43540" w:rsidRPr="00323053" w:rsidP="00B43540">
      <w:pPr>
        <w:bidi w:val="0"/>
        <w:rPr>
          <w:rFonts w:ascii="Times New Roman" w:hAnsi="Times New Roman"/>
          <w:b/>
          <w:bCs/>
        </w:rPr>
      </w:pPr>
      <w:r w:rsidRPr="00323053">
        <w:rPr>
          <w:rFonts w:ascii="Times New Roman" w:hAnsi="Times New Roman"/>
          <w:b/>
          <w:bCs/>
        </w:rPr>
        <w:t>2.3.4. Výpočty vplyvov na verejné financie</w:t>
      </w:r>
    </w:p>
    <w:p w:rsidR="00B43540" w:rsidRPr="00323053" w:rsidP="00B43540">
      <w:pPr>
        <w:autoSpaceDE w:val="0"/>
        <w:autoSpaceDN w:val="0"/>
        <w:bidi w:val="0"/>
        <w:adjustRightInd w:val="0"/>
        <w:jc w:val="both"/>
        <w:rPr>
          <w:rFonts w:ascii="Times New Roman" w:hAnsi="Times New Roman"/>
        </w:rPr>
      </w:pPr>
    </w:p>
    <w:p w:rsidR="00B43540" w:rsidRPr="00AE57C4" w:rsidP="00B43540">
      <w:pPr>
        <w:autoSpaceDE w:val="0"/>
        <w:autoSpaceDN w:val="0"/>
        <w:bidi w:val="0"/>
        <w:adjustRightInd w:val="0"/>
        <w:jc w:val="both"/>
        <w:rPr>
          <w:rFonts w:ascii="Times New Roman" w:hAnsi="Times New Roman"/>
        </w:rPr>
      </w:pPr>
      <w:r w:rsidRPr="00AE57C4">
        <w:rPr>
          <w:rFonts w:ascii="Times New Roman" w:hAnsi="Times New Roman"/>
        </w:rPr>
        <w:t xml:space="preserve">Kvantifikácia predpokladá pozitívny vplyv na rozpočet verejnej správy na úrovni </w:t>
      </w:r>
      <w:r>
        <w:rPr>
          <w:rFonts w:ascii="Times New Roman" w:hAnsi="Times New Roman"/>
        </w:rPr>
        <w:t>376</w:t>
      </w:r>
      <w:r w:rsidRPr="00AE57C4">
        <w:rPr>
          <w:rFonts w:ascii="Times New Roman" w:hAnsi="Times New Roman"/>
        </w:rPr>
        <w:t>,</w:t>
      </w:r>
      <w:r>
        <w:rPr>
          <w:rFonts w:ascii="Times New Roman" w:hAnsi="Times New Roman"/>
        </w:rPr>
        <w:t>6 mil. </w:t>
      </w:r>
      <w:r w:rsidRPr="00AE57C4">
        <w:rPr>
          <w:rFonts w:ascii="Times New Roman" w:hAnsi="Times New Roman"/>
        </w:rPr>
        <w:t>eur v roku 201</w:t>
      </w:r>
      <w:r>
        <w:rPr>
          <w:rFonts w:ascii="Times New Roman" w:hAnsi="Times New Roman"/>
        </w:rPr>
        <w:t>3</w:t>
      </w:r>
      <w:r w:rsidRPr="00AE57C4">
        <w:rPr>
          <w:rFonts w:ascii="Times New Roman" w:hAnsi="Times New Roman"/>
        </w:rPr>
        <w:t xml:space="preserve"> (0,</w:t>
      </w:r>
      <w:r>
        <w:rPr>
          <w:rFonts w:ascii="Times New Roman" w:hAnsi="Times New Roman"/>
        </w:rPr>
        <w:t>51</w:t>
      </w:r>
      <w:r w:rsidRPr="00AE57C4">
        <w:rPr>
          <w:rFonts w:ascii="Times New Roman" w:hAnsi="Times New Roman"/>
        </w:rPr>
        <w:t xml:space="preserve"> % HDP)</w:t>
      </w:r>
      <w:r>
        <w:rPr>
          <w:rFonts w:ascii="Times New Roman" w:hAnsi="Times New Roman"/>
        </w:rPr>
        <w:t>, 415,9</w:t>
      </w:r>
      <w:r w:rsidRPr="00AE57C4">
        <w:rPr>
          <w:rFonts w:ascii="Times New Roman" w:hAnsi="Times New Roman"/>
        </w:rPr>
        <w:t xml:space="preserve"> mil. eur v roku 201</w:t>
      </w:r>
      <w:r>
        <w:rPr>
          <w:rFonts w:ascii="Times New Roman" w:hAnsi="Times New Roman"/>
        </w:rPr>
        <w:t>4</w:t>
      </w:r>
      <w:r w:rsidRPr="00AE57C4">
        <w:rPr>
          <w:rFonts w:ascii="Times New Roman" w:hAnsi="Times New Roman"/>
        </w:rPr>
        <w:t xml:space="preserve"> (</w:t>
      </w:r>
      <w:r>
        <w:rPr>
          <w:rFonts w:ascii="Times New Roman" w:hAnsi="Times New Roman"/>
        </w:rPr>
        <w:t xml:space="preserve">0,53 % HDP) </w:t>
      </w:r>
      <w:r w:rsidRPr="00AE57C4">
        <w:rPr>
          <w:rFonts w:ascii="Times New Roman" w:hAnsi="Times New Roman"/>
        </w:rPr>
        <w:t>a</w:t>
      </w:r>
      <w:r>
        <w:rPr>
          <w:rFonts w:ascii="Times New Roman" w:hAnsi="Times New Roman"/>
        </w:rPr>
        <w:t> vo výške 445,2</w:t>
      </w:r>
      <w:r w:rsidRPr="00AE57C4">
        <w:rPr>
          <w:rFonts w:ascii="Times New Roman" w:hAnsi="Times New Roman"/>
        </w:rPr>
        <w:t xml:space="preserve"> mil. eur (</w:t>
      </w:r>
      <w:r>
        <w:rPr>
          <w:rFonts w:ascii="Times New Roman" w:hAnsi="Times New Roman"/>
        </w:rPr>
        <w:t>0,54</w:t>
      </w:r>
      <w:r w:rsidRPr="00AE57C4">
        <w:rPr>
          <w:rFonts w:ascii="Times New Roman" w:hAnsi="Times New Roman"/>
        </w:rPr>
        <w:t xml:space="preserve"> % HDP)</w:t>
      </w:r>
      <w:r>
        <w:rPr>
          <w:rFonts w:ascii="Times New Roman" w:hAnsi="Times New Roman"/>
        </w:rPr>
        <w:t xml:space="preserve"> </w:t>
      </w:r>
      <w:r w:rsidRPr="00AE57C4">
        <w:rPr>
          <w:rFonts w:ascii="Times New Roman" w:hAnsi="Times New Roman"/>
        </w:rPr>
        <w:t>v roku 2</w:t>
      </w:r>
      <w:r>
        <w:rPr>
          <w:rFonts w:ascii="Times New Roman" w:hAnsi="Times New Roman"/>
        </w:rPr>
        <w:t>015</w:t>
      </w:r>
      <w:r w:rsidRPr="00AE57C4">
        <w:rPr>
          <w:rFonts w:ascii="Times New Roman" w:hAnsi="Times New Roman"/>
        </w:rPr>
        <w:t>.</w:t>
      </w:r>
    </w:p>
    <w:p w:rsidR="00B43540" w:rsidP="00B43540">
      <w:pPr>
        <w:autoSpaceDE w:val="0"/>
        <w:autoSpaceDN w:val="0"/>
        <w:bidi w:val="0"/>
        <w:adjustRightInd w:val="0"/>
        <w:jc w:val="both"/>
        <w:rPr>
          <w:rFonts w:ascii="Times New Roman" w:hAnsi="Times New Roman"/>
        </w:rPr>
      </w:pPr>
    </w:p>
    <w:p w:rsidR="00B43540" w:rsidRPr="00904741" w:rsidP="00B43540">
      <w:pPr>
        <w:autoSpaceDE w:val="0"/>
        <w:autoSpaceDN w:val="0"/>
        <w:bidi w:val="0"/>
        <w:adjustRightInd w:val="0"/>
        <w:jc w:val="both"/>
        <w:rPr>
          <w:rFonts w:ascii="Times New Roman" w:hAnsi="Times New Roman"/>
          <w:b/>
          <w:szCs w:val="22"/>
        </w:rPr>
      </w:pPr>
      <w:r w:rsidRPr="00904741">
        <w:rPr>
          <w:rFonts w:ascii="Times New Roman" w:hAnsi="Times New Roman"/>
          <w:b/>
          <w:szCs w:val="22"/>
        </w:rPr>
        <w:t>Kvantifikácia príjmov</w:t>
      </w:r>
    </w:p>
    <w:p w:rsidR="00B43540" w:rsidP="00B43540">
      <w:pPr>
        <w:tabs>
          <w:tab w:val="left" w:pos="1080"/>
        </w:tabs>
        <w:bidi w:val="0"/>
        <w:jc w:val="both"/>
        <w:rPr>
          <w:rFonts w:ascii="Times New Roman" w:hAnsi="Times New Roman"/>
          <w:b/>
        </w:rPr>
      </w:pPr>
    </w:p>
    <w:p w:rsidR="00B43540" w:rsidP="00490816">
      <w:pPr>
        <w:numPr>
          <w:numId w:val="18"/>
        </w:numPr>
        <w:bidi w:val="0"/>
        <w:ind w:left="284" w:hanging="284"/>
        <w:jc w:val="both"/>
        <w:rPr>
          <w:rStyle w:val="PlaceholderText"/>
          <w:color w:val="000000"/>
        </w:rPr>
      </w:pPr>
      <w:r w:rsidRPr="00277A69">
        <w:rPr>
          <w:rStyle w:val="PlaceholderText"/>
          <w:color w:val="000000"/>
        </w:rPr>
        <w:t xml:space="preserve">Zavedenie možnosti uplatnenia </w:t>
      </w:r>
      <w:r w:rsidRPr="00277A69">
        <w:rPr>
          <w:rStyle w:val="PlaceholderText"/>
          <w:b/>
          <w:color w:val="000000"/>
        </w:rPr>
        <w:t>paušálnych výdavkov v maximálnej výške 5 040 eur</w:t>
      </w:r>
      <w:r w:rsidRPr="00277A69">
        <w:rPr>
          <w:rStyle w:val="PlaceholderText"/>
          <w:color w:val="000000"/>
        </w:rPr>
        <w:t xml:space="preserve"> </w:t>
      </w:r>
      <w:r w:rsidRPr="00277A69">
        <w:rPr>
          <w:rStyle w:val="PlaceholderText"/>
          <w:b/>
          <w:color w:val="000000"/>
        </w:rPr>
        <w:t>ročne, resp. 420 eur mesačne</w:t>
      </w:r>
      <w:r w:rsidRPr="00277A69">
        <w:rPr>
          <w:rStyle w:val="PlaceholderText"/>
          <w:color w:val="000000"/>
        </w:rPr>
        <w:t>,</w:t>
      </w:r>
    </w:p>
    <w:p w:rsidR="00B43540" w:rsidRPr="00277A69" w:rsidP="00B43540">
      <w:pPr>
        <w:bidi w:val="0"/>
        <w:ind w:left="284"/>
        <w:jc w:val="both"/>
        <w:rPr>
          <w:rStyle w:val="PlaceholderText"/>
          <w:color w:val="000000"/>
        </w:rPr>
      </w:pPr>
    </w:p>
    <w:p w:rsidR="00B43540" w:rsidRPr="002334D1" w:rsidP="00B43540">
      <w:pPr>
        <w:autoSpaceDE w:val="0"/>
        <w:autoSpaceDN w:val="0"/>
        <w:bidi w:val="0"/>
        <w:jc w:val="both"/>
        <w:rPr>
          <w:rFonts w:ascii="Times New Roman" w:hAnsi="Times New Roman"/>
          <w:color w:val="000000"/>
        </w:rPr>
      </w:pPr>
      <w:r>
        <w:rPr>
          <w:rFonts w:ascii="Times New Roman" w:hAnsi="Times New Roman"/>
          <w:color w:val="000000"/>
        </w:rPr>
        <w:t>Pri kvantifikácii obmedzenia možnosti využívania paušálnych výdavkov na úroveň maximálne 5 040 eur/rok zo súčasnej neobmedzenej úrovne sa vychádzalo z individuálnych daňových priznaní typu B z roku 2009 a ich indexácie na súčasnú úroveň. Na základe týchto údajov si paušálne výdavky k príjmom podľa § 6 s výnimkou príjmov z prenájmu uplatňuje približne 130 000 daňovníkov, teda okolo 30 % všetkých SZČO.</w:t>
      </w:r>
    </w:p>
    <w:p w:rsidR="00B43540" w:rsidP="00B43540">
      <w:pPr>
        <w:autoSpaceDE w:val="0"/>
        <w:autoSpaceDN w:val="0"/>
        <w:bidi w:val="0"/>
        <w:adjustRightInd w:val="0"/>
        <w:jc w:val="both"/>
        <w:rPr>
          <w:rFonts w:ascii="Times New Roman" w:hAnsi="Times New Roman"/>
        </w:rPr>
      </w:pPr>
    </w:p>
    <w:p w:rsidR="00B43540" w:rsidRPr="0002201A" w:rsidP="00490816">
      <w:pPr>
        <w:numPr>
          <w:numId w:val="18"/>
        </w:numPr>
        <w:bidi w:val="0"/>
        <w:ind w:left="426"/>
        <w:jc w:val="both"/>
        <w:rPr>
          <w:rStyle w:val="PlaceholderText"/>
          <w:color w:val="000000"/>
        </w:rPr>
      </w:pPr>
      <w:r w:rsidRPr="0002201A">
        <w:rPr>
          <w:rStyle w:val="PlaceholderText"/>
          <w:b/>
          <w:color w:val="000000"/>
        </w:rPr>
        <w:t>Uplatnenie nezdaniteľnej časti základu dane na manželku (manžela)</w:t>
      </w:r>
      <w:r w:rsidRPr="0002201A">
        <w:rPr>
          <w:rStyle w:val="PlaceholderText"/>
          <w:color w:val="000000"/>
        </w:rPr>
        <w:t>, ktorá žije s daňovníkom v spoločnej domácnosti a stará sa o maloleté dieťa tiež žijúce s daňovníkom v domácnosti do zániku nároku na rodičovský príspevok na dieťa, alebo ktorá poberala v zdaňovacom období príspevok na opatrovanie, alebo ktorá bola evidovaná na úrade práce,</w:t>
      </w:r>
    </w:p>
    <w:p w:rsidR="00B43540" w:rsidRPr="0002201A" w:rsidP="00B43540">
      <w:pPr>
        <w:autoSpaceDE w:val="0"/>
        <w:autoSpaceDN w:val="0"/>
        <w:bidi w:val="0"/>
        <w:adjustRightInd w:val="0"/>
        <w:jc w:val="both"/>
        <w:rPr>
          <w:rFonts w:ascii="Times New Roman" w:hAnsi="Times New Roman"/>
        </w:rPr>
      </w:pPr>
    </w:p>
    <w:p w:rsidR="00B43540" w:rsidRPr="0002201A" w:rsidP="00B43540">
      <w:pPr>
        <w:autoSpaceDE w:val="0"/>
        <w:autoSpaceDN w:val="0"/>
        <w:bidi w:val="0"/>
        <w:adjustRightInd w:val="0"/>
        <w:jc w:val="both"/>
        <w:rPr>
          <w:rFonts w:ascii="Times New Roman" w:hAnsi="Times New Roman"/>
        </w:rPr>
      </w:pPr>
      <w:r w:rsidRPr="0002201A">
        <w:rPr>
          <w:rFonts w:ascii="Times New Roman" w:hAnsi="Times New Roman"/>
        </w:rPr>
        <w:t>Pri kvantifikácii sa vychádzalo z údajov štatistického zisťovania EU-SILC, ktoré boli použité ako vstupné údaje pre modelovanie v mikrosimulačnom modeli EUROMOD. Vzhľadom k tomu, že EU-SILC neobsahuje všetky potrebné údaje pre simulovanie tohto opatrenia museli byť prijaté aj expertné predpoklady (poberatelia prí</w:t>
      </w:r>
      <w:r>
        <w:rPr>
          <w:rFonts w:ascii="Times New Roman" w:hAnsi="Times New Roman"/>
        </w:rPr>
        <w:t>s</w:t>
      </w:r>
      <w:r w:rsidRPr="0002201A">
        <w:rPr>
          <w:rFonts w:ascii="Times New Roman" w:hAnsi="Times New Roman"/>
        </w:rPr>
        <w:t xml:space="preserve">pevku na opatrovanie).  </w:t>
      </w:r>
    </w:p>
    <w:p w:rsidR="00B43540" w:rsidRPr="0002201A" w:rsidP="00B43540">
      <w:pPr>
        <w:autoSpaceDE w:val="0"/>
        <w:autoSpaceDN w:val="0"/>
        <w:bidi w:val="0"/>
        <w:adjustRightInd w:val="0"/>
        <w:jc w:val="both"/>
        <w:rPr>
          <w:rFonts w:ascii="Times New Roman" w:hAnsi="Times New Roman"/>
        </w:rPr>
      </w:pPr>
    </w:p>
    <w:p w:rsidR="00B43540" w:rsidRPr="0002201A" w:rsidP="00490816">
      <w:pPr>
        <w:numPr>
          <w:numId w:val="18"/>
        </w:numPr>
        <w:bidi w:val="0"/>
        <w:ind w:left="426"/>
        <w:jc w:val="both"/>
        <w:rPr>
          <w:rFonts w:ascii="Times New Roman" w:hAnsi="Times New Roman"/>
          <w:color w:val="000000"/>
        </w:rPr>
      </w:pPr>
      <w:r w:rsidRPr="0002201A">
        <w:rPr>
          <w:rStyle w:val="PlaceholderText"/>
          <w:b/>
          <w:color w:val="000000"/>
        </w:rPr>
        <w:t>Zavedenie možnosti uplatnenia daňového bonusu</w:t>
      </w:r>
      <w:r w:rsidRPr="0002201A">
        <w:rPr>
          <w:rFonts w:ascii="Times New Roman" w:hAnsi="Times New Roman"/>
          <w:b/>
        </w:rPr>
        <w:t xml:space="preserve"> len za podmienky,  že daňovník dosahuje zákonom ustanovenú minimálnu výšku len z tzv. „aktívnych príjmov“</w:t>
      </w:r>
      <w:r w:rsidRPr="0002201A">
        <w:rPr>
          <w:rFonts w:ascii="Times New Roman" w:hAnsi="Times New Roman"/>
        </w:rPr>
        <w:t>, t. j. príjmov zo závislej činnosti podľa § 5 zákona o dani z príjmov a príjmov z podnikania a z inej samostatnej zárobkovej činnosti podľa § 6 ods. 1 a 2 zákona o dani z príjmov</w:t>
      </w:r>
    </w:p>
    <w:p w:rsidR="00B43540" w:rsidRPr="0002201A" w:rsidP="00B43540">
      <w:pPr>
        <w:bidi w:val="0"/>
        <w:jc w:val="both"/>
        <w:rPr>
          <w:rStyle w:val="PlaceholderText"/>
          <w:color w:val="000000"/>
        </w:rPr>
      </w:pPr>
    </w:p>
    <w:p w:rsidR="00B43540" w:rsidP="00B43540">
      <w:pPr>
        <w:autoSpaceDE w:val="0"/>
        <w:autoSpaceDN w:val="0"/>
        <w:bidi w:val="0"/>
        <w:adjustRightInd w:val="0"/>
        <w:jc w:val="both"/>
        <w:rPr>
          <w:rFonts w:ascii="Times New Roman" w:hAnsi="Times New Roman"/>
        </w:rPr>
      </w:pPr>
      <w:r w:rsidRPr="00A333DB">
        <w:rPr>
          <w:rFonts w:ascii="Times New Roman" w:hAnsi="Times New Roman"/>
        </w:rPr>
        <w:t xml:space="preserve">Na základe informácii z praxe, </w:t>
      </w:r>
      <w:r>
        <w:rPr>
          <w:rFonts w:ascii="Times New Roman" w:hAnsi="Times New Roman"/>
        </w:rPr>
        <w:t>kedy dochádzalo ku kreatívnemu</w:t>
      </w:r>
      <w:r w:rsidRPr="00A333DB">
        <w:rPr>
          <w:rFonts w:ascii="Times New Roman" w:hAnsi="Times New Roman"/>
        </w:rPr>
        <w:t xml:space="preserve"> prenajímaniu nehnuteľností alebo časti nehnuteľností za účelom získania nároku na daňový bonus</w:t>
      </w:r>
      <w:r>
        <w:rPr>
          <w:rFonts w:ascii="Times New Roman" w:hAnsi="Times New Roman"/>
        </w:rPr>
        <w:t xml:space="preserve"> v rozpore s pôvodným zámerom,</w:t>
      </w:r>
      <w:r w:rsidRPr="00A333DB">
        <w:rPr>
          <w:rFonts w:ascii="Times New Roman" w:hAnsi="Times New Roman"/>
        </w:rPr>
        <w:t xml:space="preserve"> MF SR pristúpilo k obmedzeniu </w:t>
      </w:r>
      <w:r>
        <w:rPr>
          <w:rFonts w:ascii="Times New Roman" w:hAnsi="Times New Roman"/>
        </w:rPr>
        <w:t xml:space="preserve">jeho </w:t>
      </w:r>
      <w:r w:rsidRPr="00A333DB">
        <w:rPr>
          <w:rFonts w:ascii="Times New Roman" w:hAnsi="Times New Roman"/>
        </w:rPr>
        <w:t xml:space="preserve">nároku len </w:t>
      </w:r>
      <w:r>
        <w:rPr>
          <w:rFonts w:ascii="Times New Roman" w:hAnsi="Times New Roman"/>
        </w:rPr>
        <w:t>pre daňovníkov, ktorí dosahujú</w:t>
      </w:r>
      <w:r w:rsidRPr="00A333DB">
        <w:rPr>
          <w:rFonts w:ascii="Times New Roman" w:hAnsi="Times New Roman"/>
        </w:rPr>
        <w:t xml:space="preserve"> </w:t>
      </w:r>
      <w:r>
        <w:rPr>
          <w:rFonts w:ascii="Times New Roman" w:hAnsi="Times New Roman"/>
        </w:rPr>
        <w:t>aktívne príjmy</w:t>
      </w:r>
      <w:r w:rsidRPr="00A333DB">
        <w:rPr>
          <w:rFonts w:ascii="Times New Roman" w:hAnsi="Times New Roman"/>
        </w:rPr>
        <w:t xml:space="preserve">. </w:t>
      </w:r>
      <w:r>
        <w:rPr>
          <w:rFonts w:ascii="Times New Roman" w:hAnsi="Times New Roman"/>
        </w:rPr>
        <w:t>Pozitívny vplyv z uvedeného opatrenia však nie je možné bližšie kvantifikovať nakoľko údaje z daňových priznaní neposkytujú informácie o zdaňovaní príjmov rodiny, ale len jednotlivca. Informácie dostupné z DP o tom, že si daňovník s príjmami výlučne z prenájmu uplatnil daňový bonus nepostačujú, pretože jeho manžel/ka mohol/a mať iné príjmy, ktoré by mu/jej zabezpečili totožný nárok.</w:t>
      </w:r>
    </w:p>
    <w:p w:rsidR="00B43540" w:rsidP="00B43540">
      <w:pPr>
        <w:bidi w:val="0"/>
        <w:jc w:val="both"/>
        <w:rPr>
          <w:rStyle w:val="PlaceholderText"/>
          <w:color w:val="000000"/>
        </w:rPr>
      </w:pPr>
    </w:p>
    <w:p w:rsidR="00B43540" w:rsidP="00490816">
      <w:pPr>
        <w:numPr>
          <w:numId w:val="18"/>
        </w:numPr>
        <w:bidi w:val="0"/>
        <w:ind w:left="426"/>
        <w:jc w:val="both"/>
        <w:rPr>
          <w:rStyle w:val="PlaceholderText"/>
          <w:color w:val="000000"/>
        </w:rPr>
      </w:pPr>
      <w:r w:rsidRPr="00277A69">
        <w:rPr>
          <w:rStyle w:val="PlaceholderText"/>
          <w:b/>
          <w:color w:val="000000"/>
        </w:rPr>
        <w:t>Zavedenie progresívneho zdaňovania príjmov fyzických osôb</w:t>
      </w:r>
      <w:r w:rsidRPr="00277A69">
        <w:rPr>
          <w:rStyle w:val="PlaceholderText"/>
          <w:color w:val="000000"/>
        </w:rPr>
        <w:t xml:space="preserve"> s dvomi sadzbami dane, pričom vyššia z týchto sadzieb bude uplatňovaná pre fyzické osoby s nadštandardnými príjmami,</w:t>
      </w:r>
    </w:p>
    <w:p w:rsidR="00B43540" w:rsidP="00B43540">
      <w:pPr>
        <w:bidi w:val="0"/>
        <w:jc w:val="both"/>
        <w:rPr>
          <w:rStyle w:val="PlaceholderText"/>
          <w:color w:val="000000"/>
        </w:rPr>
      </w:pPr>
    </w:p>
    <w:p w:rsidR="00B43540" w:rsidP="00B43540">
      <w:pPr>
        <w:bidi w:val="0"/>
        <w:jc w:val="both"/>
        <w:rPr>
          <w:rStyle w:val="PlaceholderText"/>
          <w:color w:val="000000"/>
        </w:rPr>
      </w:pPr>
      <w:r>
        <w:rPr>
          <w:rStyle w:val="PlaceholderText"/>
          <w:color w:val="000000"/>
        </w:rPr>
        <w:t xml:space="preserve">Vplyv progresívneho zdanenia príjmov fyzických osôb bol kvantifikovaný na základe údajov o distribúcii miezd zamestnancov publikovaných ŠÚ SR, ktoré boli následne indexované na roky 2013-2015 podľa vývoja makroekonomickej prognózy. Zavedenie druhej sadzby dane od roku 2013 sa negatívne dotkne zamestnancov s príjmom od úrovne približne 3 311 eur/mesiac, čo podľa distribúcie miezd zamestnancov zodpovedá 1,2 % zamestnancov.  </w:t>
      </w:r>
    </w:p>
    <w:p w:rsidR="00B43540" w:rsidRPr="00277A69" w:rsidP="00B43540">
      <w:pPr>
        <w:bidi w:val="0"/>
        <w:jc w:val="both"/>
        <w:rPr>
          <w:rStyle w:val="PlaceholderText"/>
          <w:color w:val="000000"/>
        </w:rPr>
      </w:pPr>
    </w:p>
    <w:p w:rsidR="00B43540" w:rsidP="00490816">
      <w:pPr>
        <w:numPr>
          <w:numId w:val="18"/>
        </w:numPr>
        <w:bidi w:val="0"/>
        <w:ind w:left="426"/>
        <w:jc w:val="both"/>
        <w:rPr>
          <w:rStyle w:val="PlaceholderText"/>
          <w:color w:val="000000"/>
        </w:rPr>
      </w:pPr>
      <w:r w:rsidRPr="00277A69">
        <w:rPr>
          <w:rStyle w:val="PlaceholderText"/>
          <w:b/>
          <w:color w:val="000000"/>
        </w:rPr>
        <w:t>Zavedenie osobitnej sadzby dane vo výške 5 % pre vybraných ústavných činiteľov</w:t>
      </w:r>
      <w:r w:rsidRPr="00277A69">
        <w:rPr>
          <w:rStyle w:val="PlaceholderText"/>
          <w:color w:val="000000"/>
        </w:rPr>
        <w:t xml:space="preserve"> (poslanci, prezident, členovia vlády, predseda a podpredseda NKÚ), </w:t>
      </w:r>
    </w:p>
    <w:p w:rsidR="00B43540" w:rsidP="00B43540">
      <w:pPr>
        <w:bidi w:val="0"/>
        <w:jc w:val="both"/>
        <w:rPr>
          <w:rStyle w:val="PlaceholderText"/>
          <w:color w:val="000000"/>
        </w:rPr>
      </w:pPr>
    </w:p>
    <w:p w:rsidR="00B43540" w:rsidP="00B43540">
      <w:pPr>
        <w:bidi w:val="0"/>
        <w:jc w:val="both"/>
        <w:rPr>
          <w:rStyle w:val="PlaceholderText"/>
          <w:color w:val="000000"/>
        </w:rPr>
      </w:pPr>
      <w:r>
        <w:rPr>
          <w:rStyle w:val="PlaceholderText"/>
          <w:color w:val="000000"/>
        </w:rPr>
        <w:t xml:space="preserve">Pri kvantifikácii osobitnej sadzby dane pre vybraných ústavných činiteľov sa vychádzalo z údajov počte týchto ústavných činiteľov a informáciách v zákone č. </w:t>
      </w:r>
      <w:r w:rsidRPr="00AF25A9">
        <w:rPr>
          <w:rStyle w:val="PlaceholderText"/>
          <w:color w:val="000000"/>
        </w:rPr>
        <w:t>120/1993 Z.</w:t>
      </w:r>
      <w:r>
        <w:rPr>
          <w:rStyle w:val="PlaceholderText"/>
          <w:color w:val="000000"/>
        </w:rPr>
        <w:t xml:space="preserve"> </w:t>
      </w:r>
      <w:r w:rsidRPr="00AF25A9">
        <w:rPr>
          <w:rStyle w:val="PlaceholderText"/>
          <w:color w:val="000000"/>
        </w:rPr>
        <w:t>z. o platových pomeroch ústavných činiteľov</w:t>
      </w:r>
      <w:r>
        <w:rPr>
          <w:rStyle w:val="PlaceholderText"/>
          <w:color w:val="000000"/>
        </w:rPr>
        <w:t>. Kvantifikácia vychádzala z predpokladu, že mzdy týchto ústavných činiteľov sa budú valorizovať podľa platných ustanovení tohto zákona.</w:t>
      </w:r>
    </w:p>
    <w:p w:rsidR="00B43540" w:rsidRPr="00277A69" w:rsidP="00B43540">
      <w:pPr>
        <w:bidi w:val="0"/>
        <w:jc w:val="both"/>
        <w:rPr>
          <w:rStyle w:val="PlaceholderText"/>
          <w:color w:val="000000"/>
        </w:rPr>
      </w:pPr>
    </w:p>
    <w:p w:rsidR="00B43540" w:rsidRPr="00277A69" w:rsidP="00490816">
      <w:pPr>
        <w:numPr>
          <w:numId w:val="18"/>
        </w:numPr>
        <w:bidi w:val="0"/>
        <w:ind w:left="426"/>
        <w:jc w:val="both"/>
        <w:rPr>
          <w:rStyle w:val="PlaceholderText"/>
          <w:color w:val="000000"/>
        </w:rPr>
      </w:pPr>
      <w:r w:rsidRPr="00277A69">
        <w:rPr>
          <w:rStyle w:val="PlaceholderText"/>
          <w:b/>
          <w:color w:val="000000"/>
        </w:rPr>
        <w:t>Zvýšenie sadzby dane pre právnické osoby</w:t>
      </w:r>
      <w:r>
        <w:rPr>
          <w:rStyle w:val="PlaceholderText"/>
          <w:color w:val="000000"/>
        </w:rPr>
        <w:t xml:space="preserve"> z 19 na 23 %,</w:t>
      </w:r>
    </w:p>
    <w:p w:rsidR="00B43540" w:rsidP="00B43540">
      <w:pPr>
        <w:tabs>
          <w:tab w:val="left" w:pos="3750"/>
        </w:tabs>
        <w:autoSpaceDE w:val="0"/>
        <w:autoSpaceDN w:val="0"/>
        <w:bidi w:val="0"/>
        <w:adjustRightInd w:val="0"/>
        <w:jc w:val="both"/>
        <w:rPr>
          <w:rFonts w:ascii="Times New Roman" w:hAnsi="Times New Roman"/>
        </w:rPr>
      </w:pPr>
      <w:r>
        <w:rPr>
          <w:rFonts w:ascii="Times New Roman" w:hAnsi="Times New Roman"/>
        </w:rPr>
        <w:tab/>
      </w:r>
    </w:p>
    <w:p w:rsidR="00B43540" w:rsidP="00B43540">
      <w:pPr>
        <w:autoSpaceDE w:val="0"/>
        <w:autoSpaceDN w:val="0"/>
        <w:bidi w:val="0"/>
        <w:adjustRightInd w:val="0"/>
        <w:jc w:val="both"/>
        <w:rPr>
          <w:rFonts w:ascii="Times New Roman" w:hAnsi="Times New Roman"/>
        </w:rPr>
      </w:pPr>
      <w:r>
        <w:rPr>
          <w:rFonts w:ascii="Times New Roman" w:hAnsi="Times New Roman"/>
        </w:rPr>
        <w:t xml:space="preserve">Kvantifikácia bola uskutočnená na základe aktuálnej prognózy výnosu dane z príjmu právnických osôb na roky 2013 – 2015 so zohľadnením nižšej miery deklarovania kladných základov dane pri vyššej sadzbe dane. </w:t>
      </w:r>
    </w:p>
    <w:p w:rsidR="00B43540" w:rsidP="00B43540">
      <w:pPr>
        <w:autoSpaceDE w:val="0"/>
        <w:autoSpaceDN w:val="0"/>
        <w:bidi w:val="0"/>
        <w:adjustRightInd w:val="0"/>
        <w:jc w:val="both"/>
        <w:rPr>
          <w:rFonts w:ascii="Times New Roman" w:hAnsi="Times New Roman"/>
        </w:rPr>
      </w:pPr>
    </w:p>
    <w:p w:rsidR="00B43540" w:rsidRPr="00513729" w:rsidP="00490816">
      <w:pPr>
        <w:numPr>
          <w:numId w:val="18"/>
        </w:numPr>
        <w:bidi w:val="0"/>
        <w:ind w:left="426"/>
        <w:jc w:val="both"/>
        <w:rPr>
          <w:rStyle w:val="PlaceholderText"/>
          <w:b/>
          <w:color w:val="000000"/>
        </w:rPr>
      </w:pPr>
      <w:r>
        <w:rPr>
          <w:rStyle w:val="PlaceholderText"/>
          <w:b/>
          <w:color w:val="000000"/>
        </w:rPr>
        <w:t xml:space="preserve">Oslobodenie príjmov z baníckych deputátov </w:t>
      </w:r>
      <w:r w:rsidRPr="00A333DB">
        <w:rPr>
          <w:rStyle w:val="PlaceholderText"/>
          <w:b/>
          <w:color w:val="000000"/>
        </w:rPr>
        <w:t xml:space="preserve">od dane z príjmov </w:t>
      </w:r>
      <w:r w:rsidRPr="00A333DB">
        <w:rPr>
          <w:rStyle w:val="PlaceholderText"/>
          <w:color w:val="000000"/>
        </w:rPr>
        <w:t>a tým aj platenia sociálnych a zdravotných odvodov</w:t>
      </w:r>
    </w:p>
    <w:p w:rsidR="00B43540" w:rsidP="00B43540">
      <w:pPr>
        <w:bidi w:val="0"/>
        <w:ind w:left="66"/>
        <w:jc w:val="both"/>
        <w:rPr>
          <w:rStyle w:val="PlaceholderText"/>
          <w:b/>
          <w:color w:val="000000"/>
        </w:rPr>
      </w:pPr>
    </w:p>
    <w:p w:rsidR="00B43540" w:rsidRPr="00513729" w:rsidP="00B43540">
      <w:pPr>
        <w:bidi w:val="0"/>
        <w:ind w:left="66"/>
        <w:jc w:val="both"/>
        <w:rPr>
          <w:rStyle w:val="PlaceholderText"/>
          <w:color w:val="000000"/>
        </w:rPr>
      </w:pPr>
      <w:r>
        <w:rPr>
          <w:rStyle w:val="PlaceholderText"/>
          <w:color w:val="000000"/>
        </w:rPr>
        <w:t>Mierne negatívny vplyv oslobodenia deputátov vychádza</w:t>
      </w:r>
      <w:r w:rsidRPr="00513729">
        <w:rPr>
          <w:rStyle w:val="PlaceholderText"/>
          <w:color w:val="000000"/>
        </w:rPr>
        <w:t xml:space="preserve"> z údajov MH SR o celkovom rozpočtovanom objeme prostriedkov na </w:t>
      </w:r>
      <w:r>
        <w:rPr>
          <w:rStyle w:val="PlaceholderText"/>
          <w:color w:val="000000"/>
        </w:rPr>
        <w:t>dotácie v uvedenej oblasti v rokoch 2011 - 2013,</w:t>
      </w:r>
      <w:r w:rsidRPr="00513729">
        <w:rPr>
          <w:rStyle w:val="PlaceholderText"/>
          <w:color w:val="000000"/>
        </w:rPr>
        <w:t xml:space="preserve"> ako aj počtu poberateľov týchto plnení v roku 2011.</w:t>
      </w:r>
    </w:p>
    <w:p w:rsidR="00B43540" w:rsidRPr="00A333DB" w:rsidP="00B43540">
      <w:pPr>
        <w:bidi w:val="0"/>
        <w:ind w:left="426"/>
        <w:jc w:val="both"/>
        <w:rPr>
          <w:rStyle w:val="PlaceholderText"/>
          <w:b/>
          <w:color w:val="000000"/>
        </w:rPr>
      </w:pPr>
    </w:p>
    <w:p w:rsidR="00B43540" w:rsidRPr="00323053" w:rsidP="00B43540">
      <w:pPr>
        <w:autoSpaceDE w:val="0"/>
        <w:autoSpaceDN w:val="0"/>
        <w:bidi w:val="0"/>
        <w:adjustRightInd w:val="0"/>
        <w:jc w:val="both"/>
        <w:rPr>
          <w:rFonts w:ascii="Times New Roman" w:hAnsi="Times New Roman"/>
          <w:b/>
        </w:rPr>
      </w:pPr>
      <w:r w:rsidRPr="00323053">
        <w:rPr>
          <w:rFonts w:ascii="Times New Roman" w:hAnsi="Times New Roman"/>
          <w:b/>
        </w:rPr>
        <w:t>Kvantifikácia príjmov</w:t>
      </w:r>
    </w:p>
    <w:p w:rsidR="00B43540" w:rsidP="00B43540">
      <w:pPr>
        <w:pStyle w:val="ListParagraph"/>
        <w:bidi w:val="0"/>
        <w:rPr>
          <w:rStyle w:val="PlaceholderText"/>
          <w:color w:val="000000"/>
        </w:rPr>
      </w:pPr>
    </w:p>
    <w:tbl>
      <w:tblPr>
        <w:tblStyle w:val="TableNormal"/>
        <w:tblW w:w="9420" w:type="dxa"/>
        <w:tblInd w:w="65" w:type="dxa"/>
        <w:tblCellMar>
          <w:left w:w="70" w:type="dxa"/>
          <w:right w:w="70" w:type="dxa"/>
        </w:tblCellMar>
        <w:tblLook w:val="04A0"/>
      </w:tblPr>
      <w:tblGrid>
        <w:gridCol w:w="700"/>
        <w:gridCol w:w="3760"/>
        <w:gridCol w:w="703"/>
        <w:gridCol w:w="1419"/>
        <w:gridCol w:w="1419"/>
        <w:gridCol w:w="1419"/>
      </w:tblGrid>
      <w:tr>
        <w:tblPrEx>
          <w:tblW w:w="9420" w:type="dxa"/>
          <w:tblInd w:w="65" w:type="dxa"/>
          <w:tblCellMar>
            <w:left w:w="70" w:type="dxa"/>
            <w:right w:w="70" w:type="dxa"/>
          </w:tblCellMar>
          <w:tblLook w:val="04A0"/>
        </w:tblPrEx>
        <w:trPr>
          <w:trHeight w:val="375"/>
        </w:trPr>
        <w:tc>
          <w:tcPr>
            <w:tcW w:w="700"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center"/>
            <w:hideMark/>
          </w:tcPr>
          <w:p w:rsidR="00B43540" w:rsidRPr="004545E5" w:rsidP="002D488F">
            <w:pPr>
              <w:bidi w:val="0"/>
              <w:rPr>
                <w:rFonts w:ascii="Times New Roman" w:hAnsi="Times New Roman"/>
                <w:b/>
                <w:bCs/>
                <w:color w:val="FFFFFF"/>
              </w:rPr>
            </w:pPr>
            <w:r w:rsidRPr="004545E5">
              <w:rPr>
                <w:rFonts w:ascii="Times New Roman" w:hAnsi="Times New Roman"/>
                <w:b/>
                <w:bCs/>
                <w:color w:val="FFFFFF"/>
              </w:rPr>
              <w:t> </w:t>
            </w:r>
          </w:p>
        </w:tc>
        <w:tc>
          <w:tcPr>
            <w:tcW w:w="3760" w:type="dxa"/>
            <w:vMerge w:val="restart"/>
            <w:tcBorders>
              <w:top w:val="single" w:sz="4" w:space="0" w:color="auto"/>
              <w:left w:val="single" w:sz="4" w:space="0" w:color="auto"/>
              <w:bottom w:val="single" w:sz="4" w:space="0" w:color="auto"/>
              <w:right w:val="single" w:sz="4" w:space="0" w:color="auto"/>
            </w:tcBorders>
            <w:shd w:val="clear" w:color="000000" w:fill="000000"/>
            <w:textDirection w:val="lrTb"/>
            <w:vAlign w:val="center"/>
            <w:hideMark/>
          </w:tcPr>
          <w:p w:rsidR="00B43540" w:rsidRPr="004545E5" w:rsidP="002D488F">
            <w:pPr>
              <w:bidi w:val="0"/>
              <w:rPr>
                <w:rFonts w:ascii="Times New Roman" w:hAnsi="Times New Roman"/>
                <w:b/>
                <w:bCs/>
                <w:color w:val="FFFFFF"/>
                <w:sz w:val="22"/>
                <w:szCs w:val="22"/>
                <w:u w:val="single"/>
              </w:rPr>
            </w:pPr>
            <w:r w:rsidRPr="004545E5">
              <w:rPr>
                <w:rFonts w:ascii="Times New Roman" w:hAnsi="Times New Roman"/>
                <w:b/>
                <w:bCs/>
                <w:color w:val="FFFFFF"/>
                <w:sz w:val="22"/>
                <w:szCs w:val="22"/>
                <w:u w:val="single"/>
              </w:rPr>
              <w:t>Štátny rozpočet (VPS) - príjmy (v eur)</w:t>
            </w:r>
          </w:p>
        </w:tc>
        <w:tc>
          <w:tcPr>
            <w:tcW w:w="4960" w:type="dxa"/>
            <w:gridSpan w:val="4"/>
            <w:tcBorders>
              <w:top w:val="single" w:sz="4" w:space="0" w:color="auto"/>
              <w:left w:val="nil"/>
              <w:bottom w:val="single" w:sz="4" w:space="0" w:color="auto"/>
              <w:right w:val="single" w:sz="4" w:space="0" w:color="auto"/>
            </w:tcBorders>
            <w:shd w:val="clear" w:color="000000" w:fill="000000"/>
            <w:noWrap/>
            <w:textDirection w:val="lrTb"/>
            <w:vAlign w:val="center"/>
            <w:hideMark/>
          </w:tcPr>
          <w:p w:rsidR="00B43540" w:rsidRPr="004545E5" w:rsidP="002D488F">
            <w:pPr>
              <w:bidi w:val="0"/>
              <w:jc w:val="center"/>
              <w:rPr>
                <w:rFonts w:ascii="Times New Roman" w:hAnsi="Times New Roman"/>
                <w:b/>
                <w:bCs/>
                <w:color w:val="FFFFFF"/>
              </w:rPr>
            </w:pPr>
            <w:r w:rsidRPr="004545E5">
              <w:rPr>
                <w:rFonts w:ascii="Times New Roman" w:hAnsi="Times New Roman"/>
                <w:b/>
                <w:bCs/>
                <w:color w:val="FFFFFF"/>
              </w:rPr>
              <w:t>Vplyv na štátny rozpočet (ESA95)</w:t>
            </w:r>
          </w:p>
        </w:tc>
      </w:tr>
      <w:tr>
        <w:tblPrEx>
          <w:tblW w:w="9420" w:type="dxa"/>
          <w:tblInd w:w="65" w:type="dxa"/>
          <w:tblCellMar>
            <w:left w:w="70" w:type="dxa"/>
            <w:right w:w="70" w:type="dxa"/>
          </w:tblCellMar>
          <w:tblLook w:val="04A0"/>
        </w:tblPrEx>
        <w:trPr>
          <w:trHeight w:val="375"/>
        </w:trPr>
        <w:tc>
          <w:tcPr>
            <w:tcW w:w="700" w:type="dxa"/>
            <w:tcBorders>
              <w:top w:val="nil"/>
              <w:left w:val="single" w:sz="4" w:space="0" w:color="auto"/>
              <w:bottom w:val="single" w:sz="4" w:space="0" w:color="auto"/>
              <w:right w:val="single" w:sz="4" w:space="0" w:color="auto"/>
            </w:tcBorders>
            <w:shd w:val="clear" w:color="000000" w:fill="000000"/>
            <w:noWrap/>
            <w:textDirection w:val="lrTb"/>
            <w:vAlign w:val="center"/>
            <w:hideMark/>
          </w:tcPr>
          <w:p w:rsidR="00B43540" w:rsidRPr="004545E5" w:rsidP="002D488F">
            <w:pPr>
              <w:bidi w:val="0"/>
              <w:rPr>
                <w:rFonts w:ascii="Times New Roman" w:hAnsi="Times New Roman"/>
                <w:b/>
                <w:bCs/>
                <w:color w:val="FFFFFF"/>
              </w:rPr>
            </w:pPr>
            <w:r w:rsidRPr="004545E5">
              <w:rPr>
                <w:rFonts w:ascii="Times New Roman" w:hAnsi="Times New Roman"/>
                <w:b/>
                <w:bCs/>
                <w:color w:val="FFFFFF"/>
              </w:rPr>
              <w:t> </w:t>
            </w:r>
          </w:p>
        </w:tc>
        <w:tc>
          <w:tcPr>
            <w:tcW w:w="3760" w:type="dxa"/>
            <w:vMerge/>
            <w:tcBorders>
              <w:top w:val="single" w:sz="4" w:space="0" w:color="auto"/>
              <w:left w:val="single" w:sz="4" w:space="0" w:color="auto"/>
              <w:bottom w:val="single" w:sz="4" w:space="0" w:color="auto"/>
              <w:right w:val="single" w:sz="4" w:space="0" w:color="auto"/>
            </w:tcBorders>
            <w:textDirection w:val="lrTb"/>
            <w:vAlign w:val="center"/>
            <w:hideMark/>
          </w:tcPr>
          <w:p w:rsidR="00B43540" w:rsidRPr="004545E5" w:rsidP="002D488F">
            <w:pPr>
              <w:bidi w:val="0"/>
              <w:rPr>
                <w:rFonts w:ascii="Times New Roman" w:hAnsi="Times New Roman"/>
                <w:b/>
                <w:bCs/>
                <w:color w:val="FFFFFF"/>
                <w:sz w:val="22"/>
                <w:szCs w:val="22"/>
                <w:u w:val="single"/>
              </w:rPr>
            </w:pPr>
          </w:p>
        </w:tc>
        <w:tc>
          <w:tcPr>
            <w:tcW w:w="703" w:type="dxa"/>
            <w:tcBorders>
              <w:top w:val="nil"/>
              <w:left w:val="nil"/>
              <w:bottom w:val="single" w:sz="4" w:space="0" w:color="auto"/>
              <w:right w:val="single" w:sz="4" w:space="0" w:color="auto"/>
            </w:tcBorders>
            <w:shd w:val="clear" w:color="000000" w:fill="000000"/>
            <w:noWrap/>
            <w:textDirection w:val="lrTb"/>
            <w:vAlign w:val="center"/>
            <w:hideMark/>
          </w:tcPr>
          <w:p w:rsidR="00B43540" w:rsidRPr="004545E5" w:rsidP="002D488F">
            <w:pPr>
              <w:bidi w:val="0"/>
              <w:jc w:val="center"/>
              <w:rPr>
                <w:rFonts w:ascii="Times New Roman" w:hAnsi="Times New Roman"/>
                <w:b/>
                <w:bCs/>
                <w:color w:val="FFFFFF"/>
                <w:sz w:val="22"/>
                <w:szCs w:val="22"/>
              </w:rPr>
            </w:pPr>
            <w:r w:rsidRPr="004545E5">
              <w:rPr>
                <w:rFonts w:ascii="Times New Roman" w:hAnsi="Times New Roman"/>
                <w:b/>
                <w:bCs/>
                <w:color w:val="FFFFFF"/>
                <w:sz w:val="22"/>
                <w:szCs w:val="22"/>
              </w:rPr>
              <w:t>2012</w:t>
            </w:r>
          </w:p>
        </w:tc>
        <w:tc>
          <w:tcPr>
            <w:tcW w:w="1419" w:type="dxa"/>
            <w:tcBorders>
              <w:top w:val="nil"/>
              <w:left w:val="nil"/>
              <w:bottom w:val="single" w:sz="4" w:space="0" w:color="auto"/>
              <w:right w:val="single" w:sz="4" w:space="0" w:color="auto"/>
            </w:tcBorders>
            <w:shd w:val="clear" w:color="000000" w:fill="000000"/>
            <w:noWrap/>
            <w:textDirection w:val="lrTb"/>
            <w:vAlign w:val="center"/>
            <w:hideMark/>
          </w:tcPr>
          <w:p w:rsidR="00B43540" w:rsidRPr="004545E5" w:rsidP="002D488F">
            <w:pPr>
              <w:bidi w:val="0"/>
              <w:jc w:val="center"/>
              <w:rPr>
                <w:rFonts w:ascii="Times New Roman" w:hAnsi="Times New Roman"/>
                <w:b/>
                <w:bCs/>
                <w:color w:val="FFFFFF"/>
                <w:sz w:val="22"/>
                <w:szCs w:val="22"/>
              </w:rPr>
            </w:pPr>
            <w:r w:rsidRPr="004545E5">
              <w:rPr>
                <w:rFonts w:ascii="Times New Roman" w:hAnsi="Times New Roman"/>
                <w:b/>
                <w:bCs/>
                <w:color w:val="FFFFFF"/>
                <w:sz w:val="22"/>
                <w:szCs w:val="22"/>
              </w:rPr>
              <w:t>2013</w:t>
            </w:r>
          </w:p>
        </w:tc>
        <w:tc>
          <w:tcPr>
            <w:tcW w:w="1419" w:type="dxa"/>
            <w:tcBorders>
              <w:top w:val="nil"/>
              <w:left w:val="nil"/>
              <w:bottom w:val="single" w:sz="4" w:space="0" w:color="auto"/>
              <w:right w:val="single" w:sz="4" w:space="0" w:color="auto"/>
            </w:tcBorders>
            <w:shd w:val="clear" w:color="000000" w:fill="000000"/>
            <w:noWrap/>
            <w:textDirection w:val="lrTb"/>
            <w:vAlign w:val="center"/>
            <w:hideMark/>
          </w:tcPr>
          <w:p w:rsidR="00B43540" w:rsidRPr="004545E5" w:rsidP="002D488F">
            <w:pPr>
              <w:bidi w:val="0"/>
              <w:jc w:val="center"/>
              <w:rPr>
                <w:rFonts w:ascii="Times New Roman" w:hAnsi="Times New Roman"/>
                <w:b/>
                <w:bCs/>
                <w:color w:val="FFFFFF"/>
                <w:sz w:val="22"/>
                <w:szCs w:val="22"/>
              </w:rPr>
            </w:pPr>
            <w:r w:rsidRPr="004545E5">
              <w:rPr>
                <w:rFonts w:ascii="Times New Roman" w:hAnsi="Times New Roman"/>
                <w:b/>
                <w:bCs/>
                <w:color w:val="FFFFFF"/>
                <w:sz w:val="22"/>
                <w:szCs w:val="22"/>
              </w:rPr>
              <w:t>2014</w:t>
            </w:r>
          </w:p>
        </w:tc>
        <w:tc>
          <w:tcPr>
            <w:tcW w:w="1419" w:type="dxa"/>
            <w:tcBorders>
              <w:top w:val="nil"/>
              <w:left w:val="nil"/>
              <w:bottom w:val="single" w:sz="4" w:space="0" w:color="auto"/>
              <w:right w:val="single" w:sz="4" w:space="0" w:color="auto"/>
            </w:tcBorders>
            <w:shd w:val="clear" w:color="000000" w:fill="000000"/>
            <w:noWrap/>
            <w:textDirection w:val="lrTb"/>
            <w:vAlign w:val="center"/>
            <w:hideMark/>
          </w:tcPr>
          <w:p w:rsidR="00B43540" w:rsidRPr="004545E5" w:rsidP="002D488F">
            <w:pPr>
              <w:bidi w:val="0"/>
              <w:jc w:val="center"/>
              <w:rPr>
                <w:rFonts w:ascii="Times New Roman" w:hAnsi="Times New Roman"/>
                <w:b/>
                <w:bCs/>
                <w:color w:val="FFFFFF"/>
                <w:sz w:val="22"/>
                <w:szCs w:val="22"/>
              </w:rPr>
            </w:pPr>
            <w:r w:rsidRPr="004545E5">
              <w:rPr>
                <w:rFonts w:ascii="Times New Roman" w:hAnsi="Times New Roman"/>
                <w:b/>
                <w:bCs/>
                <w:color w:val="FFFFFF"/>
                <w:sz w:val="22"/>
                <w:szCs w:val="22"/>
              </w:rPr>
              <w:t>2015</w:t>
            </w:r>
          </w:p>
        </w:tc>
      </w:tr>
      <w:tr>
        <w:tblPrEx>
          <w:tblW w:w="9420" w:type="dxa"/>
          <w:tblInd w:w="65" w:type="dxa"/>
          <w:tblCellMar>
            <w:left w:w="70" w:type="dxa"/>
            <w:right w:w="70" w:type="dxa"/>
          </w:tblCellMar>
          <w:tblLook w:val="04A0"/>
        </w:tblPrEx>
        <w:trPr>
          <w:trHeight w:val="375"/>
        </w:trPr>
        <w:tc>
          <w:tcPr>
            <w:tcW w:w="700" w:type="dxa"/>
            <w:tcBorders>
              <w:top w:val="nil"/>
              <w:left w:val="single" w:sz="4" w:space="0" w:color="auto"/>
              <w:bottom w:val="single" w:sz="4" w:space="0" w:color="auto"/>
              <w:right w:val="single" w:sz="4" w:space="0" w:color="auto"/>
            </w:tcBorders>
            <w:noWrap/>
            <w:textDirection w:val="lrTb"/>
            <w:vAlign w:val="center"/>
            <w:hideMark/>
          </w:tcPr>
          <w:p w:rsidR="00B43540" w:rsidRPr="004545E5" w:rsidP="002D488F">
            <w:pPr>
              <w:bidi w:val="0"/>
              <w:jc w:val="right"/>
              <w:rPr>
                <w:rFonts w:ascii="Times New Roman" w:hAnsi="Times New Roman"/>
                <w:b/>
                <w:bCs/>
                <w:color w:val="000000"/>
                <w:sz w:val="20"/>
                <w:szCs w:val="20"/>
              </w:rPr>
            </w:pPr>
            <w:r w:rsidRPr="004545E5">
              <w:rPr>
                <w:rFonts w:ascii="Times New Roman" w:hAnsi="Times New Roman"/>
                <w:b/>
                <w:bCs/>
                <w:color w:val="000000"/>
                <w:sz w:val="20"/>
                <w:szCs w:val="20"/>
              </w:rPr>
              <w:t>100</w:t>
            </w:r>
          </w:p>
        </w:tc>
        <w:tc>
          <w:tcPr>
            <w:tcW w:w="3760" w:type="dxa"/>
            <w:tcBorders>
              <w:top w:val="nil"/>
              <w:left w:val="nil"/>
              <w:bottom w:val="single" w:sz="4" w:space="0" w:color="auto"/>
              <w:right w:val="single" w:sz="4" w:space="0" w:color="auto"/>
            </w:tcBorders>
            <w:noWrap/>
            <w:textDirection w:val="lrTb"/>
            <w:vAlign w:val="center"/>
            <w:hideMark/>
          </w:tcPr>
          <w:p w:rsidR="00B43540" w:rsidRPr="004545E5" w:rsidP="002D488F">
            <w:pPr>
              <w:bidi w:val="0"/>
              <w:rPr>
                <w:rFonts w:ascii="Times New Roman" w:hAnsi="Times New Roman"/>
                <w:b/>
                <w:bCs/>
                <w:color w:val="000000"/>
                <w:sz w:val="20"/>
                <w:szCs w:val="20"/>
              </w:rPr>
            </w:pPr>
            <w:r w:rsidRPr="004545E5">
              <w:rPr>
                <w:rFonts w:ascii="Times New Roman" w:hAnsi="Times New Roman"/>
                <w:b/>
                <w:bCs/>
                <w:color w:val="000000"/>
                <w:sz w:val="20"/>
                <w:szCs w:val="20"/>
              </w:rPr>
              <w:t>Daňové príjmy</w:t>
            </w:r>
          </w:p>
        </w:tc>
        <w:tc>
          <w:tcPr>
            <w:tcW w:w="70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341 215 769</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327 051 563</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358 468 748</w:t>
            </w:r>
          </w:p>
        </w:tc>
      </w:tr>
      <w:tr>
        <w:tblPrEx>
          <w:tblW w:w="9420" w:type="dxa"/>
          <w:tblInd w:w="65" w:type="dxa"/>
          <w:tblCellMar>
            <w:left w:w="70" w:type="dxa"/>
            <w:right w:w="70" w:type="dxa"/>
          </w:tblCellMar>
          <w:tblLook w:val="04A0"/>
        </w:tblPrEx>
        <w:trPr>
          <w:trHeight w:val="375"/>
        </w:trPr>
        <w:tc>
          <w:tcPr>
            <w:tcW w:w="700" w:type="dxa"/>
            <w:tcBorders>
              <w:top w:val="nil"/>
              <w:left w:val="single" w:sz="4" w:space="0" w:color="auto"/>
              <w:bottom w:val="single" w:sz="4" w:space="0" w:color="auto"/>
              <w:right w:val="single" w:sz="4" w:space="0" w:color="auto"/>
            </w:tcBorders>
            <w:noWrap/>
            <w:textDirection w:val="lrTb"/>
            <w:vAlign w:val="center"/>
            <w:hideMark/>
          </w:tcPr>
          <w:p w:rsidR="00B43540" w:rsidRPr="004545E5" w:rsidP="002D488F">
            <w:pPr>
              <w:bidi w:val="0"/>
              <w:jc w:val="right"/>
              <w:rPr>
                <w:rFonts w:ascii="Times New Roman" w:hAnsi="Times New Roman"/>
                <w:i/>
                <w:iCs/>
                <w:color w:val="000000"/>
                <w:sz w:val="20"/>
                <w:szCs w:val="20"/>
              </w:rPr>
            </w:pPr>
            <w:r w:rsidRPr="004545E5">
              <w:rPr>
                <w:rFonts w:ascii="Times New Roman" w:hAnsi="Times New Roman"/>
                <w:i/>
                <w:iCs/>
                <w:color w:val="000000"/>
                <w:sz w:val="20"/>
                <w:szCs w:val="20"/>
              </w:rPr>
              <w:t>110</w:t>
            </w:r>
          </w:p>
        </w:tc>
        <w:tc>
          <w:tcPr>
            <w:tcW w:w="3760" w:type="dxa"/>
            <w:tcBorders>
              <w:top w:val="nil"/>
              <w:left w:val="nil"/>
              <w:bottom w:val="single" w:sz="4" w:space="0" w:color="auto"/>
              <w:right w:val="single" w:sz="4" w:space="0" w:color="auto"/>
            </w:tcBorders>
            <w:noWrap/>
            <w:textDirection w:val="lrTb"/>
            <w:vAlign w:val="center"/>
            <w:hideMark/>
          </w:tcPr>
          <w:p w:rsidR="00B43540" w:rsidRPr="004545E5" w:rsidP="002D488F">
            <w:pPr>
              <w:bidi w:val="0"/>
              <w:rPr>
                <w:rFonts w:ascii="Times New Roman" w:hAnsi="Times New Roman"/>
                <w:i/>
                <w:iCs/>
                <w:color w:val="000000"/>
                <w:sz w:val="20"/>
                <w:szCs w:val="20"/>
              </w:rPr>
            </w:pPr>
            <w:r w:rsidRPr="004545E5">
              <w:rPr>
                <w:rFonts w:ascii="Times New Roman" w:hAnsi="Times New Roman"/>
                <w:i/>
                <w:iCs/>
                <w:color w:val="000000"/>
                <w:sz w:val="20"/>
                <w:szCs w:val="20"/>
              </w:rPr>
              <w:t>Dane z príjmov a kapitálového majetku</w:t>
            </w:r>
          </w:p>
        </w:tc>
        <w:tc>
          <w:tcPr>
            <w:tcW w:w="70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341 215 769</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327 051 563</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358 468 748</w:t>
            </w:r>
          </w:p>
        </w:tc>
      </w:tr>
      <w:tr>
        <w:tblPrEx>
          <w:tblW w:w="9420" w:type="dxa"/>
          <w:tblInd w:w="65" w:type="dxa"/>
          <w:tblCellMar>
            <w:left w:w="70" w:type="dxa"/>
            <w:right w:w="70" w:type="dxa"/>
          </w:tblCellMar>
          <w:tblLook w:val="04A0"/>
        </w:tblPrEx>
        <w:trPr>
          <w:trHeight w:val="375"/>
        </w:trPr>
        <w:tc>
          <w:tcPr>
            <w:tcW w:w="700" w:type="dxa"/>
            <w:tcBorders>
              <w:top w:val="nil"/>
              <w:left w:val="single" w:sz="4" w:space="0" w:color="auto"/>
              <w:bottom w:val="single" w:sz="4" w:space="0" w:color="auto"/>
              <w:right w:val="single" w:sz="4" w:space="0" w:color="auto"/>
            </w:tcBorders>
            <w:textDirection w:val="lrTb"/>
            <w:vAlign w:val="center"/>
            <w:hideMark/>
          </w:tcPr>
          <w:p w:rsidR="00B43540" w:rsidRPr="004545E5" w:rsidP="002D488F">
            <w:pPr>
              <w:bidi w:val="0"/>
              <w:jc w:val="right"/>
              <w:rPr>
                <w:rFonts w:ascii="Times New Roman" w:hAnsi="Times New Roman"/>
                <w:color w:val="000000"/>
                <w:sz w:val="20"/>
                <w:szCs w:val="20"/>
              </w:rPr>
            </w:pPr>
            <w:r w:rsidRPr="004545E5">
              <w:rPr>
                <w:rFonts w:ascii="Times New Roman" w:hAnsi="Times New Roman"/>
                <w:color w:val="000000"/>
                <w:sz w:val="20"/>
                <w:szCs w:val="20"/>
              </w:rPr>
              <w:t>111</w:t>
            </w:r>
          </w:p>
        </w:tc>
        <w:tc>
          <w:tcPr>
            <w:tcW w:w="3760" w:type="dxa"/>
            <w:tcBorders>
              <w:top w:val="nil"/>
              <w:left w:val="nil"/>
              <w:bottom w:val="single" w:sz="4" w:space="0" w:color="auto"/>
              <w:right w:val="single" w:sz="4" w:space="0" w:color="auto"/>
            </w:tcBorders>
            <w:noWrap/>
            <w:textDirection w:val="lrTb"/>
            <w:vAlign w:val="center"/>
            <w:hideMark/>
          </w:tcPr>
          <w:p w:rsidR="00B43540" w:rsidRPr="004545E5" w:rsidP="002D488F">
            <w:pPr>
              <w:bidi w:val="0"/>
              <w:rPr>
                <w:rFonts w:ascii="Times New Roman" w:hAnsi="Times New Roman"/>
                <w:color w:val="000000"/>
                <w:sz w:val="20"/>
                <w:szCs w:val="20"/>
              </w:rPr>
            </w:pPr>
            <w:r w:rsidRPr="004545E5">
              <w:rPr>
                <w:rFonts w:ascii="Times New Roman" w:hAnsi="Times New Roman"/>
                <w:color w:val="000000"/>
                <w:sz w:val="20"/>
                <w:szCs w:val="20"/>
              </w:rPr>
              <w:t>Daň z príjmov fyzickej osoby</w:t>
            </w:r>
          </w:p>
        </w:tc>
        <w:tc>
          <w:tcPr>
            <w:tcW w:w="70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42 923 769</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4 464 563</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12 715 748</w:t>
            </w:r>
          </w:p>
        </w:tc>
      </w:tr>
      <w:tr>
        <w:tblPrEx>
          <w:tblW w:w="9420" w:type="dxa"/>
          <w:tblInd w:w="65" w:type="dxa"/>
          <w:tblCellMar>
            <w:left w:w="70" w:type="dxa"/>
            <w:right w:w="70" w:type="dxa"/>
          </w:tblCellMar>
          <w:tblLook w:val="04A0"/>
        </w:tblPrEx>
        <w:trPr>
          <w:trHeight w:val="375"/>
        </w:trPr>
        <w:tc>
          <w:tcPr>
            <w:tcW w:w="700" w:type="dxa"/>
            <w:tcBorders>
              <w:top w:val="nil"/>
              <w:left w:val="single" w:sz="4" w:space="0" w:color="auto"/>
              <w:bottom w:val="single" w:sz="4" w:space="0" w:color="auto"/>
              <w:right w:val="single" w:sz="4" w:space="0" w:color="auto"/>
            </w:tcBorders>
            <w:textDirection w:val="lrTb"/>
            <w:vAlign w:val="center"/>
            <w:hideMark/>
          </w:tcPr>
          <w:p w:rsidR="00B43540" w:rsidRPr="004545E5" w:rsidP="002D488F">
            <w:pPr>
              <w:bidi w:val="0"/>
              <w:jc w:val="right"/>
              <w:rPr>
                <w:rFonts w:ascii="Times New Roman" w:hAnsi="Times New Roman"/>
                <w:color w:val="000000"/>
                <w:sz w:val="20"/>
                <w:szCs w:val="20"/>
              </w:rPr>
            </w:pPr>
            <w:r w:rsidRPr="004545E5">
              <w:rPr>
                <w:rFonts w:ascii="Times New Roman" w:hAnsi="Times New Roman"/>
                <w:color w:val="000000"/>
                <w:sz w:val="20"/>
                <w:szCs w:val="20"/>
              </w:rPr>
              <w:t>112</w:t>
            </w:r>
          </w:p>
        </w:tc>
        <w:tc>
          <w:tcPr>
            <w:tcW w:w="3760" w:type="dxa"/>
            <w:tcBorders>
              <w:top w:val="nil"/>
              <w:left w:val="nil"/>
              <w:bottom w:val="single" w:sz="4" w:space="0" w:color="auto"/>
              <w:right w:val="single" w:sz="4" w:space="0" w:color="auto"/>
            </w:tcBorders>
            <w:noWrap/>
            <w:textDirection w:val="lrTb"/>
            <w:vAlign w:val="center"/>
            <w:hideMark/>
          </w:tcPr>
          <w:p w:rsidR="00B43540" w:rsidRPr="004545E5" w:rsidP="002D488F">
            <w:pPr>
              <w:bidi w:val="0"/>
              <w:rPr>
                <w:rFonts w:ascii="Times New Roman" w:hAnsi="Times New Roman"/>
                <w:color w:val="000000"/>
                <w:sz w:val="20"/>
                <w:szCs w:val="20"/>
              </w:rPr>
            </w:pPr>
            <w:r w:rsidRPr="004545E5">
              <w:rPr>
                <w:rFonts w:ascii="Times New Roman" w:hAnsi="Times New Roman"/>
                <w:color w:val="000000"/>
                <w:sz w:val="20"/>
                <w:szCs w:val="20"/>
              </w:rPr>
              <w:t>Daň z príjmov právnickej osoby</w:t>
            </w:r>
          </w:p>
        </w:tc>
        <w:tc>
          <w:tcPr>
            <w:tcW w:w="70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298 292 000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322 587 000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345 753 000</w:t>
            </w:r>
          </w:p>
        </w:tc>
      </w:tr>
      <w:tr>
        <w:tblPrEx>
          <w:tblW w:w="9420" w:type="dxa"/>
          <w:tblInd w:w="65" w:type="dxa"/>
          <w:tblCellMar>
            <w:left w:w="70" w:type="dxa"/>
            <w:right w:w="70" w:type="dxa"/>
          </w:tblCellMar>
          <w:tblLook w:val="04A0"/>
        </w:tblPrEx>
        <w:trPr>
          <w:trHeight w:val="375"/>
        </w:trPr>
        <w:tc>
          <w:tcPr>
            <w:tcW w:w="700" w:type="dxa"/>
            <w:tcBorders>
              <w:top w:val="nil"/>
              <w:left w:val="single" w:sz="4" w:space="0" w:color="auto"/>
              <w:bottom w:val="single" w:sz="4" w:space="0" w:color="auto"/>
              <w:right w:val="single" w:sz="4" w:space="0" w:color="auto"/>
            </w:tcBorders>
            <w:textDirection w:val="lrTb"/>
            <w:vAlign w:val="center"/>
            <w:hideMark/>
          </w:tcPr>
          <w:p w:rsidR="00B43540" w:rsidRPr="004545E5" w:rsidP="002D488F">
            <w:pPr>
              <w:bidi w:val="0"/>
              <w:jc w:val="right"/>
              <w:rPr>
                <w:rFonts w:ascii="Times New Roman" w:hAnsi="Times New Roman"/>
                <w:color w:val="000000"/>
                <w:sz w:val="20"/>
                <w:szCs w:val="20"/>
              </w:rPr>
            </w:pPr>
            <w:r w:rsidRPr="004545E5">
              <w:rPr>
                <w:rFonts w:ascii="Times New Roman" w:hAnsi="Times New Roman"/>
                <w:color w:val="000000"/>
                <w:sz w:val="20"/>
                <w:szCs w:val="20"/>
              </w:rPr>
              <w:t>113</w:t>
            </w:r>
          </w:p>
        </w:tc>
        <w:tc>
          <w:tcPr>
            <w:tcW w:w="3760" w:type="dxa"/>
            <w:tcBorders>
              <w:top w:val="nil"/>
              <w:left w:val="nil"/>
              <w:bottom w:val="single" w:sz="4" w:space="0" w:color="auto"/>
              <w:right w:val="single" w:sz="4" w:space="0" w:color="auto"/>
            </w:tcBorders>
            <w:noWrap/>
            <w:textDirection w:val="lrTb"/>
            <w:vAlign w:val="center"/>
            <w:hideMark/>
          </w:tcPr>
          <w:p w:rsidR="00B43540" w:rsidRPr="004545E5" w:rsidP="002D488F">
            <w:pPr>
              <w:bidi w:val="0"/>
              <w:rPr>
                <w:rFonts w:ascii="Times New Roman" w:hAnsi="Times New Roman"/>
                <w:color w:val="000000"/>
                <w:sz w:val="20"/>
                <w:szCs w:val="20"/>
              </w:rPr>
            </w:pPr>
            <w:r w:rsidRPr="004545E5">
              <w:rPr>
                <w:rFonts w:ascii="Times New Roman" w:hAnsi="Times New Roman"/>
                <w:color w:val="000000"/>
                <w:sz w:val="20"/>
                <w:szCs w:val="20"/>
              </w:rPr>
              <w:t>Daň z príjmov vyberaná zrážkou</w:t>
            </w:r>
          </w:p>
        </w:tc>
        <w:tc>
          <w:tcPr>
            <w:tcW w:w="70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r>
      <w:tr>
        <w:tblPrEx>
          <w:tblW w:w="9420" w:type="dxa"/>
          <w:tblInd w:w="65" w:type="dxa"/>
          <w:tblCellMar>
            <w:left w:w="70" w:type="dxa"/>
            <w:right w:w="70" w:type="dxa"/>
          </w:tblCellMar>
          <w:tblLook w:val="04A0"/>
        </w:tblPrEx>
        <w:trPr>
          <w:trHeight w:val="375"/>
        </w:trPr>
        <w:tc>
          <w:tcPr>
            <w:tcW w:w="700" w:type="dxa"/>
            <w:tcBorders>
              <w:top w:val="nil"/>
              <w:left w:val="single" w:sz="4" w:space="0" w:color="auto"/>
              <w:bottom w:val="single" w:sz="4" w:space="0" w:color="auto"/>
              <w:right w:val="single" w:sz="4" w:space="0" w:color="auto"/>
            </w:tcBorders>
            <w:noWrap/>
            <w:textDirection w:val="lrTb"/>
            <w:vAlign w:val="center"/>
            <w:hideMark/>
          </w:tcPr>
          <w:p w:rsidR="00B43540" w:rsidRPr="004545E5" w:rsidP="002D488F">
            <w:pPr>
              <w:bidi w:val="0"/>
              <w:jc w:val="right"/>
              <w:rPr>
                <w:rFonts w:ascii="Times New Roman" w:hAnsi="Times New Roman"/>
                <w:i/>
                <w:iCs/>
                <w:color w:val="000000"/>
                <w:sz w:val="20"/>
                <w:szCs w:val="20"/>
              </w:rPr>
            </w:pPr>
            <w:r w:rsidRPr="004545E5">
              <w:rPr>
                <w:rFonts w:ascii="Times New Roman" w:hAnsi="Times New Roman"/>
                <w:i/>
                <w:iCs/>
                <w:color w:val="000000"/>
                <w:sz w:val="20"/>
                <w:szCs w:val="20"/>
              </w:rPr>
              <w:t>130</w:t>
            </w:r>
          </w:p>
        </w:tc>
        <w:tc>
          <w:tcPr>
            <w:tcW w:w="3760" w:type="dxa"/>
            <w:tcBorders>
              <w:top w:val="nil"/>
              <w:left w:val="nil"/>
              <w:bottom w:val="single" w:sz="4" w:space="0" w:color="auto"/>
              <w:right w:val="single" w:sz="4" w:space="0" w:color="auto"/>
            </w:tcBorders>
            <w:noWrap/>
            <w:textDirection w:val="lrTb"/>
            <w:vAlign w:val="center"/>
            <w:hideMark/>
          </w:tcPr>
          <w:p w:rsidR="00B43540" w:rsidRPr="004545E5" w:rsidP="002D488F">
            <w:pPr>
              <w:bidi w:val="0"/>
              <w:rPr>
                <w:rFonts w:ascii="Times New Roman" w:hAnsi="Times New Roman"/>
                <w:i/>
                <w:iCs/>
                <w:color w:val="000000"/>
                <w:sz w:val="20"/>
                <w:szCs w:val="20"/>
              </w:rPr>
            </w:pPr>
            <w:r w:rsidRPr="004545E5">
              <w:rPr>
                <w:rFonts w:ascii="Times New Roman" w:hAnsi="Times New Roman"/>
                <w:i/>
                <w:iCs/>
                <w:color w:val="000000"/>
                <w:sz w:val="20"/>
                <w:szCs w:val="20"/>
              </w:rPr>
              <w:t>Dane za tovary a služby</w:t>
            </w:r>
          </w:p>
        </w:tc>
        <w:tc>
          <w:tcPr>
            <w:tcW w:w="70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r>
    </w:tbl>
    <w:p w:rsidR="00B43540" w:rsidP="00B43540">
      <w:pPr>
        <w:pStyle w:val="ListParagraph"/>
        <w:bidi w:val="0"/>
        <w:ind w:left="0"/>
        <w:rPr>
          <w:rStyle w:val="PlaceholderText"/>
          <w:color w:val="000000"/>
        </w:rPr>
      </w:pPr>
    </w:p>
    <w:tbl>
      <w:tblPr>
        <w:tblStyle w:val="TableNormal"/>
        <w:tblW w:w="9460" w:type="dxa"/>
        <w:tblInd w:w="65" w:type="dxa"/>
        <w:tblCellMar>
          <w:left w:w="70" w:type="dxa"/>
          <w:right w:w="70" w:type="dxa"/>
        </w:tblCellMar>
        <w:tblLook w:val="04A0"/>
      </w:tblPr>
      <w:tblGrid>
        <w:gridCol w:w="740"/>
        <w:gridCol w:w="3759"/>
        <w:gridCol w:w="767"/>
        <w:gridCol w:w="1398"/>
        <w:gridCol w:w="1398"/>
        <w:gridCol w:w="1398"/>
      </w:tblGrid>
      <w:tr>
        <w:tblPrEx>
          <w:tblW w:w="9460" w:type="dxa"/>
          <w:tblInd w:w="65" w:type="dxa"/>
          <w:tblCellMar>
            <w:left w:w="70" w:type="dxa"/>
            <w:right w:w="70" w:type="dxa"/>
          </w:tblCellMar>
          <w:tblLook w:val="04A0"/>
        </w:tblPrEx>
        <w:trPr>
          <w:trHeight w:val="375"/>
        </w:trPr>
        <w:tc>
          <w:tcPr>
            <w:tcW w:w="740"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center"/>
            <w:hideMark/>
          </w:tcPr>
          <w:p w:rsidR="00B43540" w:rsidRPr="00F57B36" w:rsidP="002D488F">
            <w:pPr>
              <w:bidi w:val="0"/>
              <w:rPr>
                <w:rFonts w:ascii="Times New Roman" w:hAnsi="Times New Roman"/>
                <w:b/>
                <w:bCs/>
                <w:color w:val="FFFFFF"/>
              </w:rPr>
            </w:pPr>
            <w:r w:rsidRPr="00F57B36">
              <w:rPr>
                <w:rFonts w:ascii="Times New Roman" w:hAnsi="Times New Roman"/>
                <w:b/>
                <w:bCs/>
                <w:color w:val="FFFFFF"/>
              </w:rPr>
              <w:t> </w:t>
            </w:r>
          </w:p>
        </w:tc>
        <w:tc>
          <w:tcPr>
            <w:tcW w:w="3759" w:type="dxa"/>
            <w:vMerge w:val="restart"/>
            <w:tcBorders>
              <w:top w:val="single" w:sz="4" w:space="0" w:color="auto"/>
              <w:left w:val="single" w:sz="4" w:space="0" w:color="auto"/>
              <w:bottom w:val="single" w:sz="4" w:space="0" w:color="auto"/>
              <w:right w:val="single" w:sz="4" w:space="0" w:color="auto"/>
            </w:tcBorders>
            <w:shd w:val="clear" w:color="000000" w:fill="000000"/>
            <w:textDirection w:val="lrTb"/>
            <w:vAlign w:val="center"/>
            <w:hideMark/>
          </w:tcPr>
          <w:p w:rsidR="00B43540" w:rsidRPr="00F57B36" w:rsidP="002D488F">
            <w:pPr>
              <w:bidi w:val="0"/>
              <w:rPr>
                <w:rFonts w:ascii="Times New Roman" w:hAnsi="Times New Roman"/>
                <w:b/>
                <w:bCs/>
                <w:color w:val="FFFFFF"/>
                <w:sz w:val="22"/>
                <w:szCs w:val="22"/>
                <w:u w:val="single"/>
              </w:rPr>
            </w:pPr>
            <w:r w:rsidRPr="00F57B36">
              <w:rPr>
                <w:rFonts w:ascii="Times New Roman" w:hAnsi="Times New Roman"/>
                <w:b/>
                <w:bCs/>
                <w:color w:val="FFFFFF"/>
                <w:sz w:val="22"/>
                <w:szCs w:val="22"/>
                <w:u w:val="single"/>
              </w:rPr>
              <w:t>Rozpočet obcí - príjmy (v eur)</w:t>
            </w:r>
          </w:p>
        </w:tc>
        <w:tc>
          <w:tcPr>
            <w:tcW w:w="4961" w:type="dxa"/>
            <w:gridSpan w:val="4"/>
            <w:tcBorders>
              <w:top w:val="single" w:sz="4" w:space="0" w:color="auto"/>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rPr>
            </w:pPr>
            <w:r w:rsidRPr="00F57B36">
              <w:rPr>
                <w:rFonts w:ascii="Times New Roman" w:hAnsi="Times New Roman"/>
                <w:b/>
                <w:bCs/>
                <w:color w:val="FFFFFF"/>
              </w:rPr>
              <w:t>Vplyv na rozpočet obcí (ESA95)</w:t>
            </w:r>
          </w:p>
        </w:tc>
      </w:tr>
      <w:tr>
        <w:tblPrEx>
          <w:tblW w:w="9460" w:type="dxa"/>
          <w:tblInd w:w="65" w:type="dxa"/>
          <w:tblCellMar>
            <w:left w:w="70" w:type="dxa"/>
            <w:right w:w="70" w:type="dxa"/>
          </w:tblCellMar>
          <w:tblLook w:val="04A0"/>
        </w:tblPrEx>
        <w:trPr>
          <w:trHeight w:val="375"/>
        </w:trPr>
        <w:tc>
          <w:tcPr>
            <w:tcW w:w="740" w:type="dxa"/>
            <w:tcBorders>
              <w:top w:val="nil"/>
              <w:left w:val="single" w:sz="4" w:space="0" w:color="auto"/>
              <w:bottom w:val="single" w:sz="4" w:space="0" w:color="auto"/>
              <w:right w:val="single" w:sz="4" w:space="0" w:color="auto"/>
            </w:tcBorders>
            <w:shd w:val="clear" w:color="000000" w:fill="000000"/>
            <w:noWrap/>
            <w:textDirection w:val="lrTb"/>
            <w:vAlign w:val="center"/>
            <w:hideMark/>
          </w:tcPr>
          <w:p w:rsidR="00B43540" w:rsidRPr="00F57B36" w:rsidP="002D488F">
            <w:pPr>
              <w:bidi w:val="0"/>
              <w:rPr>
                <w:rFonts w:ascii="Times New Roman" w:hAnsi="Times New Roman"/>
                <w:b/>
                <w:bCs/>
                <w:color w:val="FFFFFF"/>
              </w:rPr>
            </w:pPr>
            <w:r w:rsidRPr="00F57B36">
              <w:rPr>
                <w:rFonts w:ascii="Times New Roman" w:hAnsi="Times New Roman"/>
                <w:b/>
                <w:bCs/>
                <w:color w:val="FFFFFF"/>
              </w:rPr>
              <w:t> </w:t>
            </w:r>
          </w:p>
        </w:tc>
        <w:tc>
          <w:tcPr>
            <w:tcW w:w="3759" w:type="dxa"/>
            <w:vMerge/>
            <w:tcBorders>
              <w:top w:val="single" w:sz="4" w:space="0" w:color="auto"/>
              <w:left w:val="single" w:sz="4" w:space="0" w:color="auto"/>
              <w:bottom w:val="single" w:sz="4" w:space="0" w:color="auto"/>
              <w:right w:val="single" w:sz="4" w:space="0" w:color="auto"/>
            </w:tcBorders>
            <w:textDirection w:val="lrTb"/>
            <w:vAlign w:val="center"/>
            <w:hideMark/>
          </w:tcPr>
          <w:p w:rsidR="00B43540" w:rsidRPr="00F57B36" w:rsidP="002D488F">
            <w:pPr>
              <w:bidi w:val="0"/>
              <w:rPr>
                <w:rFonts w:ascii="Times New Roman" w:hAnsi="Times New Roman"/>
                <w:b/>
                <w:bCs/>
                <w:color w:val="FFFFFF"/>
                <w:sz w:val="22"/>
                <w:szCs w:val="22"/>
                <w:u w:val="single"/>
              </w:rPr>
            </w:pPr>
          </w:p>
        </w:tc>
        <w:tc>
          <w:tcPr>
            <w:tcW w:w="767" w:type="dxa"/>
            <w:tcBorders>
              <w:top w:val="nil"/>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2012</w:t>
            </w:r>
          </w:p>
        </w:tc>
        <w:tc>
          <w:tcPr>
            <w:tcW w:w="1398" w:type="dxa"/>
            <w:tcBorders>
              <w:top w:val="nil"/>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2013</w:t>
            </w:r>
          </w:p>
        </w:tc>
        <w:tc>
          <w:tcPr>
            <w:tcW w:w="1398" w:type="dxa"/>
            <w:tcBorders>
              <w:top w:val="nil"/>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2014</w:t>
            </w:r>
          </w:p>
        </w:tc>
        <w:tc>
          <w:tcPr>
            <w:tcW w:w="1398" w:type="dxa"/>
            <w:tcBorders>
              <w:top w:val="nil"/>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2015</w:t>
            </w:r>
          </w:p>
        </w:tc>
      </w:tr>
      <w:tr>
        <w:tblPrEx>
          <w:tblW w:w="9460" w:type="dxa"/>
          <w:tblInd w:w="65" w:type="dxa"/>
          <w:tblCellMar>
            <w:left w:w="70" w:type="dxa"/>
            <w:right w:w="70" w:type="dxa"/>
          </w:tblCellMar>
          <w:tblLook w:val="04A0"/>
        </w:tblPrEx>
        <w:trPr>
          <w:trHeight w:val="375"/>
        </w:trPr>
        <w:tc>
          <w:tcPr>
            <w:tcW w:w="740"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b/>
                <w:bCs/>
                <w:color w:val="000000"/>
                <w:sz w:val="20"/>
                <w:szCs w:val="20"/>
              </w:rPr>
            </w:pPr>
            <w:r w:rsidRPr="00F57B36">
              <w:rPr>
                <w:rFonts w:ascii="Times New Roman" w:hAnsi="Times New Roman"/>
                <w:b/>
                <w:bCs/>
                <w:color w:val="000000"/>
                <w:sz w:val="20"/>
                <w:szCs w:val="20"/>
              </w:rPr>
              <w:t>100</w:t>
            </w:r>
          </w:p>
        </w:tc>
        <w:tc>
          <w:tcPr>
            <w:tcW w:w="3759"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b/>
                <w:bCs/>
                <w:color w:val="000000"/>
                <w:sz w:val="20"/>
                <w:szCs w:val="20"/>
              </w:rPr>
            </w:pPr>
            <w:r w:rsidRPr="00F57B36">
              <w:rPr>
                <w:rFonts w:ascii="Times New Roman" w:hAnsi="Times New Roman"/>
                <w:b/>
                <w:bCs/>
                <w:color w:val="000000"/>
                <w:sz w:val="20"/>
                <w:szCs w:val="20"/>
              </w:rPr>
              <w:t>Daňové príjmy</w:t>
            </w:r>
          </w:p>
        </w:tc>
        <w:tc>
          <w:tcPr>
            <w:tcW w:w="767"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0</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26 544 315</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62 185 541</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59 698 164</w:t>
            </w:r>
          </w:p>
        </w:tc>
      </w:tr>
      <w:tr>
        <w:tblPrEx>
          <w:tblW w:w="9460" w:type="dxa"/>
          <w:tblInd w:w="65" w:type="dxa"/>
          <w:tblCellMar>
            <w:left w:w="70" w:type="dxa"/>
            <w:right w:w="70" w:type="dxa"/>
          </w:tblCellMar>
          <w:tblLook w:val="04A0"/>
        </w:tblPrEx>
        <w:trPr>
          <w:trHeight w:val="375"/>
        </w:trPr>
        <w:tc>
          <w:tcPr>
            <w:tcW w:w="740"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i/>
                <w:iCs/>
                <w:color w:val="000000"/>
                <w:sz w:val="20"/>
                <w:szCs w:val="20"/>
              </w:rPr>
            </w:pPr>
            <w:r w:rsidRPr="00F57B36">
              <w:rPr>
                <w:rFonts w:ascii="Times New Roman" w:hAnsi="Times New Roman"/>
                <w:i/>
                <w:iCs/>
                <w:color w:val="000000"/>
                <w:sz w:val="20"/>
                <w:szCs w:val="20"/>
              </w:rPr>
              <w:t>110</w:t>
            </w:r>
          </w:p>
        </w:tc>
        <w:tc>
          <w:tcPr>
            <w:tcW w:w="3759"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i/>
                <w:iCs/>
                <w:color w:val="000000"/>
                <w:sz w:val="20"/>
                <w:szCs w:val="20"/>
              </w:rPr>
            </w:pPr>
            <w:r w:rsidRPr="00F57B36">
              <w:rPr>
                <w:rFonts w:ascii="Times New Roman" w:hAnsi="Times New Roman"/>
                <w:i/>
                <w:iCs/>
                <w:color w:val="000000"/>
                <w:sz w:val="20"/>
                <w:szCs w:val="20"/>
              </w:rPr>
              <w:t>Dane z príjmov a kapitálového majetku</w:t>
            </w:r>
          </w:p>
        </w:tc>
        <w:tc>
          <w:tcPr>
            <w:tcW w:w="767"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26 544 315</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62 185 541</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59 698 164</w:t>
            </w:r>
          </w:p>
        </w:tc>
      </w:tr>
      <w:tr>
        <w:tblPrEx>
          <w:tblW w:w="9460" w:type="dxa"/>
          <w:tblInd w:w="65" w:type="dxa"/>
          <w:tblCellMar>
            <w:left w:w="70" w:type="dxa"/>
            <w:right w:w="70" w:type="dxa"/>
          </w:tblCellMar>
          <w:tblLook w:val="04A0"/>
        </w:tblPrEx>
        <w:trPr>
          <w:trHeight w:val="375"/>
        </w:trPr>
        <w:tc>
          <w:tcPr>
            <w:tcW w:w="740" w:type="dxa"/>
            <w:tcBorders>
              <w:top w:val="nil"/>
              <w:left w:val="single" w:sz="4" w:space="0" w:color="auto"/>
              <w:bottom w:val="single" w:sz="4" w:space="0" w:color="auto"/>
              <w:right w:val="single" w:sz="4" w:space="0" w:color="auto"/>
            </w:tcBorders>
            <w:textDirection w:val="lrTb"/>
            <w:vAlign w:val="center"/>
            <w:hideMark/>
          </w:tcPr>
          <w:p w:rsidR="00B43540" w:rsidRPr="00F57B36" w:rsidP="002D488F">
            <w:pPr>
              <w:bidi w:val="0"/>
              <w:jc w:val="right"/>
              <w:rPr>
                <w:rFonts w:ascii="Times New Roman" w:hAnsi="Times New Roman"/>
                <w:color w:val="000000"/>
                <w:sz w:val="20"/>
                <w:szCs w:val="20"/>
              </w:rPr>
            </w:pPr>
            <w:r w:rsidRPr="00F57B36">
              <w:rPr>
                <w:rFonts w:ascii="Times New Roman" w:hAnsi="Times New Roman"/>
                <w:color w:val="000000"/>
                <w:sz w:val="20"/>
                <w:szCs w:val="20"/>
              </w:rPr>
              <w:t>111003</w:t>
            </w:r>
          </w:p>
        </w:tc>
        <w:tc>
          <w:tcPr>
            <w:tcW w:w="3759"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color w:val="000000"/>
                <w:sz w:val="20"/>
                <w:szCs w:val="20"/>
              </w:rPr>
            </w:pPr>
            <w:r w:rsidRPr="00F57B36">
              <w:rPr>
                <w:rFonts w:ascii="Times New Roman" w:hAnsi="Times New Roman"/>
                <w:color w:val="000000"/>
                <w:sz w:val="20"/>
                <w:szCs w:val="20"/>
              </w:rPr>
              <w:t>Daň z príjmov fyzickej osoby</w:t>
            </w:r>
          </w:p>
        </w:tc>
        <w:tc>
          <w:tcPr>
            <w:tcW w:w="767"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26 544 315</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62 185 541</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59 698 164</w:t>
            </w:r>
          </w:p>
        </w:tc>
      </w:tr>
    </w:tbl>
    <w:p w:rsidR="00B43540" w:rsidP="00B43540">
      <w:pPr>
        <w:pStyle w:val="ListParagraph"/>
        <w:bidi w:val="0"/>
        <w:ind w:left="0"/>
        <w:rPr>
          <w:rStyle w:val="PlaceholderText"/>
          <w:color w:val="000000"/>
        </w:rPr>
      </w:pPr>
    </w:p>
    <w:tbl>
      <w:tblPr>
        <w:tblStyle w:val="TableNormal"/>
        <w:tblW w:w="9460" w:type="dxa"/>
        <w:tblInd w:w="65" w:type="dxa"/>
        <w:tblCellMar>
          <w:left w:w="70" w:type="dxa"/>
          <w:right w:w="70" w:type="dxa"/>
        </w:tblCellMar>
        <w:tblLook w:val="04A0"/>
      </w:tblPr>
      <w:tblGrid>
        <w:gridCol w:w="740"/>
        <w:gridCol w:w="3759"/>
        <w:gridCol w:w="767"/>
        <w:gridCol w:w="1398"/>
        <w:gridCol w:w="1398"/>
        <w:gridCol w:w="1398"/>
      </w:tblGrid>
      <w:tr>
        <w:tblPrEx>
          <w:tblW w:w="9460" w:type="dxa"/>
          <w:tblInd w:w="65" w:type="dxa"/>
          <w:tblCellMar>
            <w:left w:w="70" w:type="dxa"/>
            <w:right w:w="70" w:type="dxa"/>
          </w:tblCellMar>
          <w:tblLook w:val="04A0"/>
        </w:tblPrEx>
        <w:trPr>
          <w:trHeight w:val="375"/>
        </w:trPr>
        <w:tc>
          <w:tcPr>
            <w:tcW w:w="740"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center"/>
            <w:hideMark/>
          </w:tcPr>
          <w:p w:rsidR="00B43540" w:rsidRPr="00F57B36" w:rsidP="002D488F">
            <w:pPr>
              <w:bidi w:val="0"/>
              <w:rPr>
                <w:rFonts w:ascii="Times New Roman" w:hAnsi="Times New Roman"/>
                <w:b/>
                <w:bCs/>
                <w:color w:val="FFFFFF"/>
              </w:rPr>
            </w:pPr>
            <w:r w:rsidRPr="00F57B36">
              <w:rPr>
                <w:rFonts w:ascii="Times New Roman" w:hAnsi="Times New Roman"/>
                <w:b/>
                <w:bCs/>
                <w:color w:val="FFFFFF"/>
              </w:rPr>
              <w:t> </w:t>
            </w:r>
          </w:p>
        </w:tc>
        <w:tc>
          <w:tcPr>
            <w:tcW w:w="3759" w:type="dxa"/>
            <w:vMerge w:val="restart"/>
            <w:tcBorders>
              <w:top w:val="single" w:sz="4" w:space="0" w:color="auto"/>
              <w:left w:val="single" w:sz="4" w:space="0" w:color="auto"/>
              <w:bottom w:val="single" w:sz="4" w:space="0" w:color="auto"/>
              <w:right w:val="single" w:sz="4" w:space="0" w:color="auto"/>
            </w:tcBorders>
            <w:shd w:val="clear" w:color="000000" w:fill="000000"/>
            <w:textDirection w:val="lrTb"/>
            <w:vAlign w:val="center"/>
            <w:hideMark/>
          </w:tcPr>
          <w:p w:rsidR="00B43540" w:rsidRPr="00F57B36" w:rsidP="002D488F">
            <w:pPr>
              <w:bidi w:val="0"/>
              <w:rPr>
                <w:rFonts w:ascii="Times New Roman" w:hAnsi="Times New Roman"/>
                <w:b/>
                <w:bCs/>
                <w:color w:val="FFFFFF"/>
                <w:sz w:val="22"/>
                <w:szCs w:val="22"/>
                <w:u w:val="single"/>
              </w:rPr>
            </w:pPr>
            <w:r w:rsidRPr="00F57B36">
              <w:rPr>
                <w:rFonts w:ascii="Times New Roman" w:hAnsi="Times New Roman"/>
                <w:b/>
                <w:bCs/>
                <w:color w:val="FFFFFF"/>
                <w:sz w:val="22"/>
                <w:szCs w:val="22"/>
                <w:u w:val="single"/>
              </w:rPr>
              <w:t>Rozpočet VÚC - príjmy (v eur)</w:t>
            </w:r>
          </w:p>
        </w:tc>
        <w:tc>
          <w:tcPr>
            <w:tcW w:w="4961" w:type="dxa"/>
            <w:gridSpan w:val="4"/>
            <w:tcBorders>
              <w:top w:val="single" w:sz="4" w:space="0" w:color="auto"/>
              <w:left w:val="nil"/>
              <w:bottom w:val="single" w:sz="4" w:space="0" w:color="auto"/>
              <w:right w:val="single" w:sz="4" w:space="0" w:color="000000"/>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rPr>
            </w:pPr>
            <w:r w:rsidRPr="00F57B36">
              <w:rPr>
                <w:rFonts w:ascii="Times New Roman" w:hAnsi="Times New Roman"/>
                <w:b/>
                <w:bCs/>
                <w:color w:val="FFFFFF"/>
              </w:rPr>
              <w:t>Vplyv na rozpočet VÚC (ESA95)</w:t>
            </w:r>
          </w:p>
        </w:tc>
      </w:tr>
      <w:tr>
        <w:tblPrEx>
          <w:tblW w:w="9460" w:type="dxa"/>
          <w:tblInd w:w="65" w:type="dxa"/>
          <w:tblCellMar>
            <w:left w:w="70" w:type="dxa"/>
            <w:right w:w="70" w:type="dxa"/>
          </w:tblCellMar>
          <w:tblLook w:val="04A0"/>
        </w:tblPrEx>
        <w:trPr>
          <w:trHeight w:val="375"/>
        </w:trPr>
        <w:tc>
          <w:tcPr>
            <w:tcW w:w="740" w:type="dxa"/>
            <w:tcBorders>
              <w:top w:val="nil"/>
              <w:left w:val="single" w:sz="4" w:space="0" w:color="auto"/>
              <w:bottom w:val="single" w:sz="4" w:space="0" w:color="auto"/>
              <w:right w:val="single" w:sz="4" w:space="0" w:color="auto"/>
            </w:tcBorders>
            <w:shd w:val="clear" w:color="000000" w:fill="000000"/>
            <w:noWrap/>
            <w:textDirection w:val="lrTb"/>
            <w:vAlign w:val="center"/>
            <w:hideMark/>
          </w:tcPr>
          <w:p w:rsidR="00B43540" w:rsidRPr="00F57B36" w:rsidP="002D488F">
            <w:pPr>
              <w:bidi w:val="0"/>
              <w:rPr>
                <w:rFonts w:ascii="Times New Roman" w:hAnsi="Times New Roman"/>
                <w:b/>
                <w:bCs/>
                <w:color w:val="FFFFFF"/>
              </w:rPr>
            </w:pPr>
            <w:r w:rsidRPr="00F57B36">
              <w:rPr>
                <w:rFonts w:ascii="Times New Roman" w:hAnsi="Times New Roman"/>
                <w:b/>
                <w:bCs/>
                <w:color w:val="FFFFFF"/>
              </w:rPr>
              <w:t> </w:t>
            </w:r>
          </w:p>
        </w:tc>
        <w:tc>
          <w:tcPr>
            <w:tcW w:w="3759" w:type="dxa"/>
            <w:vMerge/>
            <w:tcBorders>
              <w:top w:val="single" w:sz="4" w:space="0" w:color="auto"/>
              <w:left w:val="single" w:sz="4" w:space="0" w:color="auto"/>
              <w:bottom w:val="single" w:sz="4" w:space="0" w:color="auto"/>
              <w:right w:val="single" w:sz="4" w:space="0" w:color="auto"/>
            </w:tcBorders>
            <w:textDirection w:val="lrTb"/>
            <w:vAlign w:val="center"/>
            <w:hideMark/>
          </w:tcPr>
          <w:p w:rsidR="00B43540" w:rsidRPr="00F57B36" w:rsidP="002D488F">
            <w:pPr>
              <w:bidi w:val="0"/>
              <w:rPr>
                <w:rFonts w:ascii="Times New Roman" w:hAnsi="Times New Roman"/>
                <w:b/>
                <w:bCs/>
                <w:color w:val="FFFFFF"/>
                <w:sz w:val="22"/>
                <w:szCs w:val="22"/>
                <w:u w:val="single"/>
              </w:rPr>
            </w:pPr>
          </w:p>
        </w:tc>
        <w:tc>
          <w:tcPr>
            <w:tcW w:w="767" w:type="dxa"/>
            <w:tcBorders>
              <w:top w:val="nil"/>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2012</w:t>
            </w:r>
          </w:p>
        </w:tc>
        <w:tc>
          <w:tcPr>
            <w:tcW w:w="1398" w:type="dxa"/>
            <w:tcBorders>
              <w:top w:val="nil"/>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2013</w:t>
            </w:r>
          </w:p>
        </w:tc>
        <w:tc>
          <w:tcPr>
            <w:tcW w:w="1398" w:type="dxa"/>
            <w:tcBorders>
              <w:top w:val="nil"/>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2014</w:t>
            </w:r>
          </w:p>
        </w:tc>
        <w:tc>
          <w:tcPr>
            <w:tcW w:w="1398" w:type="dxa"/>
            <w:tcBorders>
              <w:top w:val="nil"/>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2015</w:t>
            </w:r>
          </w:p>
        </w:tc>
      </w:tr>
      <w:tr>
        <w:tblPrEx>
          <w:tblW w:w="9460" w:type="dxa"/>
          <w:tblInd w:w="65" w:type="dxa"/>
          <w:tblCellMar>
            <w:left w:w="70" w:type="dxa"/>
            <w:right w:w="70" w:type="dxa"/>
          </w:tblCellMar>
          <w:tblLook w:val="04A0"/>
        </w:tblPrEx>
        <w:trPr>
          <w:trHeight w:val="375"/>
        </w:trPr>
        <w:tc>
          <w:tcPr>
            <w:tcW w:w="740"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b/>
                <w:bCs/>
                <w:color w:val="000000"/>
                <w:sz w:val="20"/>
                <w:szCs w:val="20"/>
              </w:rPr>
            </w:pPr>
            <w:r w:rsidRPr="00F57B36">
              <w:rPr>
                <w:rFonts w:ascii="Times New Roman" w:hAnsi="Times New Roman"/>
                <w:b/>
                <w:bCs/>
                <w:color w:val="000000"/>
                <w:sz w:val="20"/>
                <w:szCs w:val="20"/>
              </w:rPr>
              <w:t>100</w:t>
            </w:r>
          </w:p>
        </w:tc>
        <w:tc>
          <w:tcPr>
            <w:tcW w:w="3759"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b/>
                <w:bCs/>
                <w:color w:val="000000"/>
                <w:sz w:val="20"/>
                <w:szCs w:val="20"/>
              </w:rPr>
            </w:pPr>
            <w:r w:rsidRPr="00F57B36">
              <w:rPr>
                <w:rFonts w:ascii="Times New Roman" w:hAnsi="Times New Roman"/>
                <w:b/>
                <w:bCs/>
                <w:color w:val="000000"/>
                <w:sz w:val="20"/>
                <w:szCs w:val="20"/>
              </w:rPr>
              <w:t>Daňové príjmy</w:t>
            </w:r>
          </w:p>
        </w:tc>
        <w:tc>
          <w:tcPr>
            <w:tcW w:w="767"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0</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8 888 692</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20 823 599</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19 990 669</w:t>
            </w:r>
          </w:p>
        </w:tc>
      </w:tr>
      <w:tr>
        <w:tblPrEx>
          <w:tblW w:w="9460" w:type="dxa"/>
          <w:tblInd w:w="65" w:type="dxa"/>
          <w:tblCellMar>
            <w:left w:w="70" w:type="dxa"/>
            <w:right w:w="70" w:type="dxa"/>
          </w:tblCellMar>
          <w:tblLook w:val="04A0"/>
        </w:tblPrEx>
        <w:trPr>
          <w:trHeight w:val="375"/>
        </w:trPr>
        <w:tc>
          <w:tcPr>
            <w:tcW w:w="740"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i/>
                <w:iCs/>
                <w:color w:val="000000"/>
                <w:sz w:val="20"/>
                <w:szCs w:val="20"/>
              </w:rPr>
            </w:pPr>
            <w:r w:rsidRPr="00F57B36">
              <w:rPr>
                <w:rFonts w:ascii="Times New Roman" w:hAnsi="Times New Roman"/>
                <w:i/>
                <w:iCs/>
                <w:color w:val="000000"/>
                <w:sz w:val="20"/>
                <w:szCs w:val="20"/>
              </w:rPr>
              <w:t>110</w:t>
            </w:r>
          </w:p>
        </w:tc>
        <w:tc>
          <w:tcPr>
            <w:tcW w:w="3759"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i/>
                <w:iCs/>
                <w:color w:val="000000"/>
                <w:sz w:val="20"/>
                <w:szCs w:val="20"/>
              </w:rPr>
            </w:pPr>
            <w:r w:rsidRPr="00F57B36">
              <w:rPr>
                <w:rFonts w:ascii="Times New Roman" w:hAnsi="Times New Roman"/>
                <w:i/>
                <w:iCs/>
                <w:color w:val="000000"/>
                <w:sz w:val="20"/>
                <w:szCs w:val="20"/>
              </w:rPr>
              <w:t>Dane z príjmov a kapitálového majetku</w:t>
            </w:r>
          </w:p>
        </w:tc>
        <w:tc>
          <w:tcPr>
            <w:tcW w:w="767"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8 888 692</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20 823 599</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19 990 669</w:t>
            </w:r>
          </w:p>
        </w:tc>
      </w:tr>
      <w:tr>
        <w:tblPrEx>
          <w:tblW w:w="9460" w:type="dxa"/>
          <w:tblInd w:w="65" w:type="dxa"/>
          <w:tblCellMar>
            <w:left w:w="70" w:type="dxa"/>
            <w:right w:w="70" w:type="dxa"/>
          </w:tblCellMar>
          <w:tblLook w:val="04A0"/>
        </w:tblPrEx>
        <w:trPr>
          <w:trHeight w:val="375"/>
        </w:trPr>
        <w:tc>
          <w:tcPr>
            <w:tcW w:w="740" w:type="dxa"/>
            <w:tcBorders>
              <w:top w:val="nil"/>
              <w:left w:val="single" w:sz="4" w:space="0" w:color="auto"/>
              <w:bottom w:val="single" w:sz="4" w:space="0" w:color="auto"/>
              <w:right w:val="single" w:sz="4" w:space="0" w:color="auto"/>
            </w:tcBorders>
            <w:textDirection w:val="lrTb"/>
            <w:vAlign w:val="center"/>
            <w:hideMark/>
          </w:tcPr>
          <w:p w:rsidR="00B43540" w:rsidRPr="00F57B36" w:rsidP="002D488F">
            <w:pPr>
              <w:bidi w:val="0"/>
              <w:jc w:val="right"/>
              <w:rPr>
                <w:rFonts w:ascii="Times New Roman" w:hAnsi="Times New Roman"/>
                <w:color w:val="000000"/>
                <w:sz w:val="20"/>
                <w:szCs w:val="20"/>
              </w:rPr>
            </w:pPr>
            <w:r w:rsidRPr="00F57B36">
              <w:rPr>
                <w:rFonts w:ascii="Times New Roman" w:hAnsi="Times New Roman"/>
                <w:color w:val="000000"/>
                <w:sz w:val="20"/>
                <w:szCs w:val="20"/>
              </w:rPr>
              <w:t>111003</w:t>
            </w:r>
          </w:p>
        </w:tc>
        <w:tc>
          <w:tcPr>
            <w:tcW w:w="3759"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color w:val="000000"/>
                <w:sz w:val="20"/>
                <w:szCs w:val="20"/>
              </w:rPr>
            </w:pPr>
            <w:r w:rsidRPr="00F57B36">
              <w:rPr>
                <w:rFonts w:ascii="Times New Roman" w:hAnsi="Times New Roman"/>
                <w:color w:val="000000"/>
                <w:sz w:val="20"/>
                <w:szCs w:val="20"/>
              </w:rPr>
              <w:t>Daň z príjmov fyzickej osoby</w:t>
            </w:r>
          </w:p>
        </w:tc>
        <w:tc>
          <w:tcPr>
            <w:tcW w:w="767"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8 888 692</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20 823 599</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19 990 669</w:t>
            </w:r>
          </w:p>
        </w:tc>
      </w:tr>
    </w:tbl>
    <w:p w:rsidR="00B43540" w:rsidP="00B43540">
      <w:pPr>
        <w:pStyle w:val="ListParagraph"/>
        <w:bidi w:val="0"/>
        <w:ind w:left="0"/>
        <w:rPr>
          <w:rStyle w:val="PlaceholderText"/>
          <w:color w:val="000000"/>
        </w:rPr>
      </w:pPr>
    </w:p>
    <w:tbl>
      <w:tblPr>
        <w:tblStyle w:val="TableNormal"/>
        <w:tblW w:w="9420" w:type="dxa"/>
        <w:tblInd w:w="65" w:type="dxa"/>
        <w:tblCellMar>
          <w:left w:w="70" w:type="dxa"/>
          <w:right w:w="70" w:type="dxa"/>
        </w:tblCellMar>
        <w:tblLook w:val="04A0"/>
      </w:tblPr>
      <w:tblGrid>
        <w:gridCol w:w="708"/>
        <w:gridCol w:w="3744"/>
        <w:gridCol w:w="934"/>
        <w:gridCol w:w="934"/>
        <w:gridCol w:w="1550"/>
        <w:gridCol w:w="1550"/>
      </w:tblGrid>
      <w:tr>
        <w:tblPrEx>
          <w:tblW w:w="9420" w:type="dxa"/>
          <w:tblInd w:w="65" w:type="dxa"/>
          <w:tblCellMar>
            <w:left w:w="70" w:type="dxa"/>
            <w:right w:w="70" w:type="dxa"/>
          </w:tblCellMar>
          <w:tblLook w:val="04A0"/>
        </w:tblPrEx>
        <w:trPr>
          <w:trHeight w:val="375"/>
        </w:trPr>
        <w:tc>
          <w:tcPr>
            <w:tcW w:w="708" w:type="dxa"/>
            <w:tcBorders>
              <w:top w:val="single" w:sz="4" w:space="0" w:color="auto"/>
              <w:left w:val="single" w:sz="4" w:space="0" w:color="auto"/>
              <w:bottom w:val="nil"/>
              <w:right w:val="nil"/>
            </w:tcBorders>
            <w:shd w:val="clear" w:color="000000" w:fill="000000"/>
            <w:noWrap/>
            <w:textDirection w:val="lrTb"/>
            <w:vAlign w:val="center"/>
            <w:hideMark/>
          </w:tcPr>
          <w:p w:rsidR="00B43540" w:rsidRPr="00F57B36" w:rsidP="002D488F">
            <w:pPr>
              <w:bidi w:val="0"/>
              <w:rPr>
                <w:rFonts w:ascii="Times New Roman" w:hAnsi="Times New Roman"/>
                <w:b/>
                <w:bCs/>
                <w:color w:val="FFFFFF"/>
              </w:rPr>
            </w:pPr>
            <w:r w:rsidRPr="00F57B36">
              <w:rPr>
                <w:rFonts w:ascii="Times New Roman" w:hAnsi="Times New Roman"/>
                <w:b/>
                <w:bCs/>
                <w:color w:val="FFFFFF"/>
              </w:rPr>
              <w:t> </w:t>
            </w:r>
          </w:p>
        </w:tc>
        <w:tc>
          <w:tcPr>
            <w:tcW w:w="3744" w:type="dxa"/>
            <w:vMerge w:val="restart"/>
            <w:tcBorders>
              <w:top w:val="single" w:sz="4" w:space="0" w:color="auto"/>
              <w:left w:val="nil"/>
              <w:bottom w:val="single" w:sz="4" w:space="0" w:color="000000"/>
              <w:right w:val="nil"/>
            </w:tcBorders>
            <w:shd w:val="clear" w:color="000000" w:fill="000000"/>
            <w:textDirection w:val="lrTb"/>
            <w:vAlign w:val="center"/>
            <w:hideMark/>
          </w:tcPr>
          <w:p w:rsidR="00B43540" w:rsidRPr="00F57B36" w:rsidP="002D488F">
            <w:pPr>
              <w:bidi w:val="0"/>
              <w:rPr>
                <w:rFonts w:ascii="Times New Roman" w:hAnsi="Times New Roman"/>
                <w:b/>
                <w:bCs/>
                <w:color w:val="FFFFFF"/>
                <w:sz w:val="22"/>
                <w:szCs w:val="22"/>
                <w:u w:val="single"/>
              </w:rPr>
            </w:pPr>
            <w:r w:rsidRPr="00F57B36">
              <w:rPr>
                <w:rFonts w:ascii="Times New Roman" w:hAnsi="Times New Roman"/>
                <w:b/>
                <w:bCs/>
                <w:color w:val="FFFFFF"/>
                <w:sz w:val="22"/>
                <w:szCs w:val="22"/>
                <w:u w:val="single"/>
              </w:rPr>
              <w:t>Rozpočet Sociálnej poisťovne - príjmy (v eur)</w:t>
            </w:r>
          </w:p>
        </w:tc>
        <w:tc>
          <w:tcPr>
            <w:tcW w:w="4968" w:type="dxa"/>
            <w:gridSpan w:val="4"/>
            <w:tcBorders>
              <w:top w:val="single" w:sz="4" w:space="0" w:color="auto"/>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rPr>
            </w:pPr>
            <w:r w:rsidRPr="00F57B36">
              <w:rPr>
                <w:rFonts w:ascii="Times New Roman" w:hAnsi="Times New Roman"/>
                <w:b/>
                <w:bCs/>
                <w:color w:val="FFFFFF"/>
              </w:rPr>
              <w:t>Vplyv na rozpočet Sociálnej poisťovne (ESA95)</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nil"/>
              <w:right w:val="nil"/>
            </w:tcBorders>
            <w:shd w:val="clear" w:color="000000" w:fill="000000"/>
            <w:noWrap/>
            <w:textDirection w:val="lrTb"/>
            <w:vAlign w:val="center"/>
            <w:hideMark/>
          </w:tcPr>
          <w:p w:rsidR="00B43540" w:rsidRPr="00F57B36" w:rsidP="002D488F">
            <w:pPr>
              <w:bidi w:val="0"/>
              <w:rPr>
                <w:rFonts w:ascii="Times New Roman" w:hAnsi="Times New Roman"/>
                <w:b/>
                <w:bCs/>
                <w:color w:val="FFFFFF"/>
              </w:rPr>
            </w:pPr>
            <w:r w:rsidRPr="00F57B36">
              <w:rPr>
                <w:rFonts w:ascii="Times New Roman" w:hAnsi="Times New Roman"/>
                <w:b/>
                <w:bCs/>
                <w:color w:val="FFFFFF"/>
              </w:rPr>
              <w:t> </w:t>
            </w:r>
          </w:p>
        </w:tc>
        <w:tc>
          <w:tcPr>
            <w:tcW w:w="3744" w:type="dxa"/>
            <w:vMerge/>
            <w:tcBorders>
              <w:top w:val="single" w:sz="4" w:space="0" w:color="auto"/>
              <w:left w:val="nil"/>
              <w:bottom w:val="single" w:sz="4" w:space="0" w:color="000000"/>
              <w:right w:val="nil"/>
            </w:tcBorders>
            <w:textDirection w:val="lrTb"/>
            <w:vAlign w:val="center"/>
            <w:hideMark/>
          </w:tcPr>
          <w:p w:rsidR="00B43540" w:rsidRPr="00F57B36" w:rsidP="002D488F">
            <w:pPr>
              <w:bidi w:val="0"/>
              <w:rPr>
                <w:rFonts w:ascii="Times New Roman" w:hAnsi="Times New Roman"/>
                <w:b/>
                <w:bCs/>
                <w:color w:val="FFFFFF"/>
                <w:sz w:val="22"/>
                <w:szCs w:val="22"/>
                <w:u w:val="single"/>
              </w:rPr>
            </w:pPr>
          </w:p>
        </w:tc>
        <w:tc>
          <w:tcPr>
            <w:tcW w:w="934" w:type="dxa"/>
            <w:tcBorders>
              <w:top w:val="nil"/>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2012</w:t>
            </w:r>
          </w:p>
        </w:tc>
        <w:tc>
          <w:tcPr>
            <w:tcW w:w="934" w:type="dxa"/>
            <w:tcBorders>
              <w:top w:val="nil"/>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2013</w:t>
            </w:r>
          </w:p>
        </w:tc>
        <w:tc>
          <w:tcPr>
            <w:tcW w:w="1550" w:type="dxa"/>
            <w:tcBorders>
              <w:top w:val="nil"/>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2014</w:t>
            </w:r>
          </w:p>
        </w:tc>
        <w:tc>
          <w:tcPr>
            <w:tcW w:w="1550" w:type="dxa"/>
            <w:tcBorders>
              <w:top w:val="nil"/>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2015</w:t>
            </w:r>
          </w:p>
        </w:tc>
      </w:tr>
      <w:tr>
        <w:tblPrEx>
          <w:tblW w:w="9420" w:type="dxa"/>
          <w:tblInd w:w="65" w:type="dxa"/>
          <w:tblCellMar>
            <w:left w:w="70" w:type="dxa"/>
            <w:right w:w="70" w:type="dxa"/>
          </w:tblCellMar>
          <w:tblLook w:val="04A0"/>
        </w:tblPrEx>
        <w:trPr>
          <w:trHeight w:val="375"/>
        </w:trPr>
        <w:tc>
          <w:tcPr>
            <w:tcW w:w="708" w:type="dxa"/>
            <w:tcBorders>
              <w:top w:val="single" w:sz="4" w:space="0" w:color="auto"/>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b/>
                <w:bCs/>
                <w:color w:val="000000"/>
                <w:sz w:val="20"/>
                <w:szCs w:val="20"/>
              </w:rPr>
            </w:pPr>
            <w:r w:rsidRPr="00F57B36">
              <w:rPr>
                <w:rFonts w:ascii="Times New Roman" w:hAnsi="Times New Roman"/>
                <w:b/>
                <w:bCs/>
                <w:color w:val="000000"/>
                <w:sz w:val="20"/>
                <w:szCs w:val="20"/>
              </w:rPr>
              <w:t>100</w:t>
            </w:r>
          </w:p>
        </w:tc>
        <w:tc>
          <w:tcPr>
            <w:tcW w:w="3744"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b/>
                <w:bCs/>
                <w:color w:val="000000"/>
                <w:sz w:val="20"/>
                <w:szCs w:val="20"/>
              </w:rPr>
            </w:pPr>
            <w:r w:rsidRPr="00F57B36">
              <w:rPr>
                <w:rFonts w:ascii="Times New Roman" w:hAnsi="Times New Roman"/>
                <w:b/>
                <w:bCs/>
                <w:color w:val="000000"/>
                <w:sz w:val="20"/>
                <w:szCs w:val="20"/>
              </w:rPr>
              <w:t>Daňové príjmy</w:t>
            </w:r>
          </w:p>
        </w:tc>
        <w:tc>
          <w:tcPr>
            <w:tcW w:w="934"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0</w:t>
            </w:r>
          </w:p>
        </w:tc>
        <w:tc>
          <w:tcPr>
            <w:tcW w:w="934"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-55 064</w:t>
            </w:r>
          </w:p>
        </w:tc>
        <w:tc>
          <w:tcPr>
            <w:tcW w:w="1550"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6 050 110</w:t>
            </w:r>
          </w:p>
        </w:tc>
        <w:tc>
          <w:tcPr>
            <w:tcW w:w="1550"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6 962 954</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i/>
                <w:iCs/>
                <w:color w:val="000000"/>
                <w:sz w:val="20"/>
                <w:szCs w:val="20"/>
              </w:rPr>
            </w:pPr>
            <w:r w:rsidRPr="00F57B36">
              <w:rPr>
                <w:rFonts w:ascii="Times New Roman" w:hAnsi="Times New Roman"/>
                <w:i/>
                <w:iCs/>
                <w:color w:val="000000"/>
                <w:sz w:val="20"/>
                <w:szCs w:val="20"/>
              </w:rPr>
              <w:t>150</w:t>
            </w:r>
          </w:p>
        </w:tc>
        <w:tc>
          <w:tcPr>
            <w:tcW w:w="3744"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i/>
                <w:iCs/>
                <w:color w:val="000000"/>
                <w:sz w:val="20"/>
                <w:szCs w:val="20"/>
              </w:rPr>
            </w:pPr>
            <w:r w:rsidRPr="00F57B36">
              <w:rPr>
                <w:rFonts w:ascii="Times New Roman" w:hAnsi="Times New Roman"/>
                <w:i/>
                <w:iCs/>
                <w:color w:val="000000"/>
                <w:sz w:val="20"/>
                <w:szCs w:val="20"/>
              </w:rPr>
              <w:t>Poistné</w:t>
            </w:r>
          </w:p>
        </w:tc>
        <w:tc>
          <w:tcPr>
            <w:tcW w:w="93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c>
          <w:tcPr>
            <w:tcW w:w="93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-55 064</w:t>
            </w:r>
          </w:p>
        </w:tc>
        <w:tc>
          <w:tcPr>
            <w:tcW w:w="155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6 050 110</w:t>
            </w:r>
          </w:p>
        </w:tc>
        <w:tc>
          <w:tcPr>
            <w:tcW w:w="155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6 962 954</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textDirection w:val="lrTb"/>
            <w:vAlign w:val="center"/>
            <w:hideMark/>
          </w:tcPr>
          <w:p w:rsidR="00B43540" w:rsidRPr="00F57B36" w:rsidP="002D488F">
            <w:pPr>
              <w:bidi w:val="0"/>
              <w:jc w:val="right"/>
              <w:rPr>
                <w:rFonts w:ascii="Times New Roman" w:hAnsi="Times New Roman"/>
                <w:color w:val="000000"/>
                <w:sz w:val="14"/>
                <w:szCs w:val="14"/>
              </w:rPr>
            </w:pPr>
            <w:r w:rsidRPr="00F57B36">
              <w:rPr>
                <w:rFonts w:ascii="Times New Roman" w:hAnsi="Times New Roman"/>
                <w:color w:val="000000"/>
                <w:sz w:val="14"/>
                <w:szCs w:val="14"/>
              </w:rPr>
              <w:t>151-153, 155-158</w:t>
            </w:r>
          </w:p>
        </w:tc>
        <w:tc>
          <w:tcPr>
            <w:tcW w:w="3744"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color w:val="000000"/>
                <w:sz w:val="20"/>
                <w:szCs w:val="20"/>
              </w:rPr>
            </w:pPr>
            <w:r w:rsidRPr="00F57B36">
              <w:rPr>
                <w:rFonts w:ascii="Times New Roman" w:hAnsi="Times New Roman"/>
                <w:color w:val="000000"/>
                <w:sz w:val="20"/>
                <w:szCs w:val="20"/>
              </w:rPr>
              <w:t>Sociálne poistenie</w:t>
            </w:r>
          </w:p>
        </w:tc>
        <w:tc>
          <w:tcPr>
            <w:tcW w:w="93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93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-55 064</w:t>
            </w:r>
          </w:p>
        </w:tc>
        <w:tc>
          <w:tcPr>
            <w:tcW w:w="155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6 050 110</w:t>
            </w:r>
          </w:p>
        </w:tc>
        <w:tc>
          <w:tcPr>
            <w:tcW w:w="155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6 962 954</w:t>
            </w:r>
          </w:p>
        </w:tc>
      </w:tr>
    </w:tbl>
    <w:p w:rsidR="00B43540" w:rsidP="00B43540">
      <w:pPr>
        <w:pStyle w:val="ListParagraph"/>
        <w:bidi w:val="0"/>
        <w:ind w:left="0"/>
        <w:rPr>
          <w:rStyle w:val="PlaceholderText"/>
          <w:color w:val="000000"/>
        </w:rPr>
      </w:pPr>
    </w:p>
    <w:tbl>
      <w:tblPr>
        <w:tblStyle w:val="TableNormal"/>
        <w:tblW w:w="9420" w:type="dxa"/>
        <w:tblInd w:w="65" w:type="dxa"/>
        <w:tblCellMar>
          <w:left w:w="70" w:type="dxa"/>
          <w:right w:w="70" w:type="dxa"/>
        </w:tblCellMar>
        <w:tblLook w:val="04A0"/>
      </w:tblPr>
      <w:tblGrid>
        <w:gridCol w:w="708"/>
        <w:gridCol w:w="3744"/>
        <w:gridCol w:w="934"/>
        <w:gridCol w:w="934"/>
        <w:gridCol w:w="1550"/>
        <w:gridCol w:w="1550"/>
      </w:tblGrid>
      <w:tr>
        <w:tblPrEx>
          <w:tblW w:w="9420" w:type="dxa"/>
          <w:tblInd w:w="65" w:type="dxa"/>
          <w:tblCellMar>
            <w:left w:w="70" w:type="dxa"/>
            <w:right w:w="70" w:type="dxa"/>
          </w:tblCellMar>
          <w:tblLook w:val="04A0"/>
        </w:tblPrEx>
        <w:trPr>
          <w:trHeight w:val="375"/>
        </w:trPr>
        <w:tc>
          <w:tcPr>
            <w:tcW w:w="708" w:type="dxa"/>
            <w:tcBorders>
              <w:top w:val="single" w:sz="4" w:space="0" w:color="auto"/>
              <w:left w:val="single" w:sz="4" w:space="0" w:color="auto"/>
              <w:bottom w:val="nil"/>
              <w:right w:val="nil"/>
            </w:tcBorders>
            <w:shd w:val="clear" w:color="000000" w:fill="000000"/>
            <w:noWrap/>
            <w:textDirection w:val="lrTb"/>
            <w:vAlign w:val="center"/>
            <w:hideMark/>
          </w:tcPr>
          <w:p w:rsidR="00B43540" w:rsidP="002D488F">
            <w:pPr>
              <w:bidi w:val="0"/>
              <w:rPr>
                <w:rFonts w:ascii="Times New Roman" w:hAnsi="Times New Roman"/>
                <w:b/>
                <w:bCs/>
                <w:color w:val="FFFFFF"/>
              </w:rPr>
            </w:pPr>
            <w:r>
              <w:rPr>
                <w:rFonts w:ascii="Times New Roman" w:hAnsi="Times New Roman"/>
                <w:b/>
                <w:bCs/>
                <w:color w:val="FFFFFF"/>
              </w:rPr>
              <w:t> </w:t>
            </w:r>
          </w:p>
        </w:tc>
        <w:tc>
          <w:tcPr>
            <w:tcW w:w="3744" w:type="dxa"/>
            <w:vMerge w:val="restart"/>
            <w:tcBorders>
              <w:top w:val="single" w:sz="4" w:space="0" w:color="auto"/>
              <w:left w:val="nil"/>
              <w:bottom w:val="single" w:sz="4" w:space="0" w:color="000000"/>
              <w:right w:val="nil"/>
            </w:tcBorders>
            <w:shd w:val="clear" w:color="000000" w:fill="000000"/>
            <w:textDirection w:val="lrTb"/>
            <w:vAlign w:val="center"/>
            <w:hideMark/>
          </w:tcPr>
          <w:p w:rsidR="00B43540" w:rsidP="002D488F">
            <w:pPr>
              <w:bidi w:val="0"/>
              <w:rPr>
                <w:rFonts w:ascii="Times New Roman" w:hAnsi="Times New Roman"/>
                <w:b/>
                <w:bCs/>
                <w:color w:val="FFFFFF"/>
                <w:sz w:val="22"/>
                <w:szCs w:val="22"/>
                <w:u w:val="single"/>
              </w:rPr>
            </w:pPr>
            <w:r>
              <w:rPr>
                <w:rFonts w:ascii="Times New Roman" w:hAnsi="Times New Roman"/>
                <w:b/>
                <w:bCs/>
                <w:color w:val="FFFFFF"/>
                <w:sz w:val="22"/>
                <w:szCs w:val="22"/>
                <w:u w:val="single"/>
              </w:rPr>
              <w:t>Rozpočet zdravotných poisťovní - príjmy (v eur)</w:t>
            </w:r>
          </w:p>
        </w:tc>
        <w:tc>
          <w:tcPr>
            <w:tcW w:w="4968" w:type="dxa"/>
            <w:gridSpan w:val="4"/>
            <w:tcBorders>
              <w:top w:val="single" w:sz="4" w:space="0" w:color="auto"/>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rPr>
            </w:pPr>
            <w:r>
              <w:rPr>
                <w:rFonts w:ascii="Times New Roman" w:hAnsi="Times New Roman"/>
                <w:b/>
                <w:bCs/>
                <w:color w:val="FFFFFF"/>
              </w:rPr>
              <w:t>Vplyv na rozpočet zdravotných poisťovní (ESA95)</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nil"/>
            </w:tcBorders>
            <w:shd w:val="clear" w:color="000000" w:fill="000000"/>
            <w:noWrap/>
            <w:textDirection w:val="lrTb"/>
            <w:vAlign w:val="center"/>
            <w:hideMark/>
          </w:tcPr>
          <w:p w:rsidR="00B43540" w:rsidP="002D488F">
            <w:pPr>
              <w:bidi w:val="0"/>
              <w:rPr>
                <w:rFonts w:ascii="Times New Roman" w:hAnsi="Times New Roman"/>
                <w:b/>
                <w:bCs/>
                <w:color w:val="FFFFFF"/>
              </w:rPr>
            </w:pPr>
            <w:r>
              <w:rPr>
                <w:rFonts w:ascii="Times New Roman" w:hAnsi="Times New Roman"/>
                <w:b/>
                <w:bCs/>
                <w:color w:val="FFFFFF"/>
              </w:rPr>
              <w:t> </w:t>
            </w:r>
          </w:p>
        </w:tc>
        <w:tc>
          <w:tcPr>
            <w:tcW w:w="3744" w:type="dxa"/>
            <w:vMerge/>
            <w:tcBorders>
              <w:top w:val="single" w:sz="4" w:space="0" w:color="auto"/>
              <w:left w:val="nil"/>
              <w:bottom w:val="single" w:sz="4" w:space="0" w:color="auto"/>
              <w:right w:val="nil"/>
            </w:tcBorders>
            <w:textDirection w:val="lrTb"/>
            <w:vAlign w:val="center"/>
            <w:hideMark/>
          </w:tcPr>
          <w:p w:rsidR="00B43540" w:rsidP="002D488F">
            <w:pPr>
              <w:bidi w:val="0"/>
              <w:rPr>
                <w:rFonts w:ascii="Times New Roman" w:hAnsi="Times New Roman"/>
                <w:b/>
                <w:bCs/>
                <w:color w:val="FFFFFF"/>
                <w:sz w:val="22"/>
                <w:szCs w:val="22"/>
                <w:u w:val="single"/>
              </w:rPr>
            </w:pPr>
          </w:p>
        </w:tc>
        <w:tc>
          <w:tcPr>
            <w:tcW w:w="934" w:type="dxa"/>
            <w:tcBorders>
              <w:top w:val="nil"/>
              <w:left w:val="nil"/>
              <w:bottom w:val="single" w:sz="4" w:space="0" w:color="auto"/>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2012</w:t>
            </w:r>
          </w:p>
        </w:tc>
        <w:tc>
          <w:tcPr>
            <w:tcW w:w="934" w:type="dxa"/>
            <w:tcBorders>
              <w:top w:val="nil"/>
              <w:left w:val="nil"/>
              <w:bottom w:val="single" w:sz="4" w:space="0" w:color="auto"/>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2013</w:t>
            </w:r>
          </w:p>
        </w:tc>
        <w:tc>
          <w:tcPr>
            <w:tcW w:w="1550" w:type="dxa"/>
            <w:tcBorders>
              <w:top w:val="nil"/>
              <w:left w:val="nil"/>
              <w:bottom w:val="single" w:sz="4" w:space="0" w:color="auto"/>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2014</w:t>
            </w:r>
          </w:p>
        </w:tc>
        <w:tc>
          <w:tcPr>
            <w:tcW w:w="1550" w:type="dxa"/>
            <w:tcBorders>
              <w:top w:val="nil"/>
              <w:left w:val="nil"/>
              <w:bottom w:val="single" w:sz="4" w:space="0" w:color="auto"/>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2015</w:t>
            </w:r>
          </w:p>
        </w:tc>
      </w:tr>
      <w:tr>
        <w:tblPrEx>
          <w:tblW w:w="9420" w:type="dxa"/>
          <w:tblInd w:w="65" w:type="dxa"/>
          <w:tblCellMar>
            <w:left w:w="70" w:type="dxa"/>
            <w:right w:w="70" w:type="dxa"/>
          </w:tblCellMar>
          <w:tblLook w:val="04A0"/>
        </w:tblPrEx>
        <w:trPr>
          <w:trHeight w:val="375"/>
        </w:trPr>
        <w:tc>
          <w:tcPr>
            <w:tcW w:w="708" w:type="dxa"/>
            <w:tcBorders>
              <w:top w:val="single" w:sz="4" w:space="0" w:color="auto"/>
              <w:left w:val="single" w:sz="4" w:space="0" w:color="auto"/>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100</w:t>
            </w:r>
          </w:p>
        </w:tc>
        <w:tc>
          <w:tcPr>
            <w:tcW w:w="3744"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b/>
                <w:bCs/>
                <w:color w:val="000000"/>
                <w:sz w:val="20"/>
                <w:szCs w:val="20"/>
              </w:rPr>
            </w:pPr>
            <w:r>
              <w:rPr>
                <w:rFonts w:ascii="Times New Roman" w:hAnsi="Times New Roman"/>
                <w:b/>
                <w:bCs/>
                <w:color w:val="000000"/>
                <w:sz w:val="20"/>
                <w:szCs w:val="20"/>
              </w:rPr>
              <w:t>Daňové príjmy</w:t>
            </w:r>
          </w:p>
        </w:tc>
        <w:tc>
          <w:tcPr>
            <w:tcW w:w="934"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0</w:t>
            </w:r>
          </w:p>
        </w:tc>
        <w:tc>
          <w:tcPr>
            <w:tcW w:w="934"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-42 828</w:t>
            </w:r>
          </w:p>
        </w:tc>
        <w:tc>
          <w:tcPr>
            <w:tcW w:w="1550"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2 869 953</w:t>
            </w:r>
          </w:p>
        </w:tc>
        <w:tc>
          <w:tcPr>
            <w:tcW w:w="1550"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3 279 112</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150</w:t>
            </w:r>
          </w:p>
        </w:tc>
        <w:tc>
          <w:tcPr>
            <w:tcW w:w="3744" w:type="dxa"/>
            <w:tcBorders>
              <w:top w:val="nil"/>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i/>
                <w:iCs/>
                <w:color w:val="000000"/>
                <w:sz w:val="20"/>
                <w:szCs w:val="20"/>
              </w:rPr>
            </w:pPr>
            <w:r>
              <w:rPr>
                <w:rFonts w:ascii="Times New Roman" w:hAnsi="Times New Roman"/>
                <w:i/>
                <w:iCs/>
                <w:color w:val="000000"/>
                <w:sz w:val="20"/>
                <w:szCs w:val="20"/>
              </w:rPr>
              <w:t>Poistné</w:t>
            </w:r>
          </w:p>
        </w:tc>
        <w:tc>
          <w:tcPr>
            <w:tcW w:w="93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c>
          <w:tcPr>
            <w:tcW w:w="93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-42 828</w:t>
            </w:r>
          </w:p>
        </w:tc>
        <w:tc>
          <w:tcPr>
            <w:tcW w:w="155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2 869 953</w:t>
            </w:r>
          </w:p>
        </w:tc>
        <w:tc>
          <w:tcPr>
            <w:tcW w:w="155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3 279 112</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154</w:t>
            </w:r>
          </w:p>
        </w:tc>
        <w:tc>
          <w:tcPr>
            <w:tcW w:w="3744" w:type="dxa"/>
            <w:tcBorders>
              <w:top w:val="nil"/>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sz w:val="20"/>
                <w:szCs w:val="20"/>
              </w:rPr>
            </w:pPr>
            <w:r>
              <w:rPr>
                <w:rFonts w:ascii="Times New Roman" w:hAnsi="Times New Roman"/>
                <w:color w:val="000000"/>
                <w:sz w:val="20"/>
                <w:szCs w:val="20"/>
              </w:rPr>
              <w:t>Zdravotné poistenie</w:t>
            </w:r>
          </w:p>
        </w:tc>
        <w:tc>
          <w:tcPr>
            <w:tcW w:w="93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93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-42 828</w:t>
            </w:r>
          </w:p>
        </w:tc>
        <w:tc>
          <w:tcPr>
            <w:tcW w:w="155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2 869 953</w:t>
            </w:r>
          </w:p>
        </w:tc>
        <w:tc>
          <w:tcPr>
            <w:tcW w:w="155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3 279 112</w:t>
            </w:r>
          </w:p>
        </w:tc>
      </w:tr>
    </w:tbl>
    <w:p w:rsidR="00B43540" w:rsidP="00B43540">
      <w:pPr>
        <w:autoSpaceDE w:val="0"/>
        <w:autoSpaceDN w:val="0"/>
        <w:bidi w:val="0"/>
        <w:adjustRightInd w:val="0"/>
        <w:jc w:val="both"/>
        <w:rPr>
          <w:rFonts w:ascii="Times New Roman" w:hAnsi="Times New Roman"/>
          <w:b/>
        </w:rPr>
      </w:pPr>
    </w:p>
    <w:tbl>
      <w:tblPr>
        <w:tblStyle w:val="TableNormal"/>
        <w:tblW w:w="9420" w:type="dxa"/>
        <w:tblInd w:w="65" w:type="dxa"/>
        <w:tblCellMar>
          <w:left w:w="70" w:type="dxa"/>
          <w:right w:w="70" w:type="dxa"/>
        </w:tblCellMar>
        <w:tblLook w:val="04A0"/>
      </w:tblPr>
      <w:tblGrid>
        <w:gridCol w:w="708"/>
        <w:gridCol w:w="3744"/>
        <w:gridCol w:w="690"/>
        <w:gridCol w:w="1426"/>
        <w:gridCol w:w="1426"/>
        <w:gridCol w:w="1426"/>
      </w:tblGrid>
      <w:tr>
        <w:tblPrEx>
          <w:tblW w:w="9420" w:type="dxa"/>
          <w:tblInd w:w="65" w:type="dxa"/>
          <w:tblCellMar>
            <w:left w:w="70" w:type="dxa"/>
            <w:right w:w="70" w:type="dxa"/>
          </w:tblCellMar>
          <w:tblLook w:val="04A0"/>
        </w:tblPrEx>
        <w:trPr>
          <w:trHeight w:val="375"/>
        </w:trPr>
        <w:tc>
          <w:tcPr>
            <w:tcW w:w="708" w:type="dxa"/>
            <w:tcBorders>
              <w:top w:val="single" w:sz="4" w:space="0" w:color="auto"/>
              <w:left w:val="single" w:sz="4" w:space="0" w:color="auto"/>
              <w:bottom w:val="nil"/>
              <w:right w:val="nil"/>
            </w:tcBorders>
            <w:shd w:val="clear" w:color="000000" w:fill="000000"/>
            <w:noWrap/>
            <w:textDirection w:val="lrTb"/>
            <w:vAlign w:val="center"/>
            <w:hideMark/>
          </w:tcPr>
          <w:p w:rsidR="00B43540" w:rsidP="002D488F">
            <w:pPr>
              <w:bidi w:val="0"/>
              <w:rPr>
                <w:rFonts w:ascii="Times New Roman" w:hAnsi="Times New Roman"/>
                <w:b/>
                <w:bCs/>
                <w:color w:val="FFFFFF"/>
                <w:sz w:val="22"/>
                <w:szCs w:val="22"/>
              </w:rPr>
            </w:pPr>
            <w:r>
              <w:rPr>
                <w:rFonts w:ascii="Times New Roman" w:hAnsi="Times New Roman"/>
                <w:b/>
                <w:bCs/>
                <w:color w:val="FFFFFF"/>
                <w:sz w:val="22"/>
                <w:szCs w:val="22"/>
              </w:rPr>
              <w:t> </w:t>
            </w:r>
          </w:p>
        </w:tc>
        <w:tc>
          <w:tcPr>
            <w:tcW w:w="3744" w:type="dxa"/>
            <w:vMerge w:val="restart"/>
            <w:tcBorders>
              <w:top w:val="single" w:sz="4" w:space="0" w:color="auto"/>
              <w:left w:val="nil"/>
              <w:bottom w:val="single" w:sz="4" w:space="0" w:color="000000"/>
              <w:right w:val="nil"/>
            </w:tcBorders>
            <w:shd w:val="clear" w:color="000000" w:fill="000000"/>
            <w:textDirection w:val="lrTb"/>
            <w:vAlign w:val="center"/>
            <w:hideMark/>
          </w:tcPr>
          <w:p w:rsidR="00B43540" w:rsidP="002D488F">
            <w:pPr>
              <w:bidi w:val="0"/>
              <w:rPr>
                <w:rFonts w:ascii="Times New Roman" w:hAnsi="Times New Roman"/>
                <w:b/>
                <w:bCs/>
                <w:color w:val="FFFFFF"/>
                <w:sz w:val="22"/>
                <w:szCs w:val="22"/>
                <w:u w:val="single"/>
              </w:rPr>
            </w:pPr>
            <w:r>
              <w:rPr>
                <w:rFonts w:ascii="Times New Roman" w:hAnsi="Times New Roman"/>
                <w:b/>
                <w:bCs/>
                <w:color w:val="FFFFFF"/>
                <w:sz w:val="22"/>
                <w:szCs w:val="22"/>
                <w:u w:val="single"/>
              </w:rPr>
              <w:t>Rozpočet verejnej správy - príjmy (v eur)</w:t>
            </w:r>
          </w:p>
        </w:tc>
        <w:tc>
          <w:tcPr>
            <w:tcW w:w="4968" w:type="dxa"/>
            <w:gridSpan w:val="4"/>
            <w:tcBorders>
              <w:top w:val="single" w:sz="4" w:space="0" w:color="auto"/>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Vplyv na rozpočet verejnej správy (ESA95)</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nil"/>
              <w:right w:val="nil"/>
            </w:tcBorders>
            <w:shd w:val="clear" w:color="000000" w:fill="000000"/>
            <w:noWrap/>
            <w:textDirection w:val="lrTb"/>
            <w:vAlign w:val="center"/>
            <w:hideMark/>
          </w:tcPr>
          <w:p w:rsidR="00B43540" w:rsidP="002D488F">
            <w:pPr>
              <w:bidi w:val="0"/>
              <w:rPr>
                <w:rFonts w:ascii="Times New Roman" w:hAnsi="Times New Roman"/>
                <w:b/>
                <w:bCs/>
                <w:color w:val="FFFFFF"/>
                <w:sz w:val="22"/>
                <w:szCs w:val="22"/>
              </w:rPr>
            </w:pPr>
            <w:r>
              <w:rPr>
                <w:rFonts w:ascii="Times New Roman" w:hAnsi="Times New Roman"/>
                <w:b/>
                <w:bCs/>
                <w:color w:val="FFFFFF"/>
                <w:sz w:val="22"/>
                <w:szCs w:val="22"/>
              </w:rPr>
              <w:t> </w:t>
            </w:r>
          </w:p>
        </w:tc>
        <w:tc>
          <w:tcPr>
            <w:tcW w:w="3744" w:type="dxa"/>
            <w:vMerge/>
            <w:tcBorders>
              <w:top w:val="single" w:sz="4" w:space="0" w:color="auto"/>
              <w:left w:val="nil"/>
              <w:bottom w:val="single" w:sz="4" w:space="0" w:color="000000"/>
              <w:right w:val="nil"/>
            </w:tcBorders>
            <w:textDirection w:val="lrTb"/>
            <w:vAlign w:val="center"/>
            <w:hideMark/>
          </w:tcPr>
          <w:p w:rsidR="00B43540" w:rsidP="002D488F">
            <w:pPr>
              <w:bidi w:val="0"/>
              <w:rPr>
                <w:rFonts w:ascii="Times New Roman" w:hAnsi="Times New Roman"/>
                <w:b/>
                <w:bCs/>
                <w:color w:val="FFFFFF"/>
                <w:sz w:val="22"/>
                <w:szCs w:val="22"/>
                <w:u w:val="single"/>
              </w:rPr>
            </w:pPr>
          </w:p>
        </w:tc>
        <w:tc>
          <w:tcPr>
            <w:tcW w:w="690" w:type="dxa"/>
            <w:tcBorders>
              <w:top w:val="nil"/>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2012</w:t>
            </w:r>
          </w:p>
        </w:tc>
        <w:tc>
          <w:tcPr>
            <w:tcW w:w="1426" w:type="dxa"/>
            <w:tcBorders>
              <w:top w:val="nil"/>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2013</w:t>
            </w:r>
          </w:p>
        </w:tc>
        <w:tc>
          <w:tcPr>
            <w:tcW w:w="1426" w:type="dxa"/>
            <w:tcBorders>
              <w:top w:val="nil"/>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2014</w:t>
            </w:r>
          </w:p>
        </w:tc>
        <w:tc>
          <w:tcPr>
            <w:tcW w:w="1426" w:type="dxa"/>
            <w:tcBorders>
              <w:top w:val="nil"/>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2015</w:t>
            </w:r>
          </w:p>
        </w:tc>
      </w:tr>
      <w:tr>
        <w:tblPrEx>
          <w:tblW w:w="9420" w:type="dxa"/>
          <w:tblInd w:w="65" w:type="dxa"/>
          <w:tblCellMar>
            <w:left w:w="70" w:type="dxa"/>
            <w:right w:w="70" w:type="dxa"/>
          </w:tblCellMar>
          <w:tblLook w:val="04A0"/>
        </w:tblPrEx>
        <w:trPr>
          <w:trHeight w:val="375"/>
        </w:trPr>
        <w:tc>
          <w:tcPr>
            <w:tcW w:w="708" w:type="dxa"/>
            <w:tcBorders>
              <w:top w:val="single" w:sz="4" w:space="0" w:color="auto"/>
              <w:left w:val="single" w:sz="4" w:space="0" w:color="auto"/>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100</w:t>
            </w:r>
          </w:p>
        </w:tc>
        <w:tc>
          <w:tcPr>
            <w:tcW w:w="3744" w:type="dxa"/>
            <w:tcBorders>
              <w:top w:val="nil"/>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b/>
                <w:bCs/>
                <w:color w:val="000000"/>
                <w:sz w:val="20"/>
                <w:szCs w:val="20"/>
              </w:rPr>
            </w:pPr>
            <w:r>
              <w:rPr>
                <w:rFonts w:ascii="Times New Roman" w:hAnsi="Times New Roman"/>
                <w:b/>
                <w:bCs/>
                <w:color w:val="000000"/>
                <w:sz w:val="20"/>
                <w:szCs w:val="20"/>
              </w:rPr>
              <w:t>Daňové príjmy</w:t>
            </w:r>
          </w:p>
        </w:tc>
        <w:tc>
          <w:tcPr>
            <w:tcW w:w="690"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0</w:t>
            </w:r>
          </w:p>
        </w:tc>
        <w:tc>
          <w:tcPr>
            <w:tcW w:w="1426"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376 550 884</w:t>
            </w:r>
          </w:p>
        </w:tc>
        <w:tc>
          <w:tcPr>
            <w:tcW w:w="1426"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418 980 765</w:t>
            </w:r>
          </w:p>
        </w:tc>
        <w:tc>
          <w:tcPr>
            <w:tcW w:w="1426"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448 399 647</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110</w:t>
            </w:r>
          </w:p>
        </w:tc>
        <w:tc>
          <w:tcPr>
            <w:tcW w:w="3744" w:type="dxa"/>
            <w:tcBorders>
              <w:top w:val="nil"/>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i/>
                <w:iCs/>
                <w:color w:val="000000"/>
                <w:sz w:val="20"/>
                <w:szCs w:val="20"/>
              </w:rPr>
            </w:pPr>
            <w:r>
              <w:rPr>
                <w:rFonts w:ascii="Times New Roman" w:hAnsi="Times New Roman"/>
                <w:i/>
                <w:iCs/>
                <w:color w:val="000000"/>
                <w:sz w:val="20"/>
                <w:szCs w:val="20"/>
              </w:rPr>
              <w:t>Dane z príjmov a kapitálového majetku</w:t>
            </w:r>
          </w:p>
        </w:tc>
        <w:tc>
          <w:tcPr>
            <w:tcW w:w="69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376 648 776</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410 060 702</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438 157 581</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111</w:t>
            </w:r>
          </w:p>
        </w:tc>
        <w:tc>
          <w:tcPr>
            <w:tcW w:w="3744" w:type="dxa"/>
            <w:tcBorders>
              <w:top w:val="nil"/>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sz w:val="20"/>
                <w:szCs w:val="20"/>
              </w:rPr>
            </w:pPr>
            <w:r>
              <w:rPr>
                <w:rFonts w:ascii="Times New Roman" w:hAnsi="Times New Roman"/>
                <w:color w:val="000000"/>
                <w:sz w:val="20"/>
                <w:szCs w:val="20"/>
              </w:rPr>
              <w:t>Daň z príjmov fyzickej osoby</w:t>
            </w:r>
          </w:p>
        </w:tc>
        <w:tc>
          <w:tcPr>
            <w:tcW w:w="69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78 356 776</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87 473 702</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92 404 581</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112</w:t>
            </w:r>
          </w:p>
        </w:tc>
        <w:tc>
          <w:tcPr>
            <w:tcW w:w="3744" w:type="dxa"/>
            <w:tcBorders>
              <w:top w:val="nil"/>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sz w:val="20"/>
                <w:szCs w:val="20"/>
              </w:rPr>
            </w:pPr>
            <w:r>
              <w:rPr>
                <w:rFonts w:ascii="Times New Roman" w:hAnsi="Times New Roman"/>
                <w:color w:val="000000"/>
                <w:sz w:val="20"/>
                <w:szCs w:val="20"/>
              </w:rPr>
              <w:t>Daň z príjmov právnických osôb</w:t>
            </w:r>
          </w:p>
        </w:tc>
        <w:tc>
          <w:tcPr>
            <w:tcW w:w="69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298 292 000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322 587 000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345 753 000</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113</w:t>
            </w:r>
          </w:p>
        </w:tc>
        <w:tc>
          <w:tcPr>
            <w:tcW w:w="3744" w:type="dxa"/>
            <w:tcBorders>
              <w:top w:val="nil"/>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sz w:val="20"/>
                <w:szCs w:val="20"/>
              </w:rPr>
            </w:pPr>
            <w:r>
              <w:rPr>
                <w:rFonts w:ascii="Times New Roman" w:hAnsi="Times New Roman"/>
                <w:color w:val="000000"/>
                <w:sz w:val="20"/>
                <w:szCs w:val="20"/>
              </w:rPr>
              <w:t>Daň z príjmov vyberaná zrážkou</w:t>
            </w:r>
          </w:p>
        </w:tc>
        <w:tc>
          <w:tcPr>
            <w:tcW w:w="69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150</w:t>
            </w:r>
          </w:p>
        </w:tc>
        <w:tc>
          <w:tcPr>
            <w:tcW w:w="3744" w:type="dxa"/>
            <w:tcBorders>
              <w:top w:val="nil"/>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i/>
                <w:iCs/>
                <w:color w:val="000000"/>
                <w:sz w:val="20"/>
                <w:szCs w:val="20"/>
              </w:rPr>
            </w:pPr>
            <w:r>
              <w:rPr>
                <w:rFonts w:ascii="Times New Roman" w:hAnsi="Times New Roman"/>
                <w:i/>
                <w:iCs/>
                <w:color w:val="000000"/>
                <w:sz w:val="20"/>
                <w:szCs w:val="20"/>
              </w:rPr>
              <w:t>Poistné</w:t>
            </w:r>
          </w:p>
        </w:tc>
        <w:tc>
          <w:tcPr>
            <w:tcW w:w="69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-97 892</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8 920 063</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10 242 066</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textDirection w:val="lrTb"/>
            <w:vAlign w:val="center"/>
            <w:hideMark/>
          </w:tcPr>
          <w:p w:rsidR="00B43540" w:rsidRPr="009E4553" w:rsidP="002D488F">
            <w:pPr>
              <w:bidi w:val="0"/>
              <w:jc w:val="right"/>
              <w:rPr>
                <w:rFonts w:ascii="Times New Roman" w:hAnsi="Times New Roman"/>
                <w:color w:val="000000"/>
                <w:sz w:val="14"/>
                <w:szCs w:val="14"/>
              </w:rPr>
            </w:pPr>
            <w:r w:rsidRPr="009E4553">
              <w:rPr>
                <w:rFonts w:ascii="Times New Roman" w:hAnsi="Times New Roman"/>
                <w:color w:val="000000"/>
                <w:sz w:val="14"/>
                <w:szCs w:val="14"/>
              </w:rPr>
              <w:t>151-153, 155-158</w:t>
            </w:r>
          </w:p>
        </w:tc>
        <w:tc>
          <w:tcPr>
            <w:tcW w:w="3744" w:type="dxa"/>
            <w:tcBorders>
              <w:top w:val="nil"/>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sz w:val="20"/>
                <w:szCs w:val="20"/>
              </w:rPr>
            </w:pPr>
            <w:r>
              <w:rPr>
                <w:rFonts w:ascii="Times New Roman" w:hAnsi="Times New Roman"/>
                <w:color w:val="000000"/>
                <w:sz w:val="20"/>
                <w:szCs w:val="20"/>
              </w:rPr>
              <w:t>Sociálne poistenie</w:t>
            </w:r>
          </w:p>
        </w:tc>
        <w:tc>
          <w:tcPr>
            <w:tcW w:w="69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-55 064</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6 050 110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6 962 954</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154</w:t>
            </w:r>
          </w:p>
        </w:tc>
        <w:tc>
          <w:tcPr>
            <w:tcW w:w="3744" w:type="dxa"/>
            <w:tcBorders>
              <w:top w:val="nil"/>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sz w:val="20"/>
                <w:szCs w:val="20"/>
              </w:rPr>
            </w:pPr>
            <w:r>
              <w:rPr>
                <w:rFonts w:ascii="Times New Roman" w:hAnsi="Times New Roman"/>
                <w:color w:val="000000"/>
                <w:sz w:val="20"/>
                <w:szCs w:val="20"/>
              </w:rPr>
              <w:t>Zdravotné poistenie</w:t>
            </w:r>
          </w:p>
        </w:tc>
        <w:tc>
          <w:tcPr>
            <w:tcW w:w="69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-42 828</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2 869 953</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3 279 112</w:t>
            </w:r>
          </w:p>
        </w:tc>
      </w:tr>
    </w:tbl>
    <w:p w:rsidR="00B43540" w:rsidP="00B43540">
      <w:pPr>
        <w:autoSpaceDE w:val="0"/>
        <w:autoSpaceDN w:val="0"/>
        <w:bidi w:val="0"/>
        <w:adjustRightInd w:val="0"/>
        <w:jc w:val="both"/>
        <w:rPr>
          <w:rFonts w:ascii="Times New Roman" w:hAnsi="Times New Roman"/>
          <w:b/>
        </w:rPr>
      </w:pPr>
    </w:p>
    <w:tbl>
      <w:tblPr>
        <w:tblStyle w:val="TableNormal"/>
        <w:tblW w:w="9420" w:type="dxa"/>
        <w:tblInd w:w="65" w:type="dxa"/>
        <w:tblCellMar>
          <w:left w:w="70" w:type="dxa"/>
          <w:right w:w="70" w:type="dxa"/>
        </w:tblCellMar>
        <w:tblLook w:val="04A0"/>
      </w:tblPr>
      <w:tblGrid>
        <w:gridCol w:w="700"/>
        <w:gridCol w:w="3760"/>
        <w:gridCol w:w="703"/>
        <w:gridCol w:w="1419"/>
        <w:gridCol w:w="1419"/>
        <w:gridCol w:w="1419"/>
      </w:tblGrid>
      <w:tr>
        <w:tblPrEx>
          <w:tblW w:w="9420" w:type="dxa"/>
          <w:tblInd w:w="65" w:type="dxa"/>
          <w:tblCellMar>
            <w:left w:w="70" w:type="dxa"/>
            <w:right w:w="70" w:type="dxa"/>
          </w:tblCellMar>
          <w:tblLook w:val="04A0"/>
        </w:tblPrEx>
        <w:trPr>
          <w:trHeight w:val="375"/>
        </w:trPr>
        <w:tc>
          <w:tcPr>
            <w:tcW w:w="700"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center"/>
            <w:hideMark/>
          </w:tcPr>
          <w:p w:rsidR="00B43540" w:rsidRPr="00F57B36" w:rsidP="002D488F">
            <w:pPr>
              <w:bidi w:val="0"/>
              <w:rPr>
                <w:rFonts w:ascii="Times New Roman" w:hAnsi="Times New Roman"/>
                <w:b/>
                <w:bCs/>
                <w:color w:val="FFFFFF"/>
              </w:rPr>
            </w:pPr>
            <w:r w:rsidRPr="00F57B36">
              <w:rPr>
                <w:rFonts w:ascii="Times New Roman" w:hAnsi="Times New Roman"/>
                <w:b/>
                <w:bCs/>
                <w:color w:val="FFFFFF"/>
              </w:rPr>
              <w:t> </w:t>
            </w:r>
          </w:p>
        </w:tc>
        <w:tc>
          <w:tcPr>
            <w:tcW w:w="3760" w:type="dxa"/>
            <w:vMerge w:val="restart"/>
            <w:tcBorders>
              <w:top w:val="single" w:sz="4" w:space="0" w:color="auto"/>
              <w:left w:val="single" w:sz="4" w:space="0" w:color="auto"/>
              <w:bottom w:val="single" w:sz="4" w:space="0" w:color="auto"/>
              <w:right w:val="single" w:sz="4" w:space="0" w:color="auto"/>
            </w:tcBorders>
            <w:shd w:val="clear" w:color="000000" w:fill="000000"/>
            <w:textDirection w:val="lrTb"/>
            <w:vAlign w:val="center"/>
            <w:hideMark/>
          </w:tcPr>
          <w:p w:rsidR="00B43540" w:rsidRPr="00F57B36" w:rsidP="002D488F">
            <w:pPr>
              <w:bidi w:val="0"/>
              <w:rPr>
                <w:rFonts w:ascii="Times New Roman" w:hAnsi="Times New Roman"/>
                <w:b/>
                <w:bCs/>
                <w:color w:val="FFFFFF"/>
                <w:sz w:val="22"/>
                <w:szCs w:val="22"/>
                <w:u w:val="single"/>
              </w:rPr>
            </w:pPr>
            <w:r w:rsidRPr="00F57B36">
              <w:rPr>
                <w:rFonts w:ascii="Times New Roman" w:hAnsi="Times New Roman"/>
                <w:b/>
                <w:bCs/>
                <w:color w:val="FFFFFF"/>
                <w:sz w:val="22"/>
                <w:szCs w:val="22"/>
                <w:u w:val="single"/>
              </w:rPr>
              <w:t>Štátny rozpočet (VPS) - príjmy (v eur)</w:t>
            </w:r>
          </w:p>
        </w:tc>
        <w:tc>
          <w:tcPr>
            <w:tcW w:w="4960" w:type="dxa"/>
            <w:gridSpan w:val="4"/>
            <w:tcBorders>
              <w:top w:val="single" w:sz="4" w:space="0" w:color="auto"/>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rPr>
            </w:pPr>
            <w:r w:rsidRPr="00F57B36">
              <w:rPr>
                <w:rFonts w:ascii="Times New Roman" w:hAnsi="Times New Roman"/>
                <w:b/>
                <w:bCs/>
                <w:color w:val="FFFFFF"/>
              </w:rPr>
              <w:t>Vplyv na štátny rozpočet (cash)</w:t>
            </w:r>
          </w:p>
        </w:tc>
      </w:tr>
      <w:tr>
        <w:tblPrEx>
          <w:tblW w:w="9420" w:type="dxa"/>
          <w:tblInd w:w="65" w:type="dxa"/>
          <w:tblCellMar>
            <w:left w:w="70" w:type="dxa"/>
            <w:right w:w="70" w:type="dxa"/>
          </w:tblCellMar>
          <w:tblLook w:val="04A0"/>
        </w:tblPrEx>
        <w:trPr>
          <w:trHeight w:val="375"/>
        </w:trPr>
        <w:tc>
          <w:tcPr>
            <w:tcW w:w="700" w:type="dxa"/>
            <w:tcBorders>
              <w:top w:val="nil"/>
              <w:left w:val="single" w:sz="4" w:space="0" w:color="auto"/>
              <w:bottom w:val="single" w:sz="4" w:space="0" w:color="auto"/>
              <w:right w:val="single" w:sz="4" w:space="0" w:color="auto"/>
            </w:tcBorders>
            <w:shd w:val="clear" w:color="000000" w:fill="000000"/>
            <w:noWrap/>
            <w:textDirection w:val="lrTb"/>
            <w:vAlign w:val="center"/>
            <w:hideMark/>
          </w:tcPr>
          <w:p w:rsidR="00B43540" w:rsidRPr="00F57B36" w:rsidP="002D488F">
            <w:pPr>
              <w:bidi w:val="0"/>
              <w:rPr>
                <w:rFonts w:ascii="Times New Roman" w:hAnsi="Times New Roman"/>
                <w:b/>
                <w:bCs/>
                <w:color w:val="FFFFFF"/>
              </w:rPr>
            </w:pPr>
            <w:r w:rsidRPr="00F57B36">
              <w:rPr>
                <w:rFonts w:ascii="Times New Roman" w:hAnsi="Times New Roman"/>
                <w:b/>
                <w:bCs/>
                <w:color w:val="FFFFFF"/>
              </w:rPr>
              <w:t> </w:t>
            </w:r>
          </w:p>
        </w:tc>
        <w:tc>
          <w:tcPr>
            <w:tcW w:w="3760" w:type="dxa"/>
            <w:vMerge/>
            <w:tcBorders>
              <w:top w:val="single" w:sz="4" w:space="0" w:color="auto"/>
              <w:left w:val="single" w:sz="4" w:space="0" w:color="auto"/>
              <w:bottom w:val="single" w:sz="4" w:space="0" w:color="auto"/>
              <w:right w:val="single" w:sz="4" w:space="0" w:color="auto"/>
            </w:tcBorders>
            <w:textDirection w:val="lrTb"/>
            <w:vAlign w:val="center"/>
            <w:hideMark/>
          </w:tcPr>
          <w:p w:rsidR="00B43540" w:rsidRPr="00F57B36" w:rsidP="002D488F">
            <w:pPr>
              <w:bidi w:val="0"/>
              <w:rPr>
                <w:rFonts w:ascii="Times New Roman" w:hAnsi="Times New Roman"/>
                <w:b/>
                <w:bCs/>
                <w:color w:val="FFFFFF"/>
                <w:sz w:val="22"/>
                <w:szCs w:val="22"/>
                <w:u w:val="single"/>
              </w:rPr>
            </w:pPr>
          </w:p>
        </w:tc>
        <w:tc>
          <w:tcPr>
            <w:tcW w:w="703" w:type="dxa"/>
            <w:tcBorders>
              <w:top w:val="nil"/>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2012</w:t>
            </w:r>
          </w:p>
        </w:tc>
        <w:tc>
          <w:tcPr>
            <w:tcW w:w="1419" w:type="dxa"/>
            <w:tcBorders>
              <w:top w:val="nil"/>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2013</w:t>
            </w:r>
          </w:p>
        </w:tc>
        <w:tc>
          <w:tcPr>
            <w:tcW w:w="1419" w:type="dxa"/>
            <w:tcBorders>
              <w:top w:val="nil"/>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2014</w:t>
            </w:r>
          </w:p>
        </w:tc>
        <w:tc>
          <w:tcPr>
            <w:tcW w:w="1419" w:type="dxa"/>
            <w:tcBorders>
              <w:top w:val="nil"/>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2015</w:t>
            </w:r>
          </w:p>
        </w:tc>
      </w:tr>
      <w:tr>
        <w:tblPrEx>
          <w:tblW w:w="9420" w:type="dxa"/>
          <w:tblInd w:w="65" w:type="dxa"/>
          <w:tblCellMar>
            <w:left w:w="70" w:type="dxa"/>
            <w:right w:w="70" w:type="dxa"/>
          </w:tblCellMar>
          <w:tblLook w:val="04A0"/>
        </w:tblPrEx>
        <w:trPr>
          <w:trHeight w:val="375"/>
        </w:trPr>
        <w:tc>
          <w:tcPr>
            <w:tcW w:w="700"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b/>
                <w:bCs/>
                <w:color w:val="000000"/>
                <w:sz w:val="20"/>
                <w:szCs w:val="20"/>
              </w:rPr>
            </w:pPr>
            <w:r w:rsidRPr="00F57B36">
              <w:rPr>
                <w:rFonts w:ascii="Times New Roman" w:hAnsi="Times New Roman"/>
                <w:b/>
                <w:bCs/>
                <w:color w:val="000000"/>
                <w:sz w:val="20"/>
                <w:szCs w:val="20"/>
              </w:rPr>
              <w:t>100</w:t>
            </w:r>
          </w:p>
        </w:tc>
        <w:tc>
          <w:tcPr>
            <w:tcW w:w="3760"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b/>
                <w:bCs/>
                <w:color w:val="000000"/>
                <w:sz w:val="20"/>
                <w:szCs w:val="20"/>
              </w:rPr>
            </w:pPr>
            <w:r w:rsidRPr="00F57B36">
              <w:rPr>
                <w:rFonts w:ascii="Times New Roman" w:hAnsi="Times New Roman"/>
                <w:b/>
                <w:bCs/>
                <w:color w:val="000000"/>
                <w:sz w:val="20"/>
                <w:szCs w:val="20"/>
              </w:rPr>
              <w:t>Daňové príjmy</w:t>
            </w:r>
          </w:p>
        </w:tc>
        <w:tc>
          <w:tcPr>
            <w:tcW w:w="70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277 676 394</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332 356 323</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364 064 764</w:t>
            </w:r>
          </w:p>
        </w:tc>
      </w:tr>
      <w:tr>
        <w:tblPrEx>
          <w:tblW w:w="9420" w:type="dxa"/>
          <w:tblInd w:w="65" w:type="dxa"/>
          <w:tblCellMar>
            <w:left w:w="70" w:type="dxa"/>
            <w:right w:w="70" w:type="dxa"/>
          </w:tblCellMar>
          <w:tblLook w:val="04A0"/>
        </w:tblPrEx>
        <w:trPr>
          <w:trHeight w:val="375"/>
        </w:trPr>
        <w:tc>
          <w:tcPr>
            <w:tcW w:w="700"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i/>
                <w:iCs/>
                <w:color w:val="000000"/>
                <w:sz w:val="20"/>
                <w:szCs w:val="20"/>
              </w:rPr>
            </w:pPr>
            <w:r w:rsidRPr="00F57B36">
              <w:rPr>
                <w:rFonts w:ascii="Times New Roman" w:hAnsi="Times New Roman"/>
                <w:i/>
                <w:iCs/>
                <w:color w:val="000000"/>
                <w:sz w:val="20"/>
                <w:szCs w:val="20"/>
              </w:rPr>
              <w:t>110</w:t>
            </w:r>
          </w:p>
        </w:tc>
        <w:tc>
          <w:tcPr>
            <w:tcW w:w="3760"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i/>
                <w:iCs/>
                <w:color w:val="000000"/>
                <w:sz w:val="20"/>
                <w:szCs w:val="20"/>
              </w:rPr>
            </w:pPr>
            <w:r w:rsidRPr="00F57B36">
              <w:rPr>
                <w:rFonts w:ascii="Times New Roman" w:hAnsi="Times New Roman"/>
                <w:i/>
                <w:iCs/>
                <w:color w:val="000000"/>
                <w:sz w:val="20"/>
                <w:szCs w:val="20"/>
              </w:rPr>
              <w:t>Dane z príjmov a kapitálového majetku</w:t>
            </w:r>
          </w:p>
        </w:tc>
        <w:tc>
          <w:tcPr>
            <w:tcW w:w="70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277 676 394</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332 356 323</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364 064 764</w:t>
            </w:r>
          </w:p>
        </w:tc>
      </w:tr>
      <w:tr>
        <w:tblPrEx>
          <w:tblW w:w="9420" w:type="dxa"/>
          <w:tblInd w:w="65" w:type="dxa"/>
          <w:tblCellMar>
            <w:left w:w="70" w:type="dxa"/>
            <w:right w:w="70" w:type="dxa"/>
          </w:tblCellMar>
          <w:tblLook w:val="04A0"/>
        </w:tblPrEx>
        <w:trPr>
          <w:trHeight w:val="375"/>
        </w:trPr>
        <w:tc>
          <w:tcPr>
            <w:tcW w:w="700" w:type="dxa"/>
            <w:tcBorders>
              <w:top w:val="nil"/>
              <w:left w:val="single" w:sz="4" w:space="0" w:color="auto"/>
              <w:bottom w:val="single" w:sz="4" w:space="0" w:color="auto"/>
              <w:right w:val="single" w:sz="4" w:space="0" w:color="auto"/>
            </w:tcBorders>
            <w:textDirection w:val="lrTb"/>
            <w:vAlign w:val="center"/>
            <w:hideMark/>
          </w:tcPr>
          <w:p w:rsidR="00B43540" w:rsidRPr="00F57B36" w:rsidP="002D488F">
            <w:pPr>
              <w:bidi w:val="0"/>
              <w:jc w:val="right"/>
              <w:rPr>
                <w:rFonts w:ascii="Times New Roman" w:hAnsi="Times New Roman"/>
                <w:color w:val="000000"/>
                <w:sz w:val="20"/>
                <w:szCs w:val="20"/>
              </w:rPr>
            </w:pPr>
            <w:r w:rsidRPr="00F57B36">
              <w:rPr>
                <w:rFonts w:ascii="Times New Roman" w:hAnsi="Times New Roman"/>
                <w:color w:val="000000"/>
                <w:sz w:val="20"/>
                <w:szCs w:val="20"/>
              </w:rPr>
              <w:t>111</w:t>
            </w:r>
          </w:p>
        </w:tc>
        <w:tc>
          <w:tcPr>
            <w:tcW w:w="3760"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color w:val="000000"/>
                <w:sz w:val="20"/>
                <w:szCs w:val="20"/>
              </w:rPr>
            </w:pPr>
            <w:r w:rsidRPr="00F57B36">
              <w:rPr>
                <w:rFonts w:ascii="Times New Roman" w:hAnsi="Times New Roman"/>
                <w:color w:val="000000"/>
                <w:sz w:val="20"/>
                <w:szCs w:val="20"/>
              </w:rPr>
              <w:t>Daň z príjmov fyzickej osoby</w:t>
            </w:r>
          </w:p>
        </w:tc>
        <w:tc>
          <w:tcPr>
            <w:tcW w:w="70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9 213 394</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12 198 323</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11 821 764</w:t>
            </w:r>
          </w:p>
        </w:tc>
      </w:tr>
      <w:tr>
        <w:tblPrEx>
          <w:tblW w:w="9420" w:type="dxa"/>
          <w:tblInd w:w="65" w:type="dxa"/>
          <w:tblCellMar>
            <w:left w:w="70" w:type="dxa"/>
            <w:right w:w="70" w:type="dxa"/>
          </w:tblCellMar>
          <w:tblLook w:val="04A0"/>
        </w:tblPrEx>
        <w:trPr>
          <w:trHeight w:val="375"/>
        </w:trPr>
        <w:tc>
          <w:tcPr>
            <w:tcW w:w="700" w:type="dxa"/>
            <w:tcBorders>
              <w:top w:val="nil"/>
              <w:left w:val="single" w:sz="4" w:space="0" w:color="auto"/>
              <w:bottom w:val="single" w:sz="4" w:space="0" w:color="auto"/>
              <w:right w:val="single" w:sz="4" w:space="0" w:color="auto"/>
            </w:tcBorders>
            <w:textDirection w:val="lrTb"/>
            <w:vAlign w:val="center"/>
            <w:hideMark/>
          </w:tcPr>
          <w:p w:rsidR="00B43540" w:rsidRPr="00F57B36" w:rsidP="002D488F">
            <w:pPr>
              <w:bidi w:val="0"/>
              <w:jc w:val="right"/>
              <w:rPr>
                <w:rFonts w:ascii="Times New Roman" w:hAnsi="Times New Roman"/>
                <w:color w:val="000000"/>
                <w:sz w:val="20"/>
                <w:szCs w:val="20"/>
              </w:rPr>
            </w:pPr>
            <w:r w:rsidRPr="00F57B36">
              <w:rPr>
                <w:rFonts w:ascii="Times New Roman" w:hAnsi="Times New Roman"/>
                <w:color w:val="000000"/>
                <w:sz w:val="20"/>
                <w:szCs w:val="20"/>
              </w:rPr>
              <w:t>112</w:t>
            </w:r>
          </w:p>
        </w:tc>
        <w:tc>
          <w:tcPr>
            <w:tcW w:w="3760"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color w:val="000000"/>
                <w:sz w:val="20"/>
                <w:szCs w:val="20"/>
              </w:rPr>
            </w:pPr>
            <w:r w:rsidRPr="00F57B36">
              <w:rPr>
                <w:rFonts w:ascii="Times New Roman" w:hAnsi="Times New Roman"/>
                <w:color w:val="000000"/>
                <w:sz w:val="20"/>
                <w:szCs w:val="20"/>
              </w:rPr>
              <w:t>Daň z príjmov právnickej osoby</w:t>
            </w:r>
          </w:p>
        </w:tc>
        <w:tc>
          <w:tcPr>
            <w:tcW w:w="70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268 463 000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320 158 000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352 243 000</w:t>
            </w:r>
          </w:p>
        </w:tc>
      </w:tr>
      <w:tr>
        <w:tblPrEx>
          <w:tblW w:w="9420" w:type="dxa"/>
          <w:tblInd w:w="65" w:type="dxa"/>
          <w:tblCellMar>
            <w:left w:w="70" w:type="dxa"/>
            <w:right w:w="70" w:type="dxa"/>
          </w:tblCellMar>
          <w:tblLook w:val="04A0"/>
        </w:tblPrEx>
        <w:trPr>
          <w:trHeight w:val="375"/>
        </w:trPr>
        <w:tc>
          <w:tcPr>
            <w:tcW w:w="700" w:type="dxa"/>
            <w:tcBorders>
              <w:top w:val="nil"/>
              <w:left w:val="single" w:sz="4" w:space="0" w:color="auto"/>
              <w:bottom w:val="single" w:sz="4" w:space="0" w:color="auto"/>
              <w:right w:val="single" w:sz="4" w:space="0" w:color="auto"/>
            </w:tcBorders>
            <w:textDirection w:val="lrTb"/>
            <w:vAlign w:val="center"/>
            <w:hideMark/>
          </w:tcPr>
          <w:p w:rsidR="00B43540" w:rsidRPr="00F57B36" w:rsidP="002D488F">
            <w:pPr>
              <w:bidi w:val="0"/>
              <w:jc w:val="right"/>
              <w:rPr>
                <w:rFonts w:ascii="Times New Roman" w:hAnsi="Times New Roman"/>
                <w:color w:val="000000"/>
                <w:sz w:val="20"/>
                <w:szCs w:val="20"/>
              </w:rPr>
            </w:pPr>
            <w:r w:rsidRPr="00F57B36">
              <w:rPr>
                <w:rFonts w:ascii="Times New Roman" w:hAnsi="Times New Roman"/>
                <w:color w:val="000000"/>
                <w:sz w:val="20"/>
                <w:szCs w:val="20"/>
              </w:rPr>
              <w:t>113</w:t>
            </w:r>
          </w:p>
        </w:tc>
        <w:tc>
          <w:tcPr>
            <w:tcW w:w="3760"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color w:val="000000"/>
                <w:sz w:val="20"/>
                <w:szCs w:val="20"/>
              </w:rPr>
            </w:pPr>
            <w:r w:rsidRPr="00F57B36">
              <w:rPr>
                <w:rFonts w:ascii="Times New Roman" w:hAnsi="Times New Roman"/>
                <w:color w:val="000000"/>
                <w:sz w:val="20"/>
                <w:szCs w:val="20"/>
              </w:rPr>
              <w:t>Daň z príjmov vyberaná zrážkou</w:t>
            </w:r>
          </w:p>
        </w:tc>
        <w:tc>
          <w:tcPr>
            <w:tcW w:w="70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r>
      <w:tr>
        <w:tblPrEx>
          <w:tblW w:w="9420" w:type="dxa"/>
          <w:tblInd w:w="65" w:type="dxa"/>
          <w:tblCellMar>
            <w:left w:w="70" w:type="dxa"/>
            <w:right w:w="70" w:type="dxa"/>
          </w:tblCellMar>
          <w:tblLook w:val="04A0"/>
        </w:tblPrEx>
        <w:trPr>
          <w:trHeight w:val="375"/>
        </w:trPr>
        <w:tc>
          <w:tcPr>
            <w:tcW w:w="700"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i/>
                <w:iCs/>
                <w:color w:val="000000"/>
                <w:sz w:val="20"/>
                <w:szCs w:val="20"/>
              </w:rPr>
            </w:pPr>
            <w:r w:rsidRPr="00F57B36">
              <w:rPr>
                <w:rFonts w:ascii="Times New Roman" w:hAnsi="Times New Roman"/>
                <w:i/>
                <w:iCs/>
                <w:color w:val="000000"/>
                <w:sz w:val="20"/>
                <w:szCs w:val="20"/>
              </w:rPr>
              <w:t>130</w:t>
            </w:r>
          </w:p>
        </w:tc>
        <w:tc>
          <w:tcPr>
            <w:tcW w:w="3760"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i/>
                <w:iCs/>
                <w:color w:val="000000"/>
                <w:sz w:val="20"/>
                <w:szCs w:val="20"/>
              </w:rPr>
            </w:pPr>
            <w:r w:rsidRPr="00F57B36">
              <w:rPr>
                <w:rFonts w:ascii="Times New Roman" w:hAnsi="Times New Roman"/>
                <w:i/>
                <w:iCs/>
                <w:color w:val="000000"/>
                <w:sz w:val="20"/>
                <w:szCs w:val="20"/>
              </w:rPr>
              <w:t>Dane za tovary a služby</w:t>
            </w:r>
          </w:p>
        </w:tc>
        <w:tc>
          <w:tcPr>
            <w:tcW w:w="703"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c>
          <w:tcPr>
            <w:tcW w:w="1419"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r>
    </w:tbl>
    <w:p w:rsidR="00B43540" w:rsidP="00B43540">
      <w:pPr>
        <w:autoSpaceDE w:val="0"/>
        <w:autoSpaceDN w:val="0"/>
        <w:bidi w:val="0"/>
        <w:adjustRightInd w:val="0"/>
        <w:jc w:val="both"/>
        <w:rPr>
          <w:rFonts w:ascii="Times New Roman" w:hAnsi="Times New Roman"/>
          <w:b/>
        </w:rPr>
      </w:pPr>
    </w:p>
    <w:tbl>
      <w:tblPr>
        <w:tblStyle w:val="TableNormal"/>
        <w:tblW w:w="9460" w:type="dxa"/>
        <w:tblInd w:w="65" w:type="dxa"/>
        <w:tblCellMar>
          <w:left w:w="70" w:type="dxa"/>
          <w:right w:w="70" w:type="dxa"/>
        </w:tblCellMar>
        <w:tblLook w:val="04A0"/>
      </w:tblPr>
      <w:tblGrid>
        <w:gridCol w:w="740"/>
        <w:gridCol w:w="3759"/>
        <w:gridCol w:w="767"/>
        <w:gridCol w:w="1398"/>
        <w:gridCol w:w="1398"/>
        <w:gridCol w:w="1398"/>
      </w:tblGrid>
      <w:tr>
        <w:tblPrEx>
          <w:tblW w:w="9460" w:type="dxa"/>
          <w:tblInd w:w="65" w:type="dxa"/>
          <w:tblCellMar>
            <w:left w:w="70" w:type="dxa"/>
            <w:right w:w="70" w:type="dxa"/>
          </w:tblCellMar>
          <w:tblLook w:val="04A0"/>
        </w:tblPrEx>
        <w:trPr>
          <w:trHeight w:val="375"/>
        </w:trPr>
        <w:tc>
          <w:tcPr>
            <w:tcW w:w="740"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center"/>
            <w:hideMark/>
          </w:tcPr>
          <w:p w:rsidR="00B43540" w:rsidRPr="00F57B36" w:rsidP="002D488F">
            <w:pPr>
              <w:bidi w:val="0"/>
              <w:rPr>
                <w:rFonts w:ascii="Times New Roman" w:hAnsi="Times New Roman"/>
                <w:b/>
                <w:bCs/>
                <w:color w:val="FFFFFF"/>
              </w:rPr>
            </w:pPr>
            <w:r w:rsidRPr="00F57B36">
              <w:rPr>
                <w:rFonts w:ascii="Times New Roman" w:hAnsi="Times New Roman"/>
                <w:b/>
                <w:bCs/>
                <w:color w:val="FFFFFF"/>
              </w:rPr>
              <w:t> </w:t>
            </w:r>
          </w:p>
        </w:tc>
        <w:tc>
          <w:tcPr>
            <w:tcW w:w="3759" w:type="dxa"/>
            <w:vMerge w:val="restart"/>
            <w:tcBorders>
              <w:top w:val="single" w:sz="4" w:space="0" w:color="auto"/>
              <w:left w:val="single" w:sz="4" w:space="0" w:color="auto"/>
              <w:bottom w:val="single" w:sz="4" w:space="0" w:color="auto"/>
              <w:right w:val="single" w:sz="4" w:space="0" w:color="auto"/>
            </w:tcBorders>
            <w:shd w:val="clear" w:color="000000" w:fill="000000"/>
            <w:textDirection w:val="lrTb"/>
            <w:vAlign w:val="center"/>
            <w:hideMark/>
          </w:tcPr>
          <w:p w:rsidR="00B43540" w:rsidRPr="00F57B36" w:rsidP="002D488F">
            <w:pPr>
              <w:bidi w:val="0"/>
              <w:rPr>
                <w:rFonts w:ascii="Times New Roman" w:hAnsi="Times New Roman"/>
                <w:b/>
                <w:bCs/>
                <w:color w:val="FFFFFF"/>
                <w:sz w:val="22"/>
                <w:szCs w:val="22"/>
                <w:u w:val="single"/>
              </w:rPr>
            </w:pPr>
            <w:r w:rsidRPr="00F57B36">
              <w:rPr>
                <w:rFonts w:ascii="Times New Roman" w:hAnsi="Times New Roman"/>
                <w:b/>
                <w:bCs/>
                <w:color w:val="FFFFFF"/>
                <w:sz w:val="22"/>
                <w:szCs w:val="22"/>
                <w:u w:val="single"/>
              </w:rPr>
              <w:t>Rozpočet obcí - príjmy (v eur)</w:t>
            </w:r>
          </w:p>
        </w:tc>
        <w:tc>
          <w:tcPr>
            <w:tcW w:w="4961" w:type="dxa"/>
            <w:gridSpan w:val="4"/>
            <w:tcBorders>
              <w:top w:val="single" w:sz="4" w:space="0" w:color="auto"/>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rPr>
            </w:pPr>
            <w:r w:rsidRPr="00F57B36">
              <w:rPr>
                <w:rFonts w:ascii="Times New Roman" w:hAnsi="Times New Roman"/>
                <w:b/>
                <w:bCs/>
                <w:color w:val="FFFFFF"/>
              </w:rPr>
              <w:t>Vplyv na rozpočet obcí (cash)</w:t>
            </w:r>
          </w:p>
        </w:tc>
      </w:tr>
      <w:tr>
        <w:tblPrEx>
          <w:tblW w:w="9460" w:type="dxa"/>
          <w:tblInd w:w="65" w:type="dxa"/>
          <w:tblCellMar>
            <w:left w:w="70" w:type="dxa"/>
            <w:right w:w="70" w:type="dxa"/>
          </w:tblCellMar>
          <w:tblLook w:val="04A0"/>
        </w:tblPrEx>
        <w:trPr>
          <w:trHeight w:val="375"/>
        </w:trPr>
        <w:tc>
          <w:tcPr>
            <w:tcW w:w="740" w:type="dxa"/>
            <w:tcBorders>
              <w:top w:val="nil"/>
              <w:left w:val="single" w:sz="4" w:space="0" w:color="auto"/>
              <w:bottom w:val="single" w:sz="4" w:space="0" w:color="auto"/>
              <w:right w:val="single" w:sz="4" w:space="0" w:color="auto"/>
            </w:tcBorders>
            <w:shd w:val="clear" w:color="000000" w:fill="000000"/>
            <w:noWrap/>
            <w:textDirection w:val="lrTb"/>
            <w:vAlign w:val="center"/>
            <w:hideMark/>
          </w:tcPr>
          <w:p w:rsidR="00B43540" w:rsidRPr="00F57B36" w:rsidP="002D488F">
            <w:pPr>
              <w:bidi w:val="0"/>
              <w:rPr>
                <w:rFonts w:ascii="Times New Roman" w:hAnsi="Times New Roman"/>
                <w:b/>
                <w:bCs/>
                <w:color w:val="FFFFFF"/>
              </w:rPr>
            </w:pPr>
            <w:r w:rsidRPr="00F57B36">
              <w:rPr>
                <w:rFonts w:ascii="Times New Roman" w:hAnsi="Times New Roman"/>
                <w:b/>
                <w:bCs/>
                <w:color w:val="FFFFFF"/>
              </w:rPr>
              <w:t> </w:t>
            </w:r>
          </w:p>
        </w:tc>
        <w:tc>
          <w:tcPr>
            <w:tcW w:w="3759" w:type="dxa"/>
            <w:vMerge/>
            <w:tcBorders>
              <w:top w:val="single" w:sz="4" w:space="0" w:color="auto"/>
              <w:left w:val="single" w:sz="4" w:space="0" w:color="auto"/>
              <w:bottom w:val="single" w:sz="4" w:space="0" w:color="auto"/>
              <w:right w:val="single" w:sz="4" w:space="0" w:color="auto"/>
            </w:tcBorders>
            <w:textDirection w:val="lrTb"/>
            <w:vAlign w:val="center"/>
            <w:hideMark/>
          </w:tcPr>
          <w:p w:rsidR="00B43540" w:rsidRPr="00F57B36" w:rsidP="002D488F">
            <w:pPr>
              <w:bidi w:val="0"/>
              <w:rPr>
                <w:rFonts w:ascii="Times New Roman" w:hAnsi="Times New Roman"/>
                <w:b/>
                <w:bCs/>
                <w:color w:val="FFFFFF"/>
                <w:sz w:val="22"/>
                <w:szCs w:val="22"/>
                <w:u w:val="single"/>
              </w:rPr>
            </w:pPr>
          </w:p>
        </w:tc>
        <w:tc>
          <w:tcPr>
            <w:tcW w:w="767" w:type="dxa"/>
            <w:tcBorders>
              <w:top w:val="nil"/>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2012</w:t>
            </w:r>
          </w:p>
        </w:tc>
        <w:tc>
          <w:tcPr>
            <w:tcW w:w="1398" w:type="dxa"/>
            <w:tcBorders>
              <w:top w:val="nil"/>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2013</w:t>
            </w:r>
          </w:p>
        </w:tc>
        <w:tc>
          <w:tcPr>
            <w:tcW w:w="1398" w:type="dxa"/>
            <w:tcBorders>
              <w:top w:val="nil"/>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2014</w:t>
            </w:r>
          </w:p>
        </w:tc>
        <w:tc>
          <w:tcPr>
            <w:tcW w:w="1398" w:type="dxa"/>
            <w:tcBorders>
              <w:top w:val="nil"/>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2015</w:t>
            </w:r>
          </w:p>
        </w:tc>
      </w:tr>
      <w:tr>
        <w:tblPrEx>
          <w:tblW w:w="9460" w:type="dxa"/>
          <w:tblInd w:w="65" w:type="dxa"/>
          <w:tblCellMar>
            <w:left w:w="70" w:type="dxa"/>
            <w:right w:w="70" w:type="dxa"/>
          </w:tblCellMar>
          <w:tblLook w:val="04A0"/>
        </w:tblPrEx>
        <w:trPr>
          <w:trHeight w:val="375"/>
        </w:trPr>
        <w:tc>
          <w:tcPr>
            <w:tcW w:w="740"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b/>
                <w:bCs/>
                <w:color w:val="000000"/>
                <w:sz w:val="20"/>
                <w:szCs w:val="20"/>
              </w:rPr>
            </w:pPr>
            <w:r w:rsidRPr="00F57B36">
              <w:rPr>
                <w:rFonts w:ascii="Times New Roman" w:hAnsi="Times New Roman"/>
                <w:b/>
                <w:bCs/>
                <w:color w:val="000000"/>
                <w:sz w:val="20"/>
                <w:szCs w:val="20"/>
              </w:rPr>
              <w:t>100</w:t>
            </w:r>
          </w:p>
        </w:tc>
        <w:tc>
          <w:tcPr>
            <w:tcW w:w="3759"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b/>
                <w:bCs/>
                <w:color w:val="000000"/>
                <w:sz w:val="20"/>
                <w:szCs w:val="20"/>
              </w:rPr>
            </w:pPr>
            <w:r w:rsidRPr="00F57B36">
              <w:rPr>
                <w:rFonts w:ascii="Times New Roman" w:hAnsi="Times New Roman"/>
                <w:b/>
                <w:bCs/>
                <w:color w:val="000000"/>
                <w:sz w:val="20"/>
                <w:szCs w:val="20"/>
              </w:rPr>
              <w:t>Daňové príjmy</w:t>
            </w:r>
          </w:p>
        </w:tc>
        <w:tc>
          <w:tcPr>
            <w:tcW w:w="767"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0</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26 544 315</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61 637 216</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59 086 040</w:t>
            </w:r>
          </w:p>
        </w:tc>
      </w:tr>
      <w:tr>
        <w:tblPrEx>
          <w:tblW w:w="9460" w:type="dxa"/>
          <w:tblInd w:w="65" w:type="dxa"/>
          <w:tblCellMar>
            <w:left w:w="70" w:type="dxa"/>
            <w:right w:w="70" w:type="dxa"/>
          </w:tblCellMar>
          <w:tblLook w:val="04A0"/>
        </w:tblPrEx>
        <w:trPr>
          <w:trHeight w:val="375"/>
        </w:trPr>
        <w:tc>
          <w:tcPr>
            <w:tcW w:w="740"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i/>
                <w:iCs/>
                <w:color w:val="000000"/>
                <w:sz w:val="20"/>
                <w:szCs w:val="20"/>
              </w:rPr>
            </w:pPr>
            <w:r w:rsidRPr="00F57B36">
              <w:rPr>
                <w:rFonts w:ascii="Times New Roman" w:hAnsi="Times New Roman"/>
                <w:i/>
                <w:iCs/>
                <w:color w:val="000000"/>
                <w:sz w:val="20"/>
                <w:szCs w:val="20"/>
              </w:rPr>
              <w:t>110</w:t>
            </w:r>
          </w:p>
        </w:tc>
        <w:tc>
          <w:tcPr>
            <w:tcW w:w="3759"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i/>
                <w:iCs/>
                <w:color w:val="000000"/>
                <w:sz w:val="20"/>
                <w:szCs w:val="20"/>
              </w:rPr>
            </w:pPr>
            <w:r w:rsidRPr="00F57B36">
              <w:rPr>
                <w:rFonts w:ascii="Times New Roman" w:hAnsi="Times New Roman"/>
                <w:i/>
                <w:iCs/>
                <w:color w:val="000000"/>
                <w:sz w:val="20"/>
                <w:szCs w:val="20"/>
              </w:rPr>
              <w:t>Dane z príjmov a kapitálového majetku</w:t>
            </w:r>
          </w:p>
        </w:tc>
        <w:tc>
          <w:tcPr>
            <w:tcW w:w="767"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26 544 315</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61 637 216</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59 086 040</w:t>
            </w:r>
          </w:p>
        </w:tc>
      </w:tr>
      <w:tr>
        <w:tblPrEx>
          <w:tblW w:w="9460" w:type="dxa"/>
          <w:tblInd w:w="65" w:type="dxa"/>
          <w:tblCellMar>
            <w:left w:w="70" w:type="dxa"/>
            <w:right w:w="70" w:type="dxa"/>
          </w:tblCellMar>
          <w:tblLook w:val="04A0"/>
        </w:tblPrEx>
        <w:trPr>
          <w:trHeight w:val="375"/>
        </w:trPr>
        <w:tc>
          <w:tcPr>
            <w:tcW w:w="740" w:type="dxa"/>
            <w:tcBorders>
              <w:top w:val="nil"/>
              <w:left w:val="single" w:sz="4" w:space="0" w:color="auto"/>
              <w:bottom w:val="single" w:sz="4" w:space="0" w:color="auto"/>
              <w:right w:val="single" w:sz="4" w:space="0" w:color="auto"/>
            </w:tcBorders>
            <w:textDirection w:val="lrTb"/>
            <w:vAlign w:val="center"/>
            <w:hideMark/>
          </w:tcPr>
          <w:p w:rsidR="00B43540" w:rsidRPr="00F57B36" w:rsidP="002D488F">
            <w:pPr>
              <w:bidi w:val="0"/>
              <w:jc w:val="right"/>
              <w:rPr>
                <w:rFonts w:ascii="Times New Roman" w:hAnsi="Times New Roman"/>
                <w:color w:val="000000"/>
                <w:sz w:val="20"/>
                <w:szCs w:val="20"/>
              </w:rPr>
            </w:pPr>
            <w:r w:rsidRPr="00F57B36">
              <w:rPr>
                <w:rFonts w:ascii="Times New Roman" w:hAnsi="Times New Roman"/>
                <w:color w:val="000000"/>
                <w:sz w:val="20"/>
                <w:szCs w:val="20"/>
              </w:rPr>
              <w:t>111003</w:t>
            </w:r>
          </w:p>
        </w:tc>
        <w:tc>
          <w:tcPr>
            <w:tcW w:w="3759"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color w:val="000000"/>
                <w:sz w:val="20"/>
                <w:szCs w:val="20"/>
              </w:rPr>
            </w:pPr>
            <w:r w:rsidRPr="00F57B36">
              <w:rPr>
                <w:rFonts w:ascii="Times New Roman" w:hAnsi="Times New Roman"/>
                <w:color w:val="000000"/>
                <w:sz w:val="20"/>
                <w:szCs w:val="20"/>
              </w:rPr>
              <w:t>Daň z príjmov fyzickej osoby</w:t>
            </w:r>
          </w:p>
        </w:tc>
        <w:tc>
          <w:tcPr>
            <w:tcW w:w="767"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26 544 315</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61 637 216</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59 086 040</w:t>
            </w:r>
          </w:p>
        </w:tc>
      </w:tr>
    </w:tbl>
    <w:p w:rsidR="00B43540" w:rsidP="00B43540">
      <w:pPr>
        <w:autoSpaceDE w:val="0"/>
        <w:autoSpaceDN w:val="0"/>
        <w:bidi w:val="0"/>
        <w:adjustRightInd w:val="0"/>
        <w:jc w:val="both"/>
        <w:rPr>
          <w:rFonts w:ascii="Times New Roman" w:hAnsi="Times New Roman"/>
          <w:b/>
        </w:rPr>
      </w:pPr>
    </w:p>
    <w:tbl>
      <w:tblPr>
        <w:tblStyle w:val="TableNormal"/>
        <w:tblW w:w="9460" w:type="dxa"/>
        <w:tblInd w:w="65" w:type="dxa"/>
        <w:tblCellMar>
          <w:left w:w="70" w:type="dxa"/>
          <w:right w:w="70" w:type="dxa"/>
        </w:tblCellMar>
        <w:tblLook w:val="04A0"/>
      </w:tblPr>
      <w:tblGrid>
        <w:gridCol w:w="740"/>
        <w:gridCol w:w="3759"/>
        <w:gridCol w:w="767"/>
        <w:gridCol w:w="1398"/>
        <w:gridCol w:w="1398"/>
        <w:gridCol w:w="1398"/>
      </w:tblGrid>
      <w:tr>
        <w:tblPrEx>
          <w:tblW w:w="9460" w:type="dxa"/>
          <w:tblInd w:w="65" w:type="dxa"/>
          <w:tblCellMar>
            <w:left w:w="70" w:type="dxa"/>
            <w:right w:w="70" w:type="dxa"/>
          </w:tblCellMar>
          <w:tblLook w:val="04A0"/>
        </w:tblPrEx>
        <w:trPr>
          <w:trHeight w:val="375"/>
        </w:trPr>
        <w:tc>
          <w:tcPr>
            <w:tcW w:w="740"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center"/>
            <w:hideMark/>
          </w:tcPr>
          <w:p w:rsidR="00B43540" w:rsidRPr="00F57B36" w:rsidP="002D488F">
            <w:pPr>
              <w:bidi w:val="0"/>
              <w:rPr>
                <w:rFonts w:ascii="Times New Roman" w:hAnsi="Times New Roman"/>
                <w:b/>
                <w:bCs/>
                <w:color w:val="FFFFFF"/>
              </w:rPr>
            </w:pPr>
            <w:r w:rsidRPr="00F57B36">
              <w:rPr>
                <w:rFonts w:ascii="Times New Roman" w:hAnsi="Times New Roman"/>
                <w:b/>
                <w:bCs/>
                <w:color w:val="FFFFFF"/>
              </w:rPr>
              <w:t> </w:t>
            </w:r>
          </w:p>
        </w:tc>
        <w:tc>
          <w:tcPr>
            <w:tcW w:w="3759" w:type="dxa"/>
            <w:vMerge w:val="restart"/>
            <w:tcBorders>
              <w:top w:val="single" w:sz="4" w:space="0" w:color="auto"/>
              <w:left w:val="single" w:sz="4" w:space="0" w:color="auto"/>
              <w:bottom w:val="single" w:sz="4" w:space="0" w:color="auto"/>
              <w:right w:val="single" w:sz="4" w:space="0" w:color="auto"/>
            </w:tcBorders>
            <w:shd w:val="clear" w:color="000000" w:fill="000000"/>
            <w:textDirection w:val="lrTb"/>
            <w:vAlign w:val="center"/>
            <w:hideMark/>
          </w:tcPr>
          <w:p w:rsidR="00B43540" w:rsidRPr="00F57B36" w:rsidP="002D488F">
            <w:pPr>
              <w:bidi w:val="0"/>
              <w:rPr>
                <w:rFonts w:ascii="Times New Roman" w:hAnsi="Times New Roman"/>
                <w:b/>
                <w:bCs/>
                <w:color w:val="FFFFFF"/>
                <w:sz w:val="22"/>
                <w:szCs w:val="22"/>
                <w:u w:val="single"/>
              </w:rPr>
            </w:pPr>
            <w:r w:rsidRPr="00F57B36">
              <w:rPr>
                <w:rFonts w:ascii="Times New Roman" w:hAnsi="Times New Roman"/>
                <w:b/>
                <w:bCs/>
                <w:color w:val="FFFFFF"/>
                <w:sz w:val="22"/>
                <w:szCs w:val="22"/>
                <w:u w:val="single"/>
              </w:rPr>
              <w:t>Rozpočet VÚC - príjmy (v eur)</w:t>
            </w:r>
          </w:p>
        </w:tc>
        <w:tc>
          <w:tcPr>
            <w:tcW w:w="4961" w:type="dxa"/>
            <w:gridSpan w:val="4"/>
            <w:tcBorders>
              <w:top w:val="single" w:sz="4" w:space="0" w:color="auto"/>
              <w:left w:val="nil"/>
              <w:bottom w:val="single" w:sz="4" w:space="0" w:color="auto"/>
              <w:right w:val="single" w:sz="4" w:space="0" w:color="000000"/>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rPr>
            </w:pPr>
            <w:r w:rsidRPr="00F57B36">
              <w:rPr>
                <w:rFonts w:ascii="Times New Roman" w:hAnsi="Times New Roman"/>
                <w:b/>
                <w:bCs/>
                <w:color w:val="FFFFFF"/>
              </w:rPr>
              <w:t>Vplyv na rozpočet VÚC (cash)</w:t>
            </w:r>
          </w:p>
        </w:tc>
      </w:tr>
      <w:tr>
        <w:tblPrEx>
          <w:tblW w:w="9460" w:type="dxa"/>
          <w:tblInd w:w="65" w:type="dxa"/>
          <w:tblCellMar>
            <w:left w:w="70" w:type="dxa"/>
            <w:right w:w="70" w:type="dxa"/>
          </w:tblCellMar>
          <w:tblLook w:val="04A0"/>
        </w:tblPrEx>
        <w:trPr>
          <w:trHeight w:val="375"/>
        </w:trPr>
        <w:tc>
          <w:tcPr>
            <w:tcW w:w="740" w:type="dxa"/>
            <w:tcBorders>
              <w:top w:val="nil"/>
              <w:left w:val="single" w:sz="4" w:space="0" w:color="auto"/>
              <w:bottom w:val="single" w:sz="4" w:space="0" w:color="auto"/>
              <w:right w:val="single" w:sz="4" w:space="0" w:color="auto"/>
            </w:tcBorders>
            <w:shd w:val="clear" w:color="000000" w:fill="000000"/>
            <w:noWrap/>
            <w:textDirection w:val="lrTb"/>
            <w:vAlign w:val="center"/>
            <w:hideMark/>
          </w:tcPr>
          <w:p w:rsidR="00B43540" w:rsidRPr="00F57B36" w:rsidP="002D488F">
            <w:pPr>
              <w:bidi w:val="0"/>
              <w:rPr>
                <w:rFonts w:ascii="Times New Roman" w:hAnsi="Times New Roman"/>
                <w:b/>
                <w:bCs/>
                <w:color w:val="FFFFFF"/>
              </w:rPr>
            </w:pPr>
            <w:r w:rsidRPr="00F57B36">
              <w:rPr>
                <w:rFonts w:ascii="Times New Roman" w:hAnsi="Times New Roman"/>
                <w:b/>
                <w:bCs/>
                <w:color w:val="FFFFFF"/>
              </w:rPr>
              <w:t> </w:t>
            </w:r>
          </w:p>
        </w:tc>
        <w:tc>
          <w:tcPr>
            <w:tcW w:w="3759" w:type="dxa"/>
            <w:vMerge/>
            <w:tcBorders>
              <w:top w:val="single" w:sz="4" w:space="0" w:color="auto"/>
              <w:left w:val="single" w:sz="4" w:space="0" w:color="auto"/>
              <w:bottom w:val="single" w:sz="4" w:space="0" w:color="auto"/>
              <w:right w:val="single" w:sz="4" w:space="0" w:color="auto"/>
            </w:tcBorders>
            <w:textDirection w:val="lrTb"/>
            <w:vAlign w:val="center"/>
            <w:hideMark/>
          </w:tcPr>
          <w:p w:rsidR="00B43540" w:rsidRPr="00F57B36" w:rsidP="002D488F">
            <w:pPr>
              <w:bidi w:val="0"/>
              <w:rPr>
                <w:rFonts w:ascii="Times New Roman" w:hAnsi="Times New Roman"/>
                <w:b/>
                <w:bCs/>
                <w:color w:val="FFFFFF"/>
                <w:sz w:val="22"/>
                <w:szCs w:val="22"/>
                <w:u w:val="single"/>
              </w:rPr>
            </w:pPr>
          </w:p>
        </w:tc>
        <w:tc>
          <w:tcPr>
            <w:tcW w:w="767" w:type="dxa"/>
            <w:tcBorders>
              <w:top w:val="nil"/>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2012</w:t>
            </w:r>
          </w:p>
        </w:tc>
        <w:tc>
          <w:tcPr>
            <w:tcW w:w="1398" w:type="dxa"/>
            <w:tcBorders>
              <w:top w:val="nil"/>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2013</w:t>
            </w:r>
          </w:p>
        </w:tc>
        <w:tc>
          <w:tcPr>
            <w:tcW w:w="1398" w:type="dxa"/>
            <w:tcBorders>
              <w:top w:val="nil"/>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2014</w:t>
            </w:r>
          </w:p>
        </w:tc>
        <w:tc>
          <w:tcPr>
            <w:tcW w:w="1398" w:type="dxa"/>
            <w:tcBorders>
              <w:top w:val="nil"/>
              <w:left w:val="nil"/>
              <w:bottom w:val="single" w:sz="4" w:space="0" w:color="auto"/>
              <w:right w:val="single" w:sz="4" w:space="0" w:color="auto"/>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2015</w:t>
            </w:r>
          </w:p>
        </w:tc>
      </w:tr>
      <w:tr>
        <w:tblPrEx>
          <w:tblW w:w="9460" w:type="dxa"/>
          <w:tblInd w:w="65" w:type="dxa"/>
          <w:tblCellMar>
            <w:left w:w="70" w:type="dxa"/>
            <w:right w:w="70" w:type="dxa"/>
          </w:tblCellMar>
          <w:tblLook w:val="04A0"/>
        </w:tblPrEx>
        <w:trPr>
          <w:trHeight w:val="375"/>
        </w:trPr>
        <w:tc>
          <w:tcPr>
            <w:tcW w:w="740"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b/>
                <w:bCs/>
                <w:color w:val="000000"/>
                <w:sz w:val="20"/>
                <w:szCs w:val="20"/>
              </w:rPr>
            </w:pPr>
            <w:r w:rsidRPr="00F57B36">
              <w:rPr>
                <w:rFonts w:ascii="Times New Roman" w:hAnsi="Times New Roman"/>
                <w:b/>
                <w:bCs/>
                <w:color w:val="000000"/>
                <w:sz w:val="20"/>
                <w:szCs w:val="20"/>
              </w:rPr>
              <w:t>100</w:t>
            </w:r>
          </w:p>
        </w:tc>
        <w:tc>
          <w:tcPr>
            <w:tcW w:w="3759"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b/>
                <w:bCs/>
                <w:color w:val="000000"/>
                <w:sz w:val="20"/>
                <w:szCs w:val="20"/>
              </w:rPr>
            </w:pPr>
            <w:r w:rsidRPr="00F57B36">
              <w:rPr>
                <w:rFonts w:ascii="Times New Roman" w:hAnsi="Times New Roman"/>
                <w:b/>
                <w:bCs/>
                <w:color w:val="000000"/>
                <w:sz w:val="20"/>
                <w:szCs w:val="20"/>
              </w:rPr>
              <w:t>Daňové príjmy</w:t>
            </w:r>
          </w:p>
        </w:tc>
        <w:tc>
          <w:tcPr>
            <w:tcW w:w="767"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0</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8 888 692</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20 639 985</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19 785 692</w:t>
            </w:r>
          </w:p>
        </w:tc>
      </w:tr>
      <w:tr>
        <w:tblPrEx>
          <w:tblW w:w="9460" w:type="dxa"/>
          <w:tblInd w:w="65" w:type="dxa"/>
          <w:tblCellMar>
            <w:left w:w="70" w:type="dxa"/>
            <w:right w:w="70" w:type="dxa"/>
          </w:tblCellMar>
          <w:tblLook w:val="04A0"/>
        </w:tblPrEx>
        <w:trPr>
          <w:trHeight w:val="375"/>
        </w:trPr>
        <w:tc>
          <w:tcPr>
            <w:tcW w:w="740"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i/>
                <w:iCs/>
                <w:color w:val="000000"/>
                <w:sz w:val="20"/>
                <w:szCs w:val="20"/>
              </w:rPr>
            </w:pPr>
            <w:r w:rsidRPr="00F57B36">
              <w:rPr>
                <w:rFonts w:ascii="Times New Roman" w:hAnsi="Times New Roman"/>
                <w:i/>
                <w:iCs/>
                <w:color w:val="000000"/>
                <w:sz w:val="20"/>
                <w:szCs w:val="20"/>
              </w:rPr>
              <w:t>110</w:t>
            </w:r>
          </w:p>
        </w:tc>
        <w:tc>
          <w:tcPr>
            <w:tcW w:w="3759"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i/>
                <w:iCs/>
                <w:color w:val="000000"/>
                <w:sz w:val="20"/>
                <w:szCs w:val="20"/>
              </w:rPr>
            </w:pPr>
            <w:r w:rsidRPr="00F57B36">
              <w:rPr>
                <w:rFonts w:ascii="Times New Roman" w:hAnsi="Times New Roman"/>
                <w:i/>
                <w:iCs/>
                <w:color w:val="000000"/>
                <w:sz w:val="20"/>
                <w:szCs w:val="20"/>
              </w:rPr>
              <w:t>Dane z príjmov a kapitálového majetku</w:t>
            </w:r>
          </w:p>
        </w:tc>
        <w:tc>
          <w:tcPr>
            <w:tcW w:w="767"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8 888 692</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20 639 985</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19 785 692</w:t>
            </w:r>
          </w:p>
        </w:tc>
      </w:tr>
      <w:tr>
        <w:tblPrEx>
          <w:tblW w:w="9460" w:type="dxa"/>
          <w:tblInd w:w="65" w:type="dxa"/>
          <w:tblCellMar>
            <w:left w:w="70" w:type="dxa"/>
            <w:right w:w="70" w:type="dxa"/>
          </w:tblCellMar>
          <w:tblLook w:val="04A0"/>
        </w:tblPrEx>
        <w:trPr>
          <w:trHeight w:val="375"/>
        </w:trPr>
        <w:tc>
          <w:tcPr>
            <w:tcW w:w="740" w:type="dxa"/>
            <w:tcBorders>
              <w:top w:val="nil"/>
              <w:left w:val="single" w:sz="4" w:space="0" w:color="auto"/>
              <w:bottom w:val="single" w:sz="4" w:space="0" w:color="auto"/>
              <w:right w:val="single" w:sz="4" w:space="0" w:color="auto"/>
            </w:tcBorders>
            <w:textDirection w:val="lrTb"/>
            <w:vAlign w:val="center"/>
            <w:hideMark/>
          </w:tcPr>
          <w:p w:rsidR="00B43540" w:rsidRPr="00F57B36" w:rsidP="002D488F">
            <w:pPr>
              <w:bidi w:val="0"/>
              <w:jc w:val="right"/>
              <w:rPr>
                <w:rFonts w:ascii="Times New Roman" w:hAnsi="Times New Roman"/>
                <w:color w:val="000000"/>
                <w:sz w:val="20"/>
                <w:szCs w:val="20"/>
              </w:rPr>
            </w:pPr>
            <w:r w:rsidRPr="00F57B36">
              <w:rPr>
                <w:rFonts w:ascii="Times New Roman" w:hAnsi="Times New Roman"/>
                <w:color w:val="000000"/>
                <w:sz w:val="20"/>
                <w:szCs w:val="20"/>
              </w:rPr>
              <w:t>111003</w:t>
            </w:r>
          </w:p>
        </w:tc>
        <w:tc>
          <w:tcPr>
            <w:tcW w:w="3759"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color w:val="000000"/>
                <w:sz w:val="20"/>
                <w:szCs w:val="20"/>
              </w:rPr>
            </w:pPr>
            <w:r w:rsidRPr="00F57B36">
              <w:rPr>
                <w:rFonts w:ascii="Times New Roman" w:hAnsi="Times New Roman"/>
                <w:color w:val="000000"/>
                <w:sz w:val="20"/>
                <w:szCs w:val="20"/>
              </w:rPr>
              <w:t>Daň z príjmov fyzickej osoby</w:t>
            </w:r>
          </w:p>
        </w:tc>
        <w:tc>
          <w:tcPr>
            <w:tcW w:w="767"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8 888 692</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20 639 985</w:t>
            </w:r>
          </w:p>
        </w:tc>
        <w:tc>
          <w:tcPr>
            <w:tcW w:w="1398"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19 785 692</w:t>
            </w:r>
          </w:p>
        </w:tc>
      </w:tr>
    </w:tbl>
    <w:p w:rsidR="00B43540" w:rsidP="00B43540">
      <w:pPr>
        <w:autoSpaceDE w:val="0"/>
        <w:autoSpaceDN w:val="0"/>
        <w:bidi w:val="0"/>
        <w:adjustRightInd w:val="0"/>
        <w:jc w:val="both"/>
        <w:rPr>
          <w:rFonts w:ascii="Times New Roman" w:hAnsi="Times New Roman"/>
          <w:b/>
        </w:rPr>
      </w:pPr>
    </w:p>
    <w:tbl>
      <w:tblPr>
        <w:tblStyle w:val="TableNormal"/>
        <w:tblW w:w="9420" w:type="dxa"/>
        <w:tblInd w:w="65" w:type="dxa"/>
        <w:tblCellMar>
          <w:left w:w="70" w:type="dxa"/>
          <w:right w:w="70" w:type="dxa"/>
        </w:tblCellMar>
        <w:tblLook w:val="04A0"/>
      </w:tblPr>
      <w:tblGrid>
        <w:gridCol w:w="708"/>
        <w:gridCol w:w="3744"/>
        <w:gridCol w:w="934"/>
        <w:gridCol w:w="934"/>
        <w:gridCol w:w="1550"/>
        <w:gridCol w:w="1550"/>
      </w:tblGrid>
      <w:tr>
        <w:tblPrEx>
          <w:tblW w:w="9420" w:type="dxa"/>
          <w:tblInd w:w="65" w:type="dxa"/>
          <w:tblCellMar>
            <w:left w:w="70" w:type="dxa"/>
            <w:right w:w="70" w:type="dxa"/>
          </w:tblCellMar>
          <w:tblLook w:val="04A0"/>
        </w:tblPrEx>
        <w:trPr>
          <w:trHeight w:val="375"/>
        </w:trPr>
        <w:tc>
          <w:tcPr>
            <w:tcW w:w="708" w:type="dxa"/>
            <w:tcBorders>
              <w:top w:val="single" w:sz="4" w:space="0" w:color="auto"/>
              <w:left w:val="single" w:sz="4" w:space="0" w:color="auto"/>
              <w:bottom w:val="nil"/>
              <w:right w:val="nil"/>
            </w:tcBorders>
            <w:shd w:val="clear" w:color="000000" w:fill="000000"/>
            <w:noWrap/>
            <w:textDirection w:val="lrTb"/>
            <w:vAlign w:val="center"/>
            <w:hideMark/>
          </w:tcPr>
          <w:p w:rsidR="00B43540" w:rsidRPr="00F57B36" w:rsidP="002D488F">
            <w:pPr>
              <w:bidi w:val="0"/>
              <w:rPr>
                <w:rFonts w:ascii="Times New Roman" w:hAnsi="Times New Roman"/>
                <w:b/>
                <w:bCs/>
                <w:color w:val="FFFFFF"/>
              </w:rPr>
            </w:pPr>
            <w:r w:rsidRPr="00F57B36">
              <w:rPr>
                <w:rFonts w:ascii="Times New Roman" w:hAnsi="Times New Roman"/>
                <w:b/>
                <w:bCs/>
                <w:color w:val="FFFFFF"/>
              </w:rPr>
              <w:t> </w:t>
            </w:r>
          </w:p>
        </w:tc>
        <w:tc>
          <w:tcPr>
            <w:tcW w:w="3744" w:type="dxa"/>
            <w:vMerge w:val="restart"/>
            <w:tcBorders>
              <w:top w:val="single" w:sz="4" w:space="0" w:color="auto"/>
              <w:left w:val="nil"/>
              <w:bottom w:val="single" w:sz="4" w:space="0" w:color="000000"/>
              <w:right w:val="nil"/>
            </w:tcBorders>
            <w:shd w:val="clear" w:color="000000" w:fill="000000"/>
            <w:textDirection w:val="lrTb"/>
            <w:vAlign w:val="center"/>
            <w:hideMark/>
          </w:tcPr>
          <w:p w:rsidR="00B43540" w:rsidRPr="00F57B36" w:rsidP="002D488F">
            <w:pPr>
              <w:bidi w:val="0"/>
              <w:rPr>
                <w:rFonts w:ascii="Times New Roman" w:hAnsi="Times New Roman"/>
                <w:b/>
                <w:bCs/>
                <w:color w:val="FFFFFF"/>
                <w:sz w:val="22"/>
                <w:szCs w:val="22"/>
                <w:u w:val="single"/>
              </w:rPr>
            </w:pPr>
            <w:r w:rsidRPr="00F57B36">
              <w:rPr>
                <w:rFonts w:ascii="Times New Roman" w:hAnsi="Times New Roman"/>
                <w:b/>
                <w:bCs/>
                <w:color w:val="FFFFFF"/>
                <w:sz w:val="22"/>
                <w:szCs w:val="22"/>
                <w:u w:val="single"/>
              </w:rPr>
              <w:t>Rozpočet Sociálnej poisťovne - príjmy (v eur)</w:t>
            </w:r>
          </w:p>
        </w:tc>
        <w:tc>
          <w:tcPr>
            <w:tcW w:w="4968" w:type="dxa"/>
            <w:gridSpan w:val="4"/>
            <w:tcBorders>
              <w:top w:val="single" w:sz="4" w:space="0" w:color="auto"/>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rPr>
            </w:pPr>
            <w:r w:rsidRPr="00F57B36">
              <w:rPr>
                <w:rFonts w:ascii="Times New Roman" w:hAnsi="Times New Roman"/>
                <w:b/>
                <w:bCs/>
                <w:color w:val="FFFFFF"/>
              </w:rPr>
              <w:t>Vplyv na rozpočet Sociálnej poisťovne (cash)</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nil"/>
              <w:right w:val="nil"/>
            </w:tcBorders>
            <w:shd w:val="clear" w:color="000000" w:fill="000000"/>
            <w:noWrap/>
            <w:textDirection w:val="lrTb"/>
            <w:vAlign w:val="center"/>
            <w:hideMark/>
          </w:tcPr>
          <w:p w:rsidR="00B43540" w:rsidRPr="00F57B36" w:rsidP="002D488F">
            <w:pPr>
              <w:bidi w:val="0"/>
              <w:rPr>
                <w:rFonts w:ascii="Times New Roman" w:hAnsi="Times New Roman"/>
                <w:b/>
                <w:bCs/>
                <w:color w:val="FFFFFF"/>
              </w:rPr>
            </w:pPr>
            <w:r w:rsidRPr="00F57B36">
              <w:rPr>
                <w:rFonts w:ascii="Times New Roman" w:hAnsi="Times New Roman"/>
                <w:b/>
                <w:bCs/>
                <w:color w:val="FFFFFF"/>
              </w:rPr>
              <w:t> </w:t>
            </w:r>
          </w:p>
        </w:tc>
        <w:tc>
          <w:tcPr>
            <w:tcW w:w="3744" w:type="dxa"/>
            <w:vMerge/>
            <w:tcBorders>
              <w:top w:val="single" w:sz="4" w:space="0" w:color="auto"/>
              <w:left w:val="nil"/>
              <w:bottom w:val="single" w:sz="4" w:space="0" w:color="000000"/>
              <w:right w:val="nil"/>
            </w:tcBorders>
            <w:textDirection w:val="lrTb"/>
            <w:vAlign w:val="center"/>
            <w:hideMark/>
          </w:tcPr>
          <w:p w:rsidR="00B43540" w:rsidRPr="00F57B36" w:rsidP="002D488F">
            <w:pPr>
              <w:bidi w:val="0"/>
              <w:rPr>
                <w:rFonts w:ascii="Times New Roman" w:hAnsi="Times New Roman"/>
                <w:b/>
                <w:bCs/>
                <w:color w:val="FFFFFF"/>
                <w:sz w:val="22"/>
                <w:szCs w:val="22"/>
                <w:u w:val="single"/>
              </w:rPr>
            </w:pPr>
          </w:p>
        </w:tc>
        <w:tc>
          <w:tcPr>
            <w:tcW w:w="934" w:type="dxa"/>
            <w:tcBorders>
              <w:top w:val="nil"/>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2012</w:t>
            </w:r>
          </w:p>
        </w:tc>
        <w:tc>
          <w:tcPr>
            <w:tcW w:w="934" w:type="dxa"/>
            <w:tcBorders>
              <w:top w:val="nil"/>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2013</w:t>
            </w:r>
          </w:p>
        </w:tc>
        <w:tc>
          <w:tcPr>
            <w:tcW w:w="1550" w:type="dxa"/>
            <w:tcBorders>
              <w:top w:val="nil"/>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2014</w:t>
            </w:r>
          </w:p>
        </w:tc>
        <w:tc>
          <w:tcPr>
            <w:tcW w:w="1550" w:type="dxa"/>
            <w:tcBorders>
              <w:top w:val="nil"/>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2015</w:t>
            </w:r>
          </w:p>
        </w:tc>
      </w:tr>
      <w:tr>
        <w:tblPrEx>
          <w:tblW w:w="9420" w:type="dxa"/>
          <w:tblInd w:w="65" w:type="dxa"/>
          <w:tblCellMar>
            <w:left w:w="70" w:type="dxa"/>
            <w:right w:w="70" w:type="dxa"/>
          </w:tblCellMar>
          <w:tblLook w:val="04A0"/>
        </w:tblPrEx>
        <w:trPr>
          <w:trHeight w:val="375"/>
        </w:trPr>
        <w:tc>
          <w:tcPr>
            <w:tcW w:w="708" w:type="dxa"/>
            <w:tcBorders>
              <w:top w:val="single" w:sz="4" w:space="0" w:color="auto"/>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b/>
                <w:bCs/>
                <w:color w:val="000000"/>
                <w:sz w:val="20"/>
                <w:szCs w:val="20"/>
              </w:rPr>
            </w:pPr>
            <w:r w:rsidRPr="00F57B36">
              <w:rPr>
                <w:rFonts w:ascii="Times New Roman" w:hAnsi="Times New Roman"/>
                <w:b/>
                <w:bCs/>
                <w:color w:val="000000"/>
                <w:sz w:val="20"/>
                <w:szCs w:val="20"/>
              </w:rPr>
              <w:t>100</w:t>
            </w:r>
          </w:p>
        </w:tc>
        <w:tc>
          <w:tcPr>
            <w:tcW w:w="3744"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b/>
                <w:bCs/>
                <w:color w:val="000000"/>
                <w:sz w:val="20"/>
                <w:szCs w:val="20"/>
              </w:rPr>
            </w:pPr>
            <w:r w:rsidRPr="00F57B36">
              <w:rPr>
                <w:rFonts w:ascii="Times New Roman" w:hAnsi="Times New Roman"/>
                <w:b/>
                <w:bCs/>
                <w:color w:val="000000"/>
                <w:sz w:val="20"/>
                <w:szCs w:val="20"/>
              </w:rPr>
              <w:t>Daňové príjmy</w:t>
            </w:r>
          </w:p>
        </w:tc>
        <w:tc>
          <w:tcPr>
            <w:tcW w:w="934"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0</w:t>
            </w:r>
          </w:p>
        </w:tc>
        <w:tc>
          <w:tcPr>
            <w:tcW w:w="934"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-55 064</w:t>
            </w:r>
          </w:p>
        </w:tc>
        <w:tc>
          <w:tcPr>
            <w:tcW w:w="1550"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5 582 338</w:t>
            </w:r>
          </w:p>
        </w:tc>
        <w:tc>
          <w:tcPr>
            <w:tcW w:w="1550"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6 890 221</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i/>
                <w:iCs/>
                <w:color w:val="000000"/>
                <w:sz w:val="20"/>
                <w:szCs w:val="20"/>
              </w:rPr>
            </w:pPr>
            <w:r w:rsidRPr="00F57B36">
              <w:rPr>
                <w:rFonts w:ascii="Times New Roman" w:hAnsi="Times New Roman"/>
                <w:i/>
                <w:iCs/>
                <w:color w:val="000000"/>
                <w:sz w:val="20"/>
                <w:szCs w:val="20"/>
              </w:rPr>
              <w:t>150</w:t>
            </w:r>
          </w:p>
        </w:tc>
        <w:tc>
          <w:tcPr>
            <w:tcW w:w="3744"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i/>
                <w:iCs/>
                <w:color w:val="000000"/>
                <w:sz w:val="20"/>
                <w:szCs w:val="20"/>
              </w:rPr>
            </w:pPr>
            <w:r w:rsidRPr="00F57B36">
              <w:rPr>
                <w:rFonts w:ascii="Times New Roman" w:hAnsi="Times New Roman"/>
                <w:i/>
                <w:iCs/>
                <w:color w:val="000000"/>
                <w:sz w:val="20"/>
                <w:szCs w:val="20"/>
              </w:rPr>
              <w:t>Poistné</w:t>
            </w:r>
          </w:p>
        </w:tc>
        <w:tc>
          <w:tcPr>
            <w:tcW w:w="93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c>
          <w:tcPr>
            <w:tcW w:w="93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-55 064</w:t>
            </w:r>
          </w:p>
        </w:tc>
        <w:tc>
          <w:tcPr>
            <w:tcW w:w="155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5 582 338</w:t>
            </w:r>
          </w:p>
        </w:tc>
        <w:tc>
          <w:tcPr>
            <w:tcW w:w="155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6 890 221</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textDirection w:val="lrTb"/>
            <w:vAlign w:val="center"/>
            <w:hideMark/>
          </w:tcPr>
          <w:p w:rsidR="00B43540" w:rsidRPr="00F57B36" w:rsidP="002D488F">
            <w:pPr>
              <w:bidi w:val="0"/>
              <w:jc w:val="right"/>
              <w:rPr>
                <w:rFonts w:ascii="Times New Roman" w:hAnsi="Times New Roman"/>
                <w:color w:val="000000"/>
                <w:sz w:val="14"/>
                <w:szCs w:val="14"/>
              </w:rPr>
            </w:pPr>
            <w:r w:rsidRPr="00F57B36">
              <w:rPr>
                <w:rFonts w:ascii="Times New Roman" w:hAnsi="Times New Roman"/>
                <w:color w:val="000000"/>
                <w:sz w:val="14"/>
                <w:szCs w:val="14"/>
              </w:rPr>
              <w:t>151-153, 155-158</w:t>
            </w:r>
          </w:p>
        </w:tc>
        <w:tc>
          <w:tcPr>
            <w:tcW w:w="3744"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color w:val="000000"/>
                <w:sz w:val="20"/>
                <w:szCs w:val="20"/>
              </w:rPr>
            </w:pPr>
            <w:r w:rsidRPr="00F57B36">
              <w:rPr>
                <w:rFonts w:ascii="Times New Roman" w:hAnsi="Times New Roman"/>
                <w:color w:val="000000"/>
                <w:sz w:val="20"/>
                <w:szCs w:val="20"/>
              </w:rPr>
              <w:t>Sociálne poistenie</w:t>
            </w:r>
          </w:p>
        </w:tc>
        <w:tc>
          <w:tcPr>
            <w:tcW w:w="93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93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-55 064</w:t>
            </w:r>
          </w:p>
        </w:tc>
        <w:tc>
          <w:tcPr>
            <w:tcW w:w="155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5 582 338</w:t>
            </w:r>
          </w:p>
        </w:tc>
        <w:tc>
          <w:tcPr>
            <w:tcW w:w="155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6 890 221</w:t>
            </w:r>
          </w:p>
        </w:tc>
      </w:tr>
    </w:tbl>
    <w:p w:rsidR="00B43540" w:rsidP="00B43540">
      <w:pPr>
        <w:autoSpaceDE w:val="0"/>
        <w:autoSpaceDN w:val="0"/>
        <w:bidi w:val="0"/>
        <w:adjustRightInd w:val="0"/>
        <w:jc w:val="both"/>
        <w:rPr>
          <w:rFonts w:ascii="Times New Roman" w:hAnsi="Times New Roman"/>
          <w:b/>
        </w:rPr>
      </w:pPr>
    </w:p>
    <w:tbl>
      <w:tblPr>
        <w:tblStyle w:val="TableNormal"/>
        <w:tblW w:w="9420" w:type="dxa"/>
        <w:tblInd w:w="65" w:type="dxa"/>
        <w:tblCellMar>
          <w:left w:w="70" w:type="dxa"/>
          <w:right w:w="70" w:type="dxa"/>
        </w:tblCellMar>
        <w:tblLook w:val="04A0"/>
      </w:tblPr>
      <w:tblGrid>
        <w:gridCol w:w="708"/>
        <w:gridCol w:w="3744"/>
        <w:gridCol w:w="934"/>
        <w:gridCol w:w="934"/>
        <w:gridCol w:w="1550"/>
        <w:gridCol w:w="1550"/>
      </w:tblGrid>
      <w:tr>
        <w:tblPrEx>
          <w:tblW w:w="9420" w:type="dxa"/>
          <w:tblInd w:w="65" w:type="dxa"/>
          <w:tblCellMar>
            <w:left w:w="70" w:type="dxa"/>
            <w:right w:w="70" w:type="dxa"/>
          </w:tblCellMar>
          <w:tblLook w:val="04A0"/>
        </w:tblPrEx>
        <w:trPr>
          <w:trHeight w:val="375"/>
        </w:trPr>
        <w:tc>
          <w:tcPr>
            <w:tcW w:w="708" w:type="dxa"/>
            <w:tcBorders>
              <w:top w:val="single" w:sz="4" w:space="0" w:color="auto"/>
              <w:left w:val="single" w:sz="4" w:space="0" w:color="auto"/>
              <w:bottom w:val="nil"/>
              <w:right w:val="nil"/>
            </w:tcBorders>
            <w:shd w:val="clear" w:color="000000" w:fill="000000"/>
            <w:noWrap/>
            <w:textDirection w:val="lrTb"/>
            <w:vAlign w:val="center"/>
            <w:hideMark/>
          </w:tcPr>
          <w:p w:rsidR="00B43540" w:rsidRPr="00F57B36" w:rsidP="002D488F">
            <w:pPr>
              <w:bidi w:val="0"/>
              <w:rPr>
                <w:rFonts w:ascii="Times New Roman" w:hAnsi="Times New Roman"/>
                <w:b/>
                <w:bCs/>
                <w:color w:val="FFFFFF"/>
              </w:rPr>
            </w:pPr>
            <w:r w:rsidRPr="00F57B36">
              <w:rPr>
                <w:rFonts w:ascii="Times New Roman" w:hAnsi="Times New Roman"/>
                <w:b/>
                <w:bCs/>
                <w:color w:val="FFFFFF"/>
              </w:rPr>
              <w:t> </w:t>
            </w:r>
          </w:p>
        </w:tc>
        <w:tc>
          <w:tcPr>
            <w:tcW w:w="3744" w:type="dxa"/>
            <w:vMerge w:val="restart"/>
            <w:tcBorders>
              <w:top w:val="single" w:sz="4" w:space="0" w:color="auto"/>
              <w:left w:val="nil"/>
              <w:bottom w:val="single" w:sz="4" w:space="0" w:color="000000"/>
              <w:right w:val="nil"/>
            </w:tcBorders>
            <w:shd w:val="clear" w:color="000000" w:fill="000000"/>
            <w:textDirection w:val="lrTb"/>
            <w:vAlign w:val="center"/>
            <w:hideMark/>
          </w:tcPr>
          <w:p w:rsidR="00B43540" w:rsidRPr="00F57B36" w:rsidP="002D488F">
            <w:pPr>
              <w:bidi w:val="0"/>
              <w:rPr>
                <w:rFonts w:ascii="Times New Roman" w:hAnsi="Times New Roman"/>
                <w:b/>
                <w:bCs/>
                <w:color w:val="FFFFFF"/>
                <w:sz w:val="22"/>
                <w:szCs w:val="22"/>
                <w:u w:val="single"/>
              </w:rPr>
            </w:pPr>
            <w:r w:rsidRPr="00F57B36">
              <w:rPr>
                <w:rFonts w:ascii="Times New Roman" w:hAnsi="Times New Roman"/>
                <w:b/>
                <w:bCs/>
                <w:color w:val="FFFFFF"/>
                <w:sz w:val="22"/>
                <w:szCs w:val="22"/>
                <w:u w:val="single"/>
              </w:rPr>
              <w:t>Rozpočet zdravotných poisťovní - príjmy (v eur)</w:t>
            </w:r>
          </w:p>
        </w:tc>
        <w:tc>
          <w:tcPr>
            <w:tcW w:w="4968" w:type="dxa"/>
            <w:gridSpan w:val="4"/>
            <w:tcBorders>
              <w:top w:val="single" w:sz="4" w:space="0" w:color="auto"/>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rPr>
            </w:pPr>
            <w:r w:rsidRPr="00F57B36">
              <w:rPr>
                <w:rFonts w:ascii="Times New Roman" w:hAnsi="Times New Roman"/>
                <w:b/>
                <w:bCs/>
                <w:color w:val="FFFFFF"/>
              </w:rPr>
              <w:t>Vplyv na rozpočet zdravotných poisťovní (cash)</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nil"/>
              <w:right w:val="nil"/>
            </w:tcBorders>
            <w:shd w:val="clear" w:color="000000" w:fill="000000"/>
            <w:noWrap/>
            <w:textDirection w:val="lrTb"/>
            <w:vAlign w:val="center"/>
            <w:hideMark/>
          </w:tcPr>
          <w:p w:rsidR="00B43540" w:rsidRPr="00F57B36" w:rsidP="002D488F">
            <w:pPr>
              <w:bidi w:val="0"/>
              <w:rPr>
                <w:rFonts w:ascii="Times New Roman" w:hAnsi="Times New Roman"/>
                <w:b/>
                <w:bCs/>
                <w:color w:val="FFFFFF"/>
              </w:rPr>
            </w:pPr>
            <w:r w:rsidRPr="00F57B36">
              <w:rPr>
                <w:rFonts w:ascii="Times New Roman" w:hAnsi="Times New Roman"/>
                <w:b/>
                <w:bCs/>
                <w:color w:val="FFFFFF"/>
              </w:rPr>
              <w:t> </w:t>
            </w:r>
          </w:p>
        </w:tc>
        <w:tc>
          <w:tcPr>
            <w:tcW w:w="3744" w:type="dxa"/>
            <w:vMerge/>
            <w:tcBorders>
              <w:top w:val="single" w:sz="4" w:space="0" w:color="auto"/>
              <w:left w:val="nil"/>
              <w:bottom w:val="single" w:sz="4" w:space="0" w:color="000000"/>
              <w:right w:val="nil"/>
            </w:tcBorders>
            <w:textDirection w:val="lrTb"/>
            <w:vAlign w:val="center"/>
            <w:hideMark/>
          </w:tcPr>
          <w:p w:rsidR="00B43540" w:rsidRPr="00F57B36" w:rsidP="002D488F">
            <w:pPr>
              <w:bidi w:val="0"/>
              <w:rPr>
                <w:rFonts w:ascii="Times New Roman" w:hAnsi="Times New Roman"/>
                <w:b/>
                <w:bCs/>
                <w:color w:val="FFFFFF"/>
                <w:sz w:val="22"/>
                <w:szCs w:val="22"/>
                <w:u w:val="single"/>
              </w:rPr>
            </w:pPr>
          </w:p>
        </w:tc>
        <w:tc>
          <w:tcPr>
            <w:tcW w:w="934" w:type="dxa"/>
            <w:tcBorders>
              <w:top w:val="nil"/>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2012</w:t>
            </w:r>
          </w:p>
        </w:tc>
        <w:tc>
          <w:tcPr>
            <w:tcW w:w="934" w:type="dxa"/>
            <w:tcBorders>
              <w:top w:val="nil"/>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2013</w:t>
            </w:r>
          </w:p>
        </w:tc>
        <w:tc>
          <w:tcPr>
            <w:tcW w:w="1550" w:type="dxa"/>
            <w:tcBorders>
              <w:top w:val="nil"/>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2014</w:t>
            </w:r>
          </w:p>
        </w:tc>
        <w:tc>
          <w:tcPr>
            <w:tcW w:w="1550" w:type="dxa"/>
            <w:tcBorders>
              <w:top w:val="nil"/>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2015</w:t>
            </w:r>
          </w:p>
        </w:tc>
      </w:tr>
      <w:tr>
        <w:tblPrEx>
          <w:tblW w:w="9420" w:type="dxa"/>
          <w:tblInd w:w="65" w:type="dxa"/>
          <w:tblCellMar>
            <w:left w:w="70" w:type="dxa"/>
            <w:right w:w="70" w:type="dxa"/>
          </w:tblCellMar>
          <w:tblLook w:val="04A0"/>
        </w:tblPrEx>
        <w:trPr>
          <w:trHeight w:val="375"/>
        </w:trPr>
        <w:tc>
          <w:tcPr>
            <w:tcW w:w="708" w:type="dxa"/>
            <w:tcBorders>
              <w:top w:val="single" w:sz="4" w:space="0" w:color="auto"/>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b/>
                <w:bCs/>
                <w:color w:val="000000"/>
                <w:sz w:val="20"/>
                <w:szCs w:val="20"/>
              </w:rPr>
            </w:pPr>
            <w:r w:rsidRPr="00F57B36">
              <w:rPr>
                <w:rFonts w:ascii="Times New Roman" w:hAnsi="Times New Roman"/>
                <w:b/>
                <w:bCs/>
                <w:color w:val="000000"/>
                <w:sz w:val="20"/>
                <w:szCs w:val="20"/>
              </w:rPr>
              <w:t>100</w:t>
            </w:r>
          </w:p>
        </w:tc>
        <w:tc>
          <w:tcPr>
            <w:tcW w:w="3744"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b/>
                <w:bCs/>
                <w:color w:val="000000"/>
                <w:sz w:val="20"/>
                <w:szCs w:val="20"/>
              </w:rPr>
            </w:pPr>
            <w:r w:rsidRPr="00F57B36">
              <w:rPr>
                <w:rFonts w:ascii="Times New Roman" w:hAnsi="Times New Roman"/>
                <w:b/>
                <w:bCs/>
                <w:color w:val="000000"/>
                <w:sz w:val="20"/>
                <w:szCs w:val="20"/>
              </w:rPr>
              <w:t>Daňové príjmy</w:t>
            </w:r>
          </w:p>
        </w:tc>
        <w:tc>
          <w:tcPr>
            <w:tcW w:w="934"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0</w:t>
            </w:r>
          </w:p>
        </w:tc>
        <w:tc>
          <w:tcPr>
            <w:tcW w:w="934"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-42 828</w:t>
            </w:r>
          </w:p>
        </w:tc>
        <w:tc>
          <w:tcPr>
            <w:tcW w:w="1550"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2 627 399</w:t>
            </w:r>
          </w:p>
        </w:tc>
        <w:tc>
          <w:tcPr>
            <w:tcW w:w="1550"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3 245 185</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i/>
                <w:iCs/>
                <w:color w:val="000000"/>
                <w:sz w:val="20"/>
                <w:szCs w:val="20"/>
              </w:rPr>
            </w:pPr>
            <w:r w:rsidRPr="00F57B36">
              <w:rPr>
                <w:rFonts w:ascii="Times New Roman" w:hAnsi="Times New Roman"/>
                <w:i/>
                <w:iCs/>
                <w:color w:val="000000"/>
                <w:sz w:val="20"/>
                <w:szCs w:val="20"/>
              </w:rPr>
              <w:t>150</w:t>
            </w:r>
          </w:p>
        </w:tc>
        <w:tc>
          <w:tcPr>
            <w:tcW w:w="3744"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i/>
                <w:iCs/>
                <w:color w:val="000000"/>
                <w:sz w:val="20"/>
                <w:szCs w:val="20"/>
              </w:rPr>
            </w:pPr>
            <w:r w:rsidRPr="00F57B36">
              <w:rPr>
                <w:rFonts w:ascii="Times New Roman" w:hAnsi="Times New Roman"/>
                <w:i/>
                <w:iCs/>
                <w:color w:val="000000"/>
                <w:sz w:val="20"/>
                <w:szCs w:val="20"/>
              </w:rPr>
              <w:t>Poistné</w:t>
            </w:r>
          </w:p>
        </w:tc>
        <w:tc>
          <w:tcPr>
            <w:tcW w:w="93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c>
          <w:tcPr>
            <w:tcW w:w="93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-42 828</w:t>
            </w:r>
          </w:p>
        </w:tc>
        <w:tc>
          <w:tcPr>
            <w:tcW w:w="155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2 627 399</w:t>
            </w:r>
          </w:p>
        </w:tc>
        <w:tc>
          <w:tcPr>
            <w:tcW w:w="155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3 245 185</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textDirection w:val="lrTb"/>
            <w:vAlign w:val="center"/>
            <w:hideMark/>
          </w:tcPr>
          <w:p w:rsidR="00B43540" w:rsidRPr="00F57B36" w:rsidP="002D488F">
            <w:pPr>
              <w:bidi w:val="0"/>
              <w:jc w:val="right"/>
              <w:rPr>
                <w:rFonts w:ascii="Times New Roman" w:hAnsi="Times New Roman"/>
                <w:color w:val="000000"/>
                <w:sz w:val="20"/>
                <w:szCs w:val="20"/>
              </w:rPr>
            </w:pPr>
            <w:r w:rsidRPr="00F57B36">
              <w:rPr>
                <w:rFonts w:ascii="Times New Roman" w:hAnsi="Times New Roman"/>
                <w:color w:val="000000"/>
                <w:sz w:val="20"/>
                <w:szCs w:val="20"/>
              </w:rPr>
              <w:t>154</w:t>
            </w:r>
          </w:p>
        </w:tc>
        <w:tc>
          <w:tcPr>
            <w:tcW w:w="3744"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color w:val="000000"/>
                <w:sz w:val="20"/>
                <w:szCs w:val="20"/>
              </w:rPr>
            </w:pPr>
            <w:r w:rsidRPr="00F57B36">
              <w:rPr>
                <w:rFonts w:ascii="Times New Roman" w:hAnsi="Times New Roman"/>
                <w:color w:val="000000"/>
                <w:sz w:val="20"/>
                <w:szCs w:val="20"/>
              </w:rPr>
              <w:t>Zdravotné poistenie</w:t>
            </w:r>
          </w:p>
        </w:tc>
        <w:tc>
          <w:tcPr>
            <w:tcW w:w="93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93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-42 828</w:t>
            </w:r>
          </w:p>
        </w:tc>
        <w:tc>
          <w:tcPr>
            <w:tcW w:w="155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2 627 399</w:t>
            </w:r>
          </w:p>
        </w:tc>
        <w:tc>
          <w:tcPr>
            <w:tcW w:w="155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3 245 185</w:t>
            </w:r>
          </w:p>
        </w:tc>
      </w:tr>
    </w:tbl>
    <w:p w:rsidR="00B43540" w:rsidP="00B43540">
      <w:pPr>
        <w:autoSpaceDE w:val="0"/>
        <w:autoSpaceDN w:val="0"/>
        <w:bidi w:val="0"/>
        <w:adjustRightInd w:val="0"/>
        <w:jc w:val="both"/>
        <w:rPr>
          <w:rFonts w:ascii="Times New Roman" w:hAnsi="Times New Roman"/>
          <w:b/>
        </w:rPr>
      </w:pPr>
    </w:p>
    <w:tbl>
      <w:tblPr>
        <w:tblStyle w:val="TableNormal"/>
        <w:tblW w:w="9420" w:type="dxa"/>
        <w:tblInd w:w="65" w:type="dxa"/>
        <w:tblCellMar>
          <w:left w:w="70" w:type="dxa"/>
          <w:right w:w="70" w:type="dxa"/>
        </w:tblCellMar>
        <w:tblLook w:val="04A0"/>
      </w:tblPr>
      <w:tblGrid>
        <w:gridCol w:w="708"/>
        <w:gridCol w:w="3744"/>
        <w:gridCol w:w="690"/>
        <w:gridCol w:w="1426"/>
        <w:gridCol w:w="1426"/>
        <w:gridCol w:w="1426"/>
      </w:tblGrid>
      <w:tr>
        <w:tblPrEx>
          <w:tblW w:w="9420" w:type="dxa"/>
          <w:tblInd w:w="65" w:type="dxa"/>
          <w:tblCellMar>
            <w:left w:w="70" w:type="dxa"/>
            <w:right w:w="70" w:type="dxa"/>
          </w:tblCellMar>
          <w:tblLook w:val="04A0"/>
        </w:tblPrEx>
        <w:trPr>
          <w:trHeight w:val="375"/>
        </w:trPr>
        <w:tc>
          <w:tcPr>
            <w:tcW w:w="708" w:type="dxa"/>
            <w:tcBorders>
              <w:top w:val="single" w:sz="4" w:space="0" w:color="auto"/>
              <w:left w:val="single" w:sz="4" w:space="0" w:color="auto"/>
              <w:bottom w:val="nil"/>
              <w:right w:val="nil"/>
            </w:tcBorders>
            <w:shd w:val="clear" w:color="000000" w:fill="000000"/>
            <w:noWrap/>
            <w:textDirection w:val="lrTb"/>
            <w:vAlign w:val="center"/>
            <w:hideMark/>
          </w:tcPr>
          <w:p w:rsidR="00B43540" w:rsidRPr="00F57B36" w:rsidP="002D488F">
            <w:pPr>
              <w:bidi w:val="0"/>
              <w:rPr>
                <w:rFonts w:ascii="Times New Roman" w:hAnsi="Times New Roman"/>
                <w:b/>
                <w:bCs/>
                <w:color w:val="FFFFFF"/>
                <w:sz w:val="22"/>
                <w:szCs w:val="22"/>
              </w:rPr>
            </w:pPr>
            <w:r w:rsidRPr="00F57B36">
              <w:rPr>
                <w:rFonts w:ascii="Times New Roman" w:hAnsi="Times New Roman"/>
                <w:b/>
                <w:bCs/>
                <w:color w:val="FFFFFF"/>
                <w:sz w:val="22"/>
                <w:szCs w:val="22"/>
              </w:rPr>
              <w:t> </w:t>
            </w:r>
          </w:p>
        </w:tc>
        <w:tc>
          <w:tcPr>
            <w:tcW w:w="3744" w:type="dxa"/>
            <w:vMerge w:val="restart"/>
            <w:tcBorders>
              <w:top w:val="single" w:sz="4" w:space="0" w:color="auto"/>
              <w:left w:val="nil"/>
              <w:bottom w:val="single" w:sz="4" w:space="0" w:color="000000"/>
              <w:right w:val="nil"/>
            </w:tcBorders>
            <w:shd w:val="clear" w:color="000000" w:fill="000000"/>
            <w:textDirection w:val="lrTb"/>
            <w:vAlign w:val="center"/>
            <w:hideMark/>
          </w:tcPr>
          <w:p w:rsidR="00B43540" w:rsidRPr="00F57B36" w:rsidP="002D488F">
            <w:pPr>
              <w:bidi w:val="0"/>
              <w:rPr>
                <w:rFonts w:ascii="Times New Roman" w:hAnsi="Times New Roman"/>
                <w:b/>
                <w:bCs/>
                <w:color w:val="FFFFFF"/>
                <w:sz w:val="22"/>
                <w:szCs w:val="22"/>
                <w:u w:val="single"/>
              </w:rPr>
            </w:pPr>
            <w:r w:rsidRPr="00F57B36">
              <w:rPr>
                <w:rFonts w:ascii="Times New Roman" w:hAnsi="Times New Roman"/>
                <w:b/>
                <w:bCs/>
                <w:color w:val="FFFFFF"/>
                <w:sz w:val="22"/>
                <w:szCs w:val="22"/>
                <w:u w:val="single"/>
              </w:rPr>
              <w:t>Rozpočet verejnej správy - príjmy (v eur)</w:t>
            </w:r>
          </w:p>
        </w:tc>
        <w:tc>
          <w:tcPr>
            <w:tcW w:w="4968" w:type="dxa"/>
            <w:gridSpan w:val="4"/>
            <w:tcBorders>
              <w:top w:val="single" w:sz="4" w:space="0" w:color="auto"/>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Vplyv na rozpočet verejnej správy (cash)</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nil"/>
              <w:right w:val="nil"/>
            </w:tcBorders>
            <w:shd w:val="clear" w:color="000000" w:fill="000000"/>
            <w:noWrap/>
            <w:textDirection w:val="lrTb"/>
            <w:vAlign w:val="center"/>
            <w:hideMark/>
          </w:tcPr>
          <w:p w:rsidR="00B43540" w:rsidRPr="00F57B36" w:rsidP="002D488F">
            <w:pPr>
              <w:bidi w:val="0"/>
              <w:rPr>
                <w:rFonts w:ascii="Times New Roman" w:hAnsi="Times New Roman"/>
                <w:b/>
                <w:bCs/>
                <w:color w:val="FFFFFF"/>
                <w:sz w:val="22"/>
                <w:szCs w:val="22"/>
              </w:rPr>
            </w:pPr>
            <w:r w:rsidRPr="00F57B36">
              <w:rPr>
                <w:rFonts w:ascii="Times New Roman" w:hAnsi="Times New Roman"/>
                <w:b/>
                <w:bCs/>
                <w:color w:val="FFFFFF"/>
                <w:sz w:val="22"/>
                <w:szCs w:val="22"/>
              </w:rPr>
              <w:t> </w:t>
            </w:r>
          </w:p>
        </w:tc>
        <w:tc>
          <w:tcPr>
            <w:tcW w:w="3744" w:type="dxa"/>
            <w:vMerge/>
            <w:tcBorders>
              <w:top w:val="single" w:sz="4" w:space="0" w:color="auto"/>
              <w:left w:val="nil"/>
              <w:bottom w:val="single" w:sz="4" w:space="0" w:color="000000"/>
              <w:right w:val="nil"/>
            </w:tcBorders>
            <w:textDirection w:val="lrTb"/>
            <w:vAlign w:val="center"/>
            <w:hideMark/>
          </w:tcPr>
          <w:p w:rsidR="00B43540" w:rsidRPr="00F57B36" w:rsidP="002D488F">
            <w:pPr>
              <w:bidi w:val="0"/>
              <w:rPr>
                <w:rFonts w:ascii="Times New Roman" w:hAnsi="Times New Roman"/>
                <w:b/>
                <w:bCs/>
                <w:color w:val="FFFFFF"/>
                <w:sz w:val="22"/>
                <w:szCs w:val="22"/>
                <w:u w:val="single"/>
              </w:rPr>
            </w:pPr>
          </w:p>
        </w:tc>
        <w:tc>
          <w:tcPr>
            <w:tcW w:w="690" w:type="dxa"/>
            <w:tcBorders>
              <w:top w:val="nil"/>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2012</w:t>
            </w:r>
          </w:p>
        </w:tc>
        <w:tc>
          <w:tcPr>
            <w:tcW w:w="1426" w:type="dxa"/>
            <w:tcBorders>
              <w:top w:val="nil"/>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2013</w:t>
            </w:r>
          </w:p>
        </w:tc>
        <w:tc>
          <w:tcPr>
            <w:tcW w:w="1426" w:type="dxa"/>
            <w:tcBorders>
              <w:top w:val="nil"/>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2014</w:t>
            </w:r>
          </w:p>
        </w:tc>
        <w:tc>
          <w:tcPr>
            <w:tcW w:w="1426" w:type="dxa"/>
            <w:tcBorders>
              <w:top w:val="nil"/>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2015</w:t>
            </w:r>
          </w:p>
        </w:tc>
      </w:tr>
      <w:tr>
        <w:tblPrEx>
          <w:tblW w:w="9420" w:type="dxa"/>
          <w:tblInd w:w="65" w:type="dxa"/>
          <w:tblCellMar>
            <w:left w:w="70" w:type="dxa"/>
            <w:right w:w="70" w:type="dxa"/>
          </w:tblCellMar>
          <w:tblLook w:val="04A0"/>
        </w:tblPrEx>
        <w:trPr>
          <w:trHeight w:val="375"/>
        </w:trPr>
        <w:tc>
          <w:tcPr>
            <w:tcW w:w="708" w:type="dxa"/>
            <w:tcBorders>
              <w:top w:val="single" w:sz="4" w:space="0" w:color="auto"/>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b/>
                <w:bCs/>
                <w:color w:val="000000"/>
                <w:sz w:val="20"/>
                <w:szCs w:val="20"/>
              </w:rPr>
            </w:pPr>
            <w:r w:rsidRPr="00F57B36">
              <w:rPr>
                <w:rFonts w:ascii="Times New Roman" w:hAnsi="Times New Roman"/>
                <w:b/>
                <w:bCs/>
                <w:color w:val="000000"/>
                <w:sz w:val="20"/>
                <w:szCs w:val="20"/>
              </w:rPr>
              <w:t>100</w:t>
            </w:r>
          </w:p>
        </w:tc>
        <w:tc>
          <w:tcPr>
            <w:tcW w:w="3744"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b/>
                <w:bCs/>
                <w:color w:val="000000"/>
                <w:sz w:val="20"/>
                <w:szCs w:val="20"/>
              </w:rPr>
            </w:pPr>
            <w:r w:rsidRPr="00F57B36">
              <w:rPr>
                <w:rFonts w:ascii="Times New Roman" w:hAnsi="Times New Roman"/>
                <w:b/>
                <w:bCs/>
                <w:color w:val="000000"/>
                <w:sz w:val="20"/>
                <w:szCs w:val="20"/>
              </w:rPr>
              <w:t>Daňové príjmy</w:t>
            </w:r>
          </w:p>
        </w:tc>
        <w:tc>
          <w:tcPr>
            <w:tcW w:w="690"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0</w:t>
            </w:r>
          </w:p>
        </w:tc>
        <w:tc>
          <w:tcPr>
            <w:tcW w:w="1426"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313 011 509</w:t>
            </w:r>
          </w:p>
        </w:tc>
        <w:tc>
          <w:tcPr>
            <w:tcW w:w="1426"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422 843 261</w:t>
            </w:r>
          </w:p>
        </w:tc>
        <w:tc>
          <w:tcPr>
            <w:tcW w:w="1426"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18"/>
                <w:szCs w:val="18"/>
              </w:rPr>
            </w:pPr>
            <w:r>
              <w:rPr>
                <w:rFonts w:ascii="Times New Roman" w:hAnsi="Times New Roman"/>
                <w:b/>
                <w:bCs/>
                <w:color w:val="000000"/>
                <w:sz w:val="18"/>
                <w:szCs w:val="18"/>
              </w:rPr>
              <w:t>453 071 902</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i/>
                <w:iCs/>
                <w:color w:val="000000"/>
                <w:sz w:val="20"/>
                <w:szCs w:val="20"/>
              </w:rPr>
            </w:pPr>
            <w:r w:rsidRPr="00F57B36">
              <w:rPr>
                <w:rFonts w:ascii="Times New Roman" w:hAnsi="Times New Roman"/>
                <w:i/>
                <w:iCs/>
                <w:color w:val="000000"/>
                <w:sz w:val="20"/>
                <w:szCs w:val="20"/>
              </w:rPr>
              <w:t>110</w:t>
            </w:r>
          </w:p>
        </w:tc>
        <w:tc>
          <w:tcPr>
            <w:tcW w:w="3744"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i/>
                <w:iCs/>
                <w:color w:val="000000"/>
                <w:sz w:val="20"/>
                <w:szCs w:val="20"/>
              </w:rPr>
            </w:pPr>
            <w:r w:rsidRPr="00F57B36">
              <w:rPr>
                <w:rFonts w:ascii="Times New Roman" w:hAnsi="Times New Roman"/>
                <w:i/>
                <w:iCs/>
                <w:color w:val="000000"/>
                <w:sz w:val="20"/>
                <w:szCs w:val="20"/>
              </w:rPr>
              <w:t>Dane z príjmov a kapitálového majetku</w:t>
            </w:r>
          </w:p>
        </w:tc>
        <w:tc>
          <w:tcPr>
            <w:tcW w:w="69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313 109 401</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414 633 524</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442 936 496</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color w:val="000000"/>
                <w:sz w:val="20"/>
                <w:szCs w:val="20"/>
              </w:rPr>
            </w:pPr>
            <w:r w:rsidRPr="00F57B36">
              <w:rPr>
                <w:rFonts w:ascii="Times New Roman" w:hAnsi="Times New Roman"/>
                <w:color w:val="000000"/>
                <w:sz w:val="20"/>
                <w:szCs w:val="20"/>
              </w:rPr>
              <w:t>111</w:t>
            </w:r>
          </w:p>
        </w:tc>
        <w:tc>
          <w:tcPr>
            <w:tcW w:w="3744"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color w:val="000000"/>
                <w:sz w:val="20"/>
                <w:szCs w:val="20"/>
              </w:rPr>
            </w:pPr>
            <w:r w:rsidRPr="00F57B36">
              <w:rPr>
                <w:rFonts w:ascii="Times New Roman" w:hAnsi="Times New Roman"/>
                <w:color w:val="000000"/>
                <w:sz w:val="20"/>
                <w:szCs w:val="20"/>
              </w:rPr>
              <w:t>Daň z príjmov fyzickej osoby</w:t>
            </w:r>
          </w:p>
        </w:tc>
        <w:tc>
          <w:tcPr>
            <w:tcW w:w="69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44 646 401</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94 475 524</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90 693 496</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color w:val="000000"/>
                <w:sz w:val="20"/>
                <w:szCs w:val="20"/>
              </w:rPr>
            </w:pPr>
            <w:r w:rsidRPr="00F57B36">
              <w:rPr>
                <w:rFonts w:ascii="Times New Roman" w:hAnsi="Times New Roman"/>
                <w:color w:val="000000"/>
                <w:sz w:val="20"/>
                <w:szCs w:val="20"/>
              </w:rPr>
              <w:t>112</w:t>
            </w:r>
          </w:p>
        </w:tc>
        <w:tc>
          <w:tcPr>
            <w:tcW w:w="3744"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color w:val="000000"/>
                <w:sz w:val="20"/>
                <w:szCs w:val="20"/>
              </w:rPr>
            </w:pPr>
            <w:r w:rsidRPr="00F57B36">
              <w:rPr>
                <w:rFonts w:ascii="Times New Roman" w:hAnsi="Times New Roman"/>
                <w:color w:val="000000"/>
                <w:sz w:val="20"/>
                <w:szCs w:val="20"/>
              </w:rPr>
              <w:t>Daň z príjmov právnických osôb</w:t>
            </w:r>
          </w:p>
        </w:tc>
        <w:tc>
          <w:tcPr>
            <w:tcW w:w="69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268 463 000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320 158 000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352 243 000</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textDirection w:val="lrTb"/>
            <w:vAlign w:val="center"/>
            <w:hideMark/>
          </w:tcPr>
          <w:p w:rsidR="00B43540" w:rsidRPr="00F57B36" w:rsidP="002D488F">
            <w:pPr>
              <w:bidi w:val="0"/>
              <w:jc w:val="right"/>
              <w:rPr>
                <w:rFonts w:ascii="Times New Roman" w:hAnsi="Times New Roman"/>
                <w:color w:val="000000"/>
                <w:sz w:val="20"/>
                <w:szCs w:val="20"/>
              </w:rPr>
            </w:pPr>
            <w:r w:rsidRPr="00F57B36">
              <w:rPr>
                <w:rFonts w:ascii="Times New Roman" w:hAnsi="Times New Roman"/>
                <w:color w:val="000000"/>
                <w:sz w:val="20"/>
                <w:szCs w:val="20"/>
              </w:rPr>
              <w:t>113</w:t>
            </w:r>
          </w:p>
        </w:tc>
        <w:tc>
          <w:tcPr>
            <w:tcW w:w="3744"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color w:val="000000"/>
                <w:sz w:val="20"/>
                <w:szCs w:val="20"/>
              </w:rPr>
            </w:pPr>
            <w:r w:rsidRPr="00F57B36">
              <w:rPr>
                <w:rFonts w:ascii="Times New Roman" w:hAnsi="Times New Roman"/>
                <w:color w:val="000000"/>
                <w:sz w:val="20"/>
                <w:szCs w:val="20"/>
              </w:rPr>
              <w:t>Daň z príjmov vyberaná zrážkou</w:t>
            </w:r>
          </w:p>
        </w:tc>
        <w:tc>
          <w:tcPr>
            <w:tcW w:w="69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i/>
                <w:iCs/>
                <w:color w:val="000000"/>
                <w:sz w:val="20"/>
                <w:szCs w:val="20"/>
              </w:rPr>
            </w:pPr>
            <w:r w:rsidRPr="00F57B36">
              <w:rPr>
                <w:rFonts w:ascii="Times New Roman" w:hAnsi="Times New Roman"/>
                <w:i/>
                <w:iCs/>
                <w:color w:val="000000"/>
                <w:sz w:val="20"/>
                <w:szCs w:val="20"/>
              </w:rPr>
              <w:t>150</w:t>
            </w:r>
          </w:p>
        </w:tc>
        <w:tc>
          <w:tcPr>
            <w:tcW w:w="3744"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i/>
                <w:iCs/>
                <w:color w:val="000000"/>
                <w:sz w:val="20"/>
                <w:szCs w:val="20"/>
              </w:rPr>
            </w:pPr>
            <w:r w:rsidRPr="00F57B36">
              <w:rPr>
                <w:rFonts w:ascii="Times New Roman" w:hAnsi="Times New Roman"/>
                <w:i/>
                <w:iCs/>
                <w:color w:val="000000"/>
                <w:sz w:val="20"/>
                <w:szCs w:val="20"/>
              </w:rPr>
              <w:t>Poistné</w:t>
            </w:r>
          </w:p>
        </w:tc>
        <w:tc>
          <w:tcPr>
            <w:tcW w:w="69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-97 892</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8 209 737</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18"/>
                <w:szCs w:val="18"/>
              </w:rPr>
            </w:pPr>
            <w:r>
              <w:rPr>
                <w:rFonts w:ascii="Times New Roman" w:hAnsi="Times New Roman"/>
                <w:i/>
                <w:iCs/>
                <w:color w:val="000000"/>
                <w:sz w:val="18"/>
                <w:szCs w:val="18"/>
              </w:rPr>
              <w:t>10 135 406</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textDirection w:val="lrTb"/>
            <w:vAlign w:val="center"/>
            <w:hideMark/>
          </w:tcPr>
          <w:p w:rsidR="00B43540" w:rsidRPr="00F57B36" w:rsidP="002D488F">
            <w:pPr>
              <w:bidi w:val="0"/>
              <w:jc w:val="right"/>
              <w:rPr>
                <w:rFonts w:ascii="Times New Roman" w:hAnsi="Times New Roman"/>
                <w:color w:val="000000"/>
                <w:sz w:val="14"/>
                <w:szCs w:val="14"/>
              </w:rPr>
            </w:pPr>
            <w:r w:rsidRPr="00F57B36">
              <w:rPr>
                <w:rFonts w:ascii="Times New Roman" w:hAnsi="Times New Roman"/>
                <w:color w:val="000000"/>
                <w:sz w:val="14"/>
                <w:szCs w:val="14"/>
              </w:rPr>
              <w:t>151-153, 155-158</w:t>
            </w:r>
          </w:p>
        </w:tc>
        <w:tc>
          <w:tcPr>
            <w:tcW w:w="3744"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color w:val="000000"/>
                <w:sz w:val="20"/>
                <w:szCs w:val="20"/>
              </w:rPr>
            </w:pPr>
            <w:r w:rsidRPr="00F57B36">
              <w:rPr>
                <w:rFonts w:ascii="Times New Roman" w:hAnsi="Times New Roman"/>
                <w:color w:val="000000"/>
                <w:sz w:val="20"/>
                <w:szCs w:val="20"/>
              </w:rPr>
              <w:t>Sociálne poistenie</w:t>
            </w:r>
          </w:p>
        </w:tc>
        <w:tc>
          <w:tcPr>
            <w:tcW w:w="69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-55 064</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5 582 338</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6 890 221</w:t>
            </w:r>
          </w:p>
        </w:tc>
      </w:tr>
      <w:tr>
        <w:tblPrEx>
          <w:tblW w:w="9420"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textDirection w:val="lrTb"/>
            <w:vAlign w:val="center"/>
            <w:hideMark/>
          </w:tcPr>
          <w:p w:rsidR="00B43540" w:rsidRPr="00F57B36" w:rsidP="002D488F">
            <w:pPr>
              <w:bidi w:val="0"/>
              <w:jc w:val="right"/>
              <w:rPr>
                <w:rFonts w:ascii="Times New Roman" w:hAnsi="Times New Roman"/>
                <w:color w:val="000000"/>
                <w:sz w:val="20"/>
                <w:szCs w:val="20"/>
              </w:rPr>
            </w:pPr>
            <w:r w:rsidRPr="00F57B36">
              <w:rPr>
                <w:rFonts w:ascii="Times New Roman" w:hAnsi="Times New Roman"/>
                <w:color w:val="000000"/>
                <w:sz w:val="20"/>
                <w:szCs w:val="20"/>
              </w:rPr>
              <w:t>154</w:t>
            </w:r>
          </w:p>
        </w:tc>
        <w:tc>
          <w:tcPr>
            <w:tcW w:w="3744"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color w:val="000000"/>
                <w:sz w:val="20"/>
                <w:szCs w:val="20"/>
              </w:rPr>
            </w:pPr>
            <w:r w:rsidRPr="00F57B36">
              <w:rPr>
                <w:rFonts w:ascii="Times New Roman" w:hAnsi="Times New Roman"/>
                <w:color w:val="000000"/>
                <w:sz w:val="20"/>
                <w:szCs w:val="20"/>
              </w:rPr>
              <w:t>Zdravotné poistenie</w:t>
            </w:r>
          </w:p>
        </w:tc>
        <w:tc>
          <w:tcPr>
            <w:tcW w:w="69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-42 828</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2 627 399</w:t>
            </w:r>
          </w:p>
        </w:tc>
        <w:tc>
          <w:tcPr>
            <w:tcW w:w="1426"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18"/>
                <w:szCs w:val="18"/>
              </w:rPr>
            </w:pPr>
            <w:r>
              <w:rPr>
                <w:rFonts w:ascii="Times New Roman" w:hAnsi="Times New Roman"/>
                <w:color w:val="000000"/>
                <w:sz w:val="18"/>
                <w:szCs w:val="18"/>
              </w:rPr>
              <w:t>3 245 185</w:t>
            </w:r>
          </w:p>
        </w:tc>
      </w:tr>
    </w:tbl>
    <w:p w:rsidR="00B43540" w:rsidP="00B43540">
      <w:pPr>
        <w:autoSpaceDE w:val="0"/>
        <w:autoSpaceDN w:val="0"/>
        <w:bidi w:val="0"/>
        <w:adjustRightInd w:val="0"/>
        <w:jc w:val="both"/>
        <w:rPr>
          <w:rFonts w:ascii="Times New Roman" w:hAnsi="Times New Roman"/>
          <w:b/>
        </w:rPr>
      </w:pPr>
    </w:p>
    <w:p w:rsidR="00B43540" w:rsidRPr="00323053" w:rsidP="00B43540">
      <w:pPr>
        <w:autoSpaceDE w:val="0"/>
        <w:autoSpaceDN w:val="0"/>
        <w:bidi w:val="0"/>
        <w:adjustRightInd w:val="0"/>
        <w:jc w:val="both"/>
        <w:rPr>
          <w:rFonts w:ascii="Times New Roman" w:hAnsi="Times New Roman"/>
          <w:b/>
        </w:rPr>
      </w:pPr>
    </w:p>
    <w:p w:rsidR="00B43540" w:rsidRPr="00323053" w:rsidP="00B43540">
      <w:pPr>
        <w:autoSpaceDE w:val="0"/>
        <w:autoSpaceDN w:val="0"/>
        <w:bidi w:val="0"/>
        <w:adjustRightInd w:val="0"/>
        <w:jc w:val="both"/>
        <w:rPr>
          <w:rFonts w:ascii="Times New Roman" w:hAnsi="Times New Roman"/>
          <w:b/>
        </w:rPr>
      </w:pPr>
      <w:r w:rsidRPr="00323053">
        <w:rPr>
          <w:rFonts w:ascii="Times New Roman" w:hAnsi="Times New Roman"/>
          <w:b/>
        </w:rPr>
        <w:t>Kvantifikácia výdavkov</w:t>
      </w:r>
    </w:p>
    <w:p w:rsidR="00B43540" w:rsidRPr="00323053" w:rsidP="00B43540">
      <w:pPr>
        <w:autoSpaceDE w:val="0"/>
        <w:autoSpaceDN w:val="0"/>
        <w:bidi w:val="0"/>
        <w:adjustRightInd w:val="0"/>
        <w:jc w:val="both"/>
        <w:rPr>
          <w:rFonts w:ascii="Times New Roman" w:hAnsi="Times New Roman"/>
        </w:rPr>
      </w:pPr>
    </w:p>
    <w:tbl>
      <w:tblPr>
        <w:tblStyle w:val="TableNormal"/>
        <w:tblW w:w="9444" w:type="dxa"/>
        <w:tblInd w:w="65" w:type="dxa"/>
        <w:tblCellMar>
          <w:left w:w="70" w:type="dxa"/>
          <w:right w:w="70" w:type="dxa"/>
        </w:tblCellMar>
        <w:tblLook w:val="04A0"/>
      </w:tblPr>
      <w:tblGrid>
        <w:gridCol w:w="708"/>
        <w:gridCol w:w="3768"/>
        <w:gridCol w:w="874"/>
        <w:gridCol w:w="874"/>
        <w:gridCol w:w="1610"/>
        <w:gridCol w:w="1610"/>
      </w:tblGrid>
      <w:tr>
        <w:tblPrEx>
          <w:tblW w:w="9444" w:type="dxa"/>
          <w:tblInd w:w="65" w:type="dxa"/>
          <w:tblCellMar>
            <w:left w:w="70" w:type="dxa"/>
            <w:right w:w="70" w:type="dxa"/>
          </w:tblCellMar>
          <w:tblLook w:val="04A0"/>
        </w:tblPrEx>
        <w:trPr>
          <w:trHeight w:val="375"/>
        </w:trPr>
        <w:tc>
          <w:tcPr>
            <w:tcW w:w="708" w:type="dxa"/>
            <w:tcBorders>
              <w:top w:val="single" w:sz="4" w:space="0" w:color="auto"/>
              <w:left w:val="single" w:sz="4" w:space="0" w:color="auto"/>
              <w:bottom w:val="nil"/>
              <w:right w:val="nil"/>
            </w:tcBorders>
            <w:shd w:val="clear" w:color="000000" w:fill="000000"/>
            <w:noWrap/>
            <w:textDirection w:val="lrTb"/>
            <w:vAlign w:val="center"/>
            <w:hideMark/>
          </w:tcPr>
          <w:p w:rsidR="00B43540" w:rsidRPr="00F57B36" w:rsidP="002D488F">
            <w:pPr>
              <w:bidi w:val="0"/>
              <w:rPr>
                <w:rFonts w:ascii="Times New Roman" w:hAnsi="Times New Roman"/>
                <w:b/>
                <w:bCs/>
                <w:color w:val="FFFFFF"/>
                <w:sz w:val="22"/>
                <w:szCs w:val="22"/>
              </w:rPr>
            </w:pPr>
            <w:r w:rsidRPr="00F57B36">
              <w:rPr>
                <w:rFonts w:ascii="Times New Roman" w:hAnsi="Times New Roman"/>
                <w:b/>
                <w:bCs/>
                <w:color w:val="FFFFFF"/>
                <w:sz w:val="22"/>
                <w:szCs w:val="22"/>
              </w:rPr>
              <w:t> </w:t>
            </w:r>
          </w:p>
        </w:tc>
        <w:tc>
          <w:tcPr>
            <w:tcW w:w="3768" w:type="dxa"/>
            <w:vMerge w:val="restart"/>
            <w:tcBorders>
              <w:top w:val="single" w:sz="4" w:space="0" w:color="auto"/>
              <w:left w:val="nil"/>
              <w:bottom w:val="none" w:sz="0" w:space="0" w:color="auto"/>
              <w:right w:val="nil"/>
            </w:tcBorders>
            <w:shd w:val="clear" w:color="000000" w:fill="000000"/>
            <w:noWrap/>
            <w:textDirection w:val="lrTb"/>
            <w:vAlign w:val="center"/>
            <w:hideMark/>
          </w:tcPr>
          <w:p w:rsidR="00B43540" w:rsidRPr="00F57B36" w:rsidP="002D488F">
            <w:pPr>
              <w:bidi w:val="0"/>
              <w:rPr>
                <w:rFonts w:ascii="Times New Roman" w:hAnsi="Times New Roman"/>
                <w:b/>
                <w:bCs/>
                <w:color w:val="FFFFFF"/>
                <w:sz w:val="22"/>
                <w:szCs w:val="22"/>
              </w:rPr>
            </w:pPr>
            <w:r w:rsidRPr="00F57B36">
              <w:rPr>
                <w:rFonts w:ascii="Times New Roman" w:hAnsi="Times New Roman"/>
                <w:b/>
                <w:bCs/>
                <w:color w:val="FFFFFF"/>
                <w:sz w:val="22"/>
                <w:szCs w:val="22"/>
                <w:u w:val="single"/>
              </w:rPr>
              <w:t>Štátny rozpočet - výdavky (v eur)</w:t>
            </w:r>
          </w:p>
        </w:tc>
        <w:tc>
          <w:tcPr>
            <w:tcW w:w="4968" w:type="dxa"/>
            <w:gridSpan w:val="4"/>
            <w:tcBorders>
              <w:top w:val="single" w:sz="4" w:space="0" w:color="auto"/>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Vplyv na štátny rozpočet (ESA95)</w:t>
            </w:r>
          </w:p>
        </w:tc>
      </w:tr>
      <w:tr>
        <w:tblPrEx>
          <w:tblW w:w="9444" w:type="dxa"/>
          <w:tblInd w:w="65" w:type="dxa"/>
          <w:tblCellMar>
            <w:left w:w="70" w:type="dxa"/>
            <w:right w:w="70" w:type="dxa"/>
          </w:tblCellMar>
          <w:tblLook w:val="04A0"/>
        </w:tblPrEx>
        <w:trPr>
          <w:trHeight w:val="375"/>
        </w:trPr>
        <w:tc>
          <w:tcPr>
            <w:tcW w:w="708" w:type="dxa"/>
            <w:tcBorders>
              <w:top w:val="nil"/>
              <w:left w:val="single" w:sz="4" w:space="0" w:color="auto"/>
              <w:bottom w:val="nil"/>
              <w:right w:val="nil"/>
            </w:tcBorders>
            <w:shd w:val="clear" w:color="000000" w:fill="000000"/>
            <w:noWrap/>
            <w:textDirection w:val="lrTb"/>
            <w:vAlign w:val="center"/>
            <w:hideMark/>
          </w:tcPr>
          <w:p w:rsidR="00B43540" w:rsidRPr="00F57B36" w:rsidP="002D488F">
            <w:pPr>
              <w:bidi w:val="0"/>
              <w:rPr>
                <w:rFonts w:ascii="Times New Roman" w:hAnsi="Times New Roman"/>
                <w:b/>
                <w:bCs/>
                <w:color w:val="FFFFFF"/>
                <w:sz w:val="22"/>
                <w:szCs w:val="22"/>
              </w:rPr>
            </w:pPr>
            <w:r w:rsidRPr="00F57B36">
              <w:rPr>
                <w:rFonts w:ascii="Times New Roman" w:hAnsi="Times New Roman"/>
                <w:b/>
                <w:bCs/>
                <w:color w:val="FFFFFF"/>
                <w:sz w:val="22"/>
                <w:szCs w:val="22"/>
              </w:rPr>
              <w:t> </w:t>
            </w:r>
          </w:p>
        </w:tc>
        <w:tc>
          <w:tcPr>
            <w:tcW w:w="3768" w:type="dxa"/>
            <w:vMerge/>
            <w:tcBorders>
              <w:top w:val="none" w:sz="0" w:space="0" w:color="auto"/>
              <w:left w:val="nil"/>
              <w:bottom w:val="nil"/>
              <w:right w:val="nil"/>
            </w:tcBorders>
            <w:shd w:val="clear" w:color="000000" w:fill="000000"/>
            <w:noWrap/>
            <w:textDirection w:val="lrTb"/>
            <w:vAlign w:val="center"/>
            <w:hideMark/>
          </w:tcPr>
          <w:p w:rsidR="00B43540" w:rsidRPr="00F57B36" w:rsidP="002D488F">
            <w:pPr>
              <w:bidi w:val="0"/>
              <w:rPr>
                <w:rFonts w:ascii="Times New Roman" w:hAnsi="Times New Roman"/>
                <w:b/>
                <w:bCs/>
                <w:color w:val="FFFFFF"/>
                <w:sz w:val="22"/>
                <w:szCs w:val="22"/>
                <w:u w:val="single"/>
              </w:rPr>
            </w:pPr>
          </w:p>
        </w:tc>
        <w:tc>
          <w:tcPr>
            <w:tcW w:w="874" w:type="dxa"/>
            <w:tcBorders>
              <w:top w:val="nil"/>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2012</w:t>
            </w:r>
          </w:p>
        </w:tc>
        <w:tc>
          <w:tcPr>
            <w:tcW w:w="874" w:type="dxa"/>
            <w:tcBorders>
              <w:top w:val="nil"/>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2013</w:t>
            </w:r>
          </w:p>
        </w:tc>
        <w:tc>
          <w:tcPr>
            <w:tcW w:w="1610" w:type="dxa"/>
            <w:tcBorders>
              <w:top w:val="nil"/>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2014</w:t>
            </w:r>
          </w:p>
        </w:tc>
        <w:tc>
          <w:tcPr>
            <w:tcW w:w="1610" w:type="dxa"/>
            <w:tcBorders>
              <w:top w:val="nil"/>
              <w:left w:val="nil"/>
              <w:bottom w:val="nil"/>
              <w:right w:val="nil"/>
            </w:tcBorders>
            <w:shd w:val="clear" w:color="000000" w:fill="000000"/>
            <w:noWrap/>
            <w:textDirection w:val="lrTb"/>
            <w:vAlign w:val="center"/>
            <w:hideMark/>
          </w:tcPr>
          <w:p w:rsidR="00B43540" w:rsidRPr="00F57B36" w:rsidP="002D488F">
            <w:pPr>
              <w:bidi w:val="0"/>
              <w:jc w:val="center"/>
              <w:rPr>
                <w:rFonts w:ascii="Times New Roman" w:hAnsi="Times New Roman"/>
                <w:b/>
                <w:bCs/>
                <w:color w:val="FFFFFF"/>
                <w:sz w:val="22"/>
                <w:szCs w:val="22"/>
              </w:rPr>
            </w:pPr>
            <w:r w:rsidRPr="00F57B36">
              <w:rPr>
                <w:rFonts w:ascii="Times New Roman" w:hAnsi="Times New Roman"/>
                <w:b/>
                <w:bCs/>
                <w:color w:val="FFFFFF"/>
                <w:sz w:val="22"/>
                <w:szCs w:val="22"/>
              </w:rPr>
              <w:t>2015</w:t>
            </w:r>
          </w:p>
        </w:tc>
      </w:tr>
      <w:tr>
        <w:tblPrEx>
          <w:tblW w:w="9444" w:type="dxa"/>
          <w:tblInd w:w="65" w:type="dxa"/>
          <w:tblCellMar>
            <w:left w:w="70" w:type="dxa"/>
            <w:right w:w="70" w:type="dxa"/>
          </w:tblCellMar>
          <w:tblLook w:val="04A0"/>
        </w:tblPrEx>
        <w:trPr>
          <w:trHeight w:val="375"/>
        </w:trPr>
        <w:tc>
          <w:tcPr>
            <w:tcW w:w="708" w:type="dxa"/>
            <w:tcBorders>
              <w:top w:val="single" w:sz="4" w:space="0" w:color="auto"/>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b/>
                <w:bCs/>
                <w:color w:val="000000"/>
                <w:sz w:val="20"/>
                <w:szCs w:val="20"/>
              </w:rPr>
            </w:pPr>
            <w:r w:rsidRPr="00F57B36">
              <w:rPr>
                <w:rFonts w:ascii="Times New Roman" w:hAnsi="Times New Roman"/>
                <w:b/>
                <w:bCs/>
                <w:color w:val="000000"/>
                <w:sz w:val="20"/>
                <w:szCs w:val="20"/>
              </w:rPr>
              <w:t>600</w:t>
            </w:r>
          </w:p>
        </w:tc>
        <w:tc>
          <w:tcPr>
            <w:tcW w:w="3768" w:type="dxa"/>
            <w:tcBorders>
              <w:top w:val="single" w:sz="4" w:space="0" w:color="auto"/>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b/>
                <w:bCs/>
                <w:color w:val="000000"/>
                <w:sz w:val="20"/>
                <w:szCs w:val="20"/>
              </w:rPr>
            </w:pPr>
            <w:r w:rsidRPr="00F57B36">
              <w:rPr>
                <w:rFonts w:ascii="Times New Roman" w:hAnsi="Times New Roman"/>
                <w:b/>
                <w:bCs/>
                <w:color w:val="000000"/>
                <w:sz w:val="20"/>
                <w:szCs w:val="20"/>
              </w:rPr>
              <w:t>Bežné výdavky</w:t>
            </w:r>
          </w:p>
        </w:tc>
        <w:tc>
          <w:tcPr>
            <w:tcW w:w="874"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874"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610"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838 418</w:t>
            </w:r>
          </w:p>
        </w:tc>
        <w:tc>
          <w:tcPr>
            <w:tcW w:w="1610"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935 969</w:t>
            </w:r>
          </w:p>
        </w:tc>
      </w:tr>
      <w:tr>
        <w:tblPrEx>
          <w:tblW w:w="9444"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i/>
                <w:iCs/>
                <w:color w:val="000000"/>
                <w:sz w:val="20"/>
                <w:szCs w:val="20"/>
              </w:rPr>
            </w:pPr>
            <w:r w:rsidRPr="00F57B36">
              <w:rPr>
                <w:rFonts w:ascii="Times New Roman" w:hAnsi="Times New Roman"/>
                <w:i/>
                <w:iCs/>
                <w:color w:val="000000"/>
                <w:sz w:val="20"/>
                <w:szCs w:val="20"/>
              </w:rPr>
              <w:t>640</w:t>
            </w:r>
          </w:p>
        </w:tc>
        <w:tc>
          <w:tcPr>
            <w:tcW w:w="3768"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i/>
                <w:iCs/>
                <w:color w:val="000000"/>
                <w:sz w:val="20"/>
                <w:szCs w:val="20"/>
              </w:rPr>
            </w:pPr>
            <w:r w:rsidRPr="00F57B36">
              <w:rPr>
                <w:rFonts w:ascii="Times New Roman" w:hAnsi="Times New Roman"/>
                <w:i/>
                <w:iCs/>
                <w:color w:val="000000"/>
                <w:sz w:val="20"/>
                <w:szCs w:val="20"/>
              </w:rPr>
              <w:t>Bežné transfery</w:t>
            </w:r>
          </w:p>
        </w:tc>
        <w:tc>
          <w:tcPr>
            <w:tcW w:w="87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87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61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838 418</w:t>
            </w:r>
          </w:p>
        </w:tc>
        <w:tc>
          <w:tcPr>
            <w:tcW w:w="161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935 969</w:t>
            </w:r>
          </w:p>
        </w:tc>
      </w:tr>
      <w:tr>
        <w:tblPrEx>
          <w:tblW w:w="9444"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color w:val="000000"/>
                <w:sz w:val="20"/>
                <w:szCs w:val="20"/>
              </w:rPr>
            </w:pPr>
            <w:r w:rsidRPr="00F57B36">
              <w:rPr>
                <w:rFonts w:ascii="Times New Roman" w:hAnsi="Times New Roman"/>
                <w:color w:val="000000"/>
                <w:sz w:val="20"/>
                <w:szCs w:val="20"/>
              </w:rPr>
              <w:t>641</w:t>
            </w:r>
          </w:p>
        </w:tc>
        <w:tc>
          <w:tcPr>
            <w:tcW w:w="3768" w:type="dxa"/>
            <w:tcBorders>
              <w:top w:val="nil"/>
              <w:left w:val="nil"/>
              <w:bottom w:val="single" w:sz="4" w:space="0" w:color="auto"/>
              <w:right w:val="single" w:sz="4" w:space="0" w:color="auto"/>
            </w:tcBorders>
            <w:noWrap/>
            <w:textDirection w:val="lrTb"/>
            <w:vAlign w:val="center"/>
            <w:hideMark/>
          </w:tcPr>
          <w:p w:rsidR="00B43540" w:rsidRPr="00F57B36" w:rsidP="002D488F">
            <w:pPr>
              <w:bidi w:val="0"/>
              <w:rPr>
                <w:rFonts w:ascii="Times New Roman" w:hAnsi="Times New Roman"/>
                <w:color w:val="000000"/>
                <w:sz w:val="20"/>
                <w:szCs w:val="20"/>
              </w:rPr>
            </w:pPr>
            <w:r w:rsidRPr="00F57B36">
              <w:rPr>
                <w:rFonts w:ascii="Times New Roman" w:hAnsi="Times New Roman"/>
                <w:color w:val="000000"/>
                <w:sz w:val="20"/>
                <w:szCs w:val="20"/>
              </w:rPr>
              <w:t>Transfery v rámci verejnej správy</w:t>
            </w:r>
          </w:p>
        </w:tc>
        <w:tc>
          <w:tcPr>
            <w:tcW w:w="87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87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61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61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444"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RPr="00F57B36" w:rsidP="002D488F">
            <w:pPr>
              <w:bidi w:val="0"/>
              <w:jc w:val="right"/>
              <w:rPr>
                <w:rFonts w:ascii="Times New Roman" w:hAnsi="Times New Roman"/>
                <w:color w:val="000000"/>
                <w:sz w:val="20"/>
                <w:szCs w:val="20"/>
              </w:rPr>
            </w:pPr>
            <w:r w:rsidRPr="00F57B36">
              <w:rPr>
                <w:rFonts w:ascii="Times New Roman" w:hAnsi="Times New Roman"/>
                <w:color w:val="000000"/>
                <w:sz w:val="20"/>
                <w:szCs w:val="20"/>
              </w:rPr>
              <w:t>642</w:t>
            </w:r>
          </w:p>
        </w:tc>
        <w:tc>
          <w:tcPr>
            <w:tcW w:w="3768" w:type="dxa"/>
            <w:tcBorders>
              <w:top w:val="nil"/>
              <w:left w:val="nil"/>
              <w:bottom w:val="single" w:sz="4" w:space="0" w:color="auto"/>
              <w:right w:val="single" w:sz="4" w:space="0" w:color="auto"/>
            </w:tcBorders>
            <w:textDirection w:val="lrTb"/>
            <w:vAlign w:val="center"/>
            <w:hideMark/>
          </w:tcPr>
          <w:p w:rsidR="00B43540" w:rsidRPr="00F57B36" w:rsidP="002D488F">
            <w:pPr>
              <w:bidi w:val="0"/>
              <w:rPr>
                <w:rFonts w:ascii="Times New Roman" w:hAnsi="Times New Roman"/>
                <w:color w:val="000000"/>
                <w:sz w:val="20"/>
                <w:szCs w:val="20"/>
              </w:rPr>
            </w:pPr>
            <w:r w:rsidRPr="00F57B36">
              <w:rPr>
                <w:rFonts w:ascii="Times New Roman" w:hAnsi="Times New Roman"/>
                <w:color w:val="000000"/>
                <w:sz w:val="20"/>
                <w:szCs w:val="20"/>
              </w:rPr>
              <w:t>Transfery jednotlivcom a neziskovým právnickým osobám (VPÚ)</w:t>
            </w:r>
          </w:p>
        </w:tc>
        <w:tc>
          <w:tcPr>
            <w:tcW w:w="87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87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61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838 418</w:t>
            </w:r>
          </w:p>
        </w:tc>
        <w:tc>
          <w:tcPr>
            <w:tcW w:w="161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935 969</w:t>
            </w:r>
          </w:p>
        </w:tc>
      </w:tr>
    </w:tbl>
    <w:p w:rsidR="00B43540" w:rsidP="00B43540">
      <w:pPr>
        <w:autoSpaceDE w:val="0"/>
        <w:autoSpaceDN w:val="0"/>
        <w:bidi w:val="0"/>
        <w:adjustRightInd w:val="0"/>
        <w:jc w:val="both"/>
        <w:rPr>
          <w:rFonts w:ascii="Times New Roman" w:hAnsi="Times New Roman"/>
          <w:bCs/>
        </w:rPr>
      </w:pPr>
    </w:p>
    <w:tbl>
      <w:tblPr>
        <w:tblStyle w:val="TableNormal"/>
        <w:tblW w:w="9444" w:type="dxa"/>
        <w:tblInd w:w="65" w:type="dxa"/>
        <w:tblCellMar>
          <w:left w:w="70" w:type="dxa"/>
          <w:right w:w="70" w:type="dxa"/>
        </w:tblCellMar>
        <w:tblLook w:val="04A0"/>
      </w:tblPr>
      <w:tblGrid>
        <w:gridCol w:w="708"/>
        <w:gridCol w:w="3768"/>
        <w:gridCol w:w="994"/>
        <w:gridCol w:w="994"/>
        <w:gridCol w:w="1490"/>
        <w:gridCol w:w="1490"/>
      </w:tblGrid>
      <w:tr>
        <w:tblPrEx>
          <w:tblW w:w="9444" w:type="dxa"/>
          <w:tblInd w:w="65" w:type="dxa"/>
          <w:tblCellMar>
            <w:left w:w="70" w:type="dxa"/>
            <w:right w:w="70" w:type="dxa"/>
          </w:tblCellMar>
          <w:tblLook w:val="04A0"/>
        </w:tblPrEx>
        <w:trPr>
          <w:trHeight w:val="375"/>
        </w:trPr>
        <w:tc>
          <w:tcPr>
            <w:tcW w:w="708" w:type="dxa"/>
            <w:tcBorders>
              <w:top w:val="single" w:sz="4" w:space="0" w:color="auto"/>
              <w:left w:val="single" w:sz="4" w:space="0" w:color="auto"/>
              <w:bottom w:val="nil"/>
              <w:right w:val="nil"/>
            </w:tcBorders>
            <w:shd w:val="clear" w:color="000000" w:fill="000000"/>
            <w:noWrap/>
            <w:textDirection w:val="lrTb"/>
            <w:vAlign w:val="center"/>
            <w:hideMark/>
          </w:tcPr>
          <w:p w:rsidR="00B43540" w:rsidP="002D488F">
            <w:pPr>
              <w:bidi w:val="0"/>
              <w:rPr>
                <w:rFonts w:ascii="Times New Roman" w:hAnsi="Times New Roman"/>
                <w:b/>
                <w:bCs/>
                <w:color w:val="FFFFFF"/>
                <w:sz w:val="22"/>
                <w:szCs w:val="22"/>
              </w:rPr>
            </w:pPr>
            <w:r>
              <w:rPr>
                <w:rFonts w:ascii="Times New Roman" w:hAnsi="Times New Roman"/>
                <w:b/>
                <w:bCs/>
                <w:color w:val="FFFFFF"/>
                <w:sz w:val="22"/>
                <w:szCs w:val="22"/>
              </w:rPr>
              <w:t> </w:t>
            </w:r>
          </w:p>
        </w:tc>
        <w:tc>
          <w:tcPr>
            <w:tcW w:w="3768" w:type="dxa"/>
            <w:vMerge w:val="restart"/>
            <w:tcBorders>
              <w:top w:val="single" w:sz="4" w:space="0" w:color="auto"/>
              <w:left w:val="nil"/>
              <w:bottom w:val="none" w:sz="0" w:space="0" w:color="auto"/>
              <w:right w:val="nil"/>
            </w:tcBorders>
            <w:shd w:val="clear" w:color="000000" w:fill="000000"/>
            <w:noWrap/>
            <w:textDirection w:val="lrTb"/>
            <w:vAlign w:val="center"/>
            <w:hideMark/>
          </w:tcPr>
          <w:p w:rsidR="00B43540" w:rsidP="002D488F">
            <w:pPr>
              <w:bidi w:val="0"/>
              <w:rPr>
                <w:rFonts w:ascii="Times New Roman" w:hAnsi="Times New Roman"/>
                <w:b/>
                <w:bCs/>
                <w:color w:val="FFFFFF"/>
                <w:sz w:val="22"/>
                <w:szCs w:val="22"/>
              </w:rPr>
            </w:pPr>
            <w:r>
              <w:rPr>
                <w:rFonts w:ascii="Times New Roman" w:hAnsi="Times New Roman"/>
                <w:b/>
                <w:bCs/>
                <w:color w:val="FFFFFF"/>
                <w:sz w:val="22"/>
                <w:szCs w:val="22"/>
                <w:u w:val="single"/>
              </w:rPr>
              <w:t>Rozpočet obcí - výdavky (v eur)</w:t>
            </w:r>
          </w:p>
        </w:tc>
        <w:tc>
          <w:tcPr>
            <w:tcW w:w="4968" w:type="dxa"/>
            <w:gridSpan w:val="4"/>
            <w:tcBorders>
              <w:top w:val="nil"/>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 xml:space="preserve"> (cash=ESA95)</w:t>
            </w:r>
          </w:p>
        </w:tc>
      </w:tr>
      <w:tr>
        <w:tblPrEx>
          <w:tblW w:w="9444" w:type="dxa"/>
          <w:tblInd w:w="65" w:type="dxa"/>
          <w:tblCellMar>
            <w:left w:w="70" w:type="dxa"/>
            <w:right w:w="70" w:type="dxa"/>
          </w:tblCellMar>
          <w:tblLook w:val="04A0"/>
        </w:tblPrEx>
        <w:trPr>
          <w:trHeight w:val="375"/>
        </w:trPr>
        <w:tc>
          <w:tcPr>
            <w:tcW w:w="708" w:type="dxa"/>
            <w:tcBorders>
              <w:top w:val="nil"/>
              <w:left w:val="single" w:sz="4" w:space="0" w:color="auto"/>
              <w:bottom w:val="nil"/>
              <w:right w:val="nil"/>
            </w:tcBorders>
            <w:shd w:val="clear" w:color="000000" w:fill="000000"/>
            <w:noWrap/>
            <w:textDirection w:val="lrTb"/>
            <w:vAlign w:val="center"/>
            <w:hideMark/>
          </w:tcPr>
          <w:p w:rsidR="00B43540" w:rsidP="002D488F">
            <w:pPr>
              <w:bidi w:val="0"/>
              <w:rPr>
                <w:rFonts w:ascii="Times New Roman" w:hAnsi="Times New Roman"/>
                <w:b/>
                <w:bCs/>
                <w:color w:val="FFFFFF"/>
                <w:sz w:val="22"/>
                <w:szCs w:val="22"/>
              </w:rPr>
            </w:pPr>
            <w:r>
              <w:rPr>
                <w:rFonts w:ascii="Times New Roman" w:hAnsi="Times New Roman"/>
                <w:b/>
                <w:bCs/>
                <w:color w:val="FFFFFF"/>
                <w:sz w:val="22"/>
                <w:szCs w:val="22"/>
              </w:rPr>
              <w:t> </w:t>
            </w:r>
          </w:p>
        </w:tc>
        <w:tc>
          <w:tcPr>
            <w:tcW w:w="3768" w:type="dxa"/>
            <w:vMerge/>
            <w:tcBorders>
              <w:top w:val="none" w:sz="0" w:space="0" w:color="auto"/>
              <w:left w:val="nil"/>
              <w:bottom w:val="nil"/>
              <w:right w:val="nil"/>
            </w:tcBorders>
            <w:shd w:val="clear" w:color="000000" w:fill="000000"/>
            <w:noWrap/>
            <w:textDirection w:val="lrTb"/>
            <w:vAlign w:val="center"/>
            <w:hideMark/>
          </w:tcPr>
          <w:p w:rsidR="00B43540" w:rsidP="002D488F">
            <w:pPr>
              <w:bidi w:val="0"/>
              <w:rPr>
                <w:rFonts w:ascii="Times New Roman" w:hAnsi="Times New Roman"/>
                <w:b/>
                <w:bCs/>
                <w:color w:val="FFFFFF"/>
                <w:sz w:val="22"/>
                <w:szCs w:val="22"/>
                <w:u w:val="single"/>
              </w:rPr>
            </w:pPr>
          </w:p>
        </w:tc>
        <w:tc>
          <w:tcPr>
            <w:tcW w:w="994" w:type="dxa"/>
            <w:tcBorders>
              <w:top w:val="nil"/>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2012</w:t>
            </w:r>
          </w:p>
        </w:tc>
        <w:tc>
          <w:tcPr>
            <w:tcW w:w="994" w:type="dxa"/>
            <w:tcBorders>
              <w:top w:val="nil"/>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2013</w:t>
            </w:r>
          </w:p>
        </w:tc>
        <w:tc>
          <w:tcPr>
            <w:tcW w:w="1490" w:type="dxa"/>
            <w:tcBorders>
              <w:top w:val="nil"/>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2014</w:t>
            </w:r>
          </w:p>
        </w:tc>
        <w:tc>
          <w:tcPr>
            <w:tcW w:w="1490" w:type="dxa"/>
            <w:tcBorders>
              <w:top w:val="nil"/>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2015</w:t>
            </w:r>
          </w:p>
        </w:tc>
      </w:tr>
      <w:tr>
        <w:tblPrEx>
          <w:tblW w:w="9444" w:type="dxa"/>
          <w:tblInd w:w="65" w:type="dxa"/>
          <w:tblCellMar>
            <w:left w:w="70" w:type="dxa"/>
            <w:right w:w="70" w:type="dxa"/>
          </w:tblCellMar>
          <w:tblLook w:val="04A0"/>
        </w:tblPrEx>
        <w:trPr>
          <w:trHeight w:val="375"/>
        </w:trPr>
        <w:tc>
          <w:tcPr>
            <w:tcW w:w="708" w:type="dxa"/>
            <w:tcBorders>
              <w:top w:val="single" w:sz="4" w:space="0" w:color="auto"/>
              <w:left w:val="single" w:sz="4" w:space="0" w:color="auto"/>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600</w:t>
            </w:r>
          </w:p>
        </w:tc>
        <w:tc>
          <w:tcPr>
            <w:tcW w:w="3768"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b/>
                <w:bCs/>
                <w:color w:val="000000"/>
                <w:sz w:val="20"/>
                <w:szCs w:val="20"/>
              </w:rPr>
            </w:pPr>
            <w:r>
              <w:rPr>
                <w:rFonts w:ascii="Times New Roman" w:hAnsi="Times New Roman"/>
                <w:b/>
                <w:bCs/>
                <w:color w:val="000000"/>
                <w:sz w:val="20"/>
                <w:szCs w:val="20"/>
              </w:rPr>
              <w:t>Bežné výdavky</w:t>
            </w:r>
          </w:p>
        </w:tc>
        <w:tc>
          <w:tcPr>
            <w:tcW w:w="994"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i/>
                <w:iCs/>
                <w:color w:val="000000"/>
                <w:sz w:val="20"/>
                <w:szCs w:val="20"/>
              </w:rPr>
            </w:pPr>
            <w:r>
              <w:rPr>
                <w:rFonts w:ascii="Times New Roman" w:hAnsi="Times New Roman"/>
                <w:b/>
                <w:bCs/>
                <w:i/>
                <w:iCs/>
                <w:color w:val="000000"/>
                <w:sz w:val="20"/>
                <w:szCs w:val="20"/>
              </w:rPr>
              <w:t>0</w:t>
            </w:r>
          </w:p>
        </w:tc>
        <w:tc>
          <w:tcPr>
            <w:tcW w:w="994"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i/>
                <w:iCs/>
                <w:color w:val="000000"/>
                <w:sz w:val="20"/>
                <w:szCs w:val="20"/>
              </w:rPr>
            </w:pPr>
            <w:r>
              <w:rPr>
                <w:rFonts w:ascii="Times New Roman" w:hAnsi="Times New Roman"/>
                <w:b/>
                <w:bCs/>
                <w:i/>
                <w:iCs/>
                <w:color w:val="000000"/>
                <w:sz w:val="20"/>
                <w:szCs w:val="20"/>
              </w:rPr>
              <w:t>0</w:t>
            </w:r>
          </w:p>
        </w:tc>
        <w:tc>
          <w:tcPr>
            <w:tcW w:w="1490"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i/>
                <w:iCs/>
                <w:color w:val="000000"/>
                <w:sz w:val="20"/>
                <w:szCs w:val="20"/>
              </w:rPr>
            </w:pPr>
            <w:r>
              <w:rPr>
                <w:rFonts w:ascii="Times New Roman" w:hAnsi="Times New Roman"/>
                <w:b/>
                <w:bCs/>
                <w:i/>
                <w:iCs/>
                <w:color w:val="000000"/>
                <w:sz w:val="20"/>
                <w:szCs w:val="20"/>
              </w:rPr>
              <w:t>2 054 788</w:t>
            </w:r>
          </w:p>
        </w:tc>
        <w:tc>
          <w:tcPr>
            <w:tcW w:w="1490"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i/>
                <w:iCs/>
                <w:color w:val="000000"/>
                <w:sz w:val="20"/>
                <w:szCs w:val="20"/>
              </w:rPr>
            </w:pPr>
            <w:r>
              <w:rPr>
                <w:rFonts w:ascii="Times New Roman" w:hAnsi="Times New Roman"/>
                <w:b/>
                <w:bCs/>
                <w:i/>
                <w:iCs/>
                <w:color w:val="000000"/>
                <w:sz w:val="20"/>
                <w:szCs w:val="20"/>
              </w:rPr>
              <w:t>2 076 203</w:t>
            </w:r>
          </w:p>
        </w:tc>
      </w:tr>
      <w:tr>
        <w:tblPrEx>
          <w:tblW w:w="9444"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630</w:t>
            </w:r>
          </w:p>
        </w:tc>
        <w:tc>
          <w:tcPr>
            <w:tcW w:w="3768" w:type="dxa"/>
            <w:tcBorders>
              <w:top w:val="nil"/>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i/>
                <w:iCs/>
                <w:color w:val="000000"/>
                <w:sz w:val="20"/>
                <w:szCs w:val="20"/>
              </w:rPr>
            </w:pPr>
            <w:r>
              <w:rPr>
                <w:rFonts w:ascii="Times New Roman" w:hAnsi="Times New Roman"/>
                <w:i/>
                <w:iCs/>
                <w:color w:val="000000"/>
                <w:sz w:val="20"/>
                <w:szCs w:val="20"/>
              </w:rPr>
              <w:t>Tovary a služby</w:t>
            </w:r>
          </w:p>
        </w:tc>
        <w:tc>
          <w:tcPr>
            <w:tcW w:w="99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c>
          <w:tcPr>
            <w:tcW w:w="99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c>
          <w:tcPr>
            <w:tcW w:w="149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c>
          <w:tcPr>
            <w:tcW w:w="149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r>
      <w:tr>
        <w:tblPrEx>
          <w:tblW w:w="9444"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637</w:t>
            </w:r>
          </w:p>
        </w:tc>
        <w:tc>
          <w:tcPr>
            <w:tcW w:w="3768" w:type="dxa"/>
            <w:tcBorders>
              <w:top w:val="nil"/>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sz w:val="20"/>
                <w:szCs w:val="20"/>
              </w:rPr>
            </w:pPr>
            <w:r>
              <w:rPr>
                <w:rFonts w:ascii="Times New Roman" w:hAnsi="Times New Roman"/>
                <w:color w:val="000000"/>
                <w:sz w:val="20"/>
                <w:szCs w:val="20"/>
              </w:rPr>
              <w:t>Služby</w:t>
            </w:r>
          </w:p>
        </w:tc>
        <w:tc>
          <w:tcPr>
            <w:tcW w:w="99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99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9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2 054 788</w:t>
            </w:r>
          </w:p>
        </w:tc>
        <w:tc>
          <w:tcPr>
            <w:tcW w:w="149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2 076 203</w:t>
            </w:r>
          </w:p>
        </w:tc>
      </w:tr>
    </w:tbl>
    <w:p w:rsidR="00B43540" w:rsidP="00B43540">
      <w:pPr>
        <w:autoSpaceDE w:val="0"/>
        <w:autoSpaceDN w:val="0"/>
        <w:bidi w:val="0"/>
        <w:adjustRightInd w:val="0"/>
        <w:jc w:val="both"/>
        <w:rPr>
          <w:rFonts w:ascii="Times New Roman" w:hAnsi="Times New Roman"/>
          <w:bCs/>
        </w:rPr>
      </w:pPr>
    </w:p>
    <w:tbl>
      <w:tblPr>
        <w:tblStyle w:val="TableNormal"/>
        <w:tblW w:w="9444" w:type="dxa"/>
        <w:tblInd w:w="65" w:type="dxa"/>
        <w:tblCellMar>
          <w:left w:w="70" w:type="dxa"/>
          <w:right w:w="70" w:type="dxa"/>
        </w:tblCellMar>
        <w:tblLook w:val="04A0"/>
      </w:tblPr>
      <w:tblGrid>
        <w:gridCol w:w="708"/>
        <w:gridCol w:w="3768"/>
        <w:gridCol w:w="874"/>
        <w:gridCol w:w="874"/>
        <w:gridCol w:w="1610"/>
        <w:gridCol w:w="1610"/>
      </w:tblGrid>
      <w:tr>
        <w:tblPrEx>
          <w:tblW w:w="9444" w:type="dxa"/>
          <w:tblInd w:w="65" w:type="dxa"/>
          <w:tblCellMar>
            <w:left w:w="70" w:type="dxa"/>
            <w:right w:w="70" w:type="dxa"/>
          </w:tblCellMar>
          <w:tblLook w:val="04A0"/>
        </w:tblPrEx>
        <w:trPr>
          <w:trHeight w:val="375"/>
        </w:trPr>
        <w:tc>
          <w:tcPr>
            <w:tcW w:w="708" w:type="dxa"/>
            <w:tcBorders>
              <w:top w:val="single" w:sz="4" w:space="0" w:color="auto"/>
              <w:left w:val="single" w:sz="4" w:space="0" w:color="auto"/>
              <w:bottom w:val="nil"/>
              <w:right w:val="nil"/>
            </w:tcBorders>
            <w:shd w:val="clear" w:color="000000" w:fill="000000"/>
            <w:noWrap/>
            <w:textDirection w:val="lrTb"/>
            <w:vAlign w:val="center"/>
            <w:hideMark/>
          </w:tcPr>
          <w:p w:rsidR="00B43540" w:rsidP="002D488F">
            <w:pPr>
              <w:bidi w:val="0"/>
              <w:rPr>
                <w:rFonts w:ascii="Times New Roman" w:hAnsi="Times New Roman"/>
                <w:b/>
                <w:bCs/>
                <w:color w:val="FFFFFF"/>
                <w:sz w:val="22"/>
                <w:szCs w:val="22"/>
              </w:rPr>
            </w:pPr>
            <w:r>
              <w:rPr>
                <w:rFonts w:ascii="Times New Roman" w:hAnsi="Times New Roman"/>
                <w:b/>
                <w:bCs/>
                <w:color w:val="FFFFFF"/>
                <w:sz w:val="22"/>
                <w:szCs w:val="22"/>
              </w:rPr>
              <w:t> </w:t>
            </w:r>
          </w:p>
        </w:tc>
        <w:tc>
          <w:tcPr>
            <w:tcW w:w="3768" w:type="dxa"/>
            <w:vMerge w:val="restart"/>
            <w:tcBorders>
              <w:top w:val="single" w:sz="4" w:space="0" w:color="auto"/>
              <w:left w:val="nil"/>
              <w:bottom w:val="none" w:sz="0" w:space="0" w:color="auto"/>
              <w:right w:val="nil"/>
            </w:tcBorders>
            <w:shd w:val="clear" w:color="000000" w:fill="000000"/>
            <w:noWrap/>
            <w:textDirection w:val="lrTb"/>
            <w:vAlign w:val="center"/>
            <w:hideMark/>
          </w:tcPr>
          <w:p w:rsidR="00B43540" w:rsidP="002D488F">
            <w:pPr>
              <w:bidi w:val="0"/>
              <w:rPr>
                <w:rFonts w:ascii="Times New Roman" w:hAnsi="Times New Roman"/>
                <w:b/>
                <w:bCs/>
                <w:color w:val="FFFFFF"/>
                <w:sz w:val="22"/>
                <w:szCs w:val="22"/>
              </w:rPr>
            </w:pPr>
            <w:r>
              <w:rPr>
                <w:rFonts w:ascii="Times New Roman" w:hAnsi="Times New Roman"/>
                <w:b/>
                <w:bCs/>
                <w:color w:val="FFFFFF"/>
                <w:sz w:val="22"/>
                <w:szCs w:val="22"/>
                <w:u w:val="single"/>
              </w:rPr>
              <w:t>Rozpočet VÚC - výdavky (v eur)</w:t>
            </w:r>
          </w:p>
        </w:tc>
        <w:tc>
          <w:tcPr>
            <w:tcW w:w="4968" w:type="dxa"/>
            <w:gridSpan w:val="4"/>
            <w:tcBorders>
              <w:top w:val="nil"/>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 xml:space="preserve"> (cash=ESA95)</w:t>
            </w:r>
          </w:p>
        </w:tc>
      </w:tr>
      <w:tr>
        <w:tblPrEx>
          <w:tblW w:w="9444" w:type="dxa"/>
          <w:tblInd w:w="65" w:type="dxa"/>
          <w:tblCellMar>
            <w:left w:w="70" w:type="dxa"/>
            <w:right w:w="70" w:type="dxa"/>
          </w:tblCellMar>
          <w:tblLook w:val="04A0"/>
        </w:tblPrEx>
        <w:trPr>
          <w:trHeight w:val="375"/>
        </w:trPr>
        <w:tc>
          <w:tcPr>
            <w:tcW w:w="708" w:type="dxa"/>
            <w:tcBorders>
              <w:top w:val="nil"/>
              <w:left w:val="single" w:sz="4" w:space="0" w:color="auto"/>
              <w:bottom w:val="nil"/>
              <w:right w:val="nil"/>
            </w:tcBorders>
            <w:shd w:val="clear" w:color="000000" w:fill="000000"/>
            <w:noWrap/>
            <w:textDirection w:val="lrTb"/>
            <w:vAlign w:val="center"/>
            <w:hideMark/>
          </w:tcPr>
          <w:p w:rsidR="00B43540" w:rsidP="002D488F">
            <w:pPr>
              <w:bidi w:val="0"/>
              <w:rPr>
                <w:rFonts w:ascii="Times New Roman" w:hAnsi="Times New Roman"/>
                <w:b/>
                <w:bCs/>
                <w:color w:val="FFFFFF"/>
                <w:sz w:val="22"/>
                <w:szCs w:val="22"/>
              </w:rPr>
            </w:pPr>
            <w:r>
              <w:rPr>
                <w:rFonts w:ascii="Times New Roman" w:hAnsi="Times New Roman"/>
                <w:b/>
                <w:bCs/>
                <w:color w:val="FFFFFF"/>
                <w:sz w:val="22"/>
                <w:szCs w:val="22"/>
              </w:rPr>
              <w:t> </w:t>
            </w:r>
          </w:p>
        </w:tc>
        <w:tc>
          <w:tcPr>
            <w:tcW w:w="3768" w:type="dxa"/>
            <w:vMerge/>
            <w:tcBorders>
              <w:top w:val="none" w:sz="0" w:space="0" w:color="auto"/>
              <w:left w:val="nil"/>
              <w:bottom w:val="nil"/>
              <w:right w:val="nil"/>
            </w:tcBorders>
            <w:shd w:val="clear" w:color="000000" w:fill="000000"/>
            <w:noWrap/>
            <w:textDirection w:val="lrTb"/>
            <w:vAlign w:val="center"/>
            <w:hideMark/>
          </w:tcPr>
          <w:p w:rsidR="00B43540" w:rsidP="002D488F">
            <w:pPr>
              <w:bidi w:val="0"/>
              <w:rPr>
                <w:rFonts w:ascii="Times New Roman" w:hAnsi="Times New Roman"/>
                <w:b/>
                <w:bCs/>
                <w:color w:val="FFFFFF"/>
                <w:sz w:val="22"/>
                <w:szCs w:val="22"/>
                <w:u w:val="single"/>
              </w:rPr>
            </w:pPr>
          </w:p>
        </w:tc>
        <w:tc>
          <w:tcPr>
            <w:tcW w:w="874" w:type="dxa"/>
            <w:tcBorders>
              <w:top w:val="nil"/>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2012</w:t>
            </w:r>
          </w:p>
        </w:tc>
        <w:tc>
          <w:tcPr>
            <w:tcW w:w="874" w:type="dxa"/>
            <w:tcBorders>
              <w:top w:val="nil"/>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2013</w:t>
            </w:r>
          </w:p>
        </w:tc>
        <w:tc>
          <w:tcPr>
            <w:tcW w:w="1610" w:type="dxa"/>
            <w:tcBorders>
              <w:top w:val="nil"/>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2014</w:t>
            </w:r>
          </w:p>
        </w:tc>
        <w:tc>
          <w:tcPr>
            <w:tcW w:w="1610" w:type="dxa"/>
            <w:tcBorders>
              <w:top w:val="nil"/>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2015</w:t>
            </w:r>
          </w:p>
        </w:tc>
      </w:tr>
      <w:tr>
        <w:tblPrEx>
          <w:tblW w:w="9444" w:type="dxa"/>
          <w:tblInd w:w="65" w:type="dxa"/>
          <w:tblCellMar>
            <w:left w:w="70" w:type="dxa"/>
            <w:right w:w="70" w:type="dxa"/>
          </w:tblCellMar>
          <w:tblLook w:val="04A0"/>
        </w:tblPrEx>
        <w:trPr>
          <w:trHeight w:val="375"/>
        </w:trPr>
        <w:tc>
          <w:tcPr>
            <w:tcW w:w="708" w:type="dxa"/>
            <w:tcBorders>
              <w:top w:val="single" w:sz="4" w:space="0" w:color="auto"/>
              <w:left w:val="single" w:sz="4" w:space="0" w:color="auto"/>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600</w:t>
            </w:r>
          </w:p>
        </w:tc>
        <w:tc>
          <w:tcPr>
            <w:tcW w:w="3768"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b/>
                <w:bCs/>
                <w:color w:val="000000"/>
                <w:sz w:val="20"/>
                <w:szCs w:val="20"/>
              </w:rPr>
            </w:pPr>
            <w:r>
              <w:rPr>
                <w:rFonts w:ascii="Times New Roman" w:hAnsi="Times New Roman"/>
                <w:b/>
                <w:bCs/>
                <w:color w:val="000000"/>
                <w:sz w:val="20"/>
                <w:szCs w:val="20"/>
              </w:rPr>
              <w:t>Bežné výdavky</w:t>
            </w:r>
          </w:p>
        </w:tc>
        <w:tc>
          <w:tcPr>
            <w:tcW w:w="874"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i/>
                <w:iCs/>
                <w:color w:val="000000"/>
                <w:sz w:val="20"/>
                <w:szCs w:val="20"/>
              </w:rPr>
            </w:pPr>
            <w:r>
              <w:rPr>
                <w:rFonts w:ascii="Times New Roman" w:hAnsi="Times New Roman"/>
                <w:b/>
                <w:bCs/>
                <w:i/>
                <w:iCs/>
                <w:color w:val="000000"/>
                <w:sz w:val="20"/>
                <w:szCs w:val="20"/>
              </w:rPr>
              <w:t>0</w:t>
            </w:r>
          </w:p>
        </w:tc>
        <w:tc>
          <w:tcPr>
            <w:tcW w:w="874"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i/>
                <w:iCs/>
                <w:color w:val="000000"/>
                <w:sz w:val="20"/>
                <w:szCs w:val="20"/>
              </w:rPr>
            </w:pPr>
            <w:r>
              <w:rPr>
                <w:rFonts w:ascii="Times New Roman" w:hAnsi="Times New Roman"/>
                <w:b/>
                <w:bCs/>
                <w:i/>
                <w:iCs/>
                <w:color w:val="000000"/>
                <w:sz w:val="20"/>
                <w:szCs w:val="20"/>
              </w:rPr>
              <w:t>0</w:t>
            </w:r>
          </w:p>
        </w:tc>
        <w:tc>
          <w:tcPr>
            <w:tcW w:w="1610"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i/>
                <w:iCs/>
                <w:color w:val="000000"/>
                <w:sz w:val="20"/>
                <w:szCs w:val="20"/>
              </w:rPr>
            </w:pPr>
            <w:r>
              <w:rPr>
                <w:rFonts w:ascii="Times New Roman" w:hAnsi="Times New Roman"/>
                <w:b/>
                <w:bCs/>
                <w:i/>
                <w:iCs/>
                <w:color w:val="000000"/>
                <w:sz w:val="20"/>
                <w:szCs w:val="20"/>
              </w:rPr>
              <w:t>151 750</w:t>
            </w:r>
          </w:p>
        </w:tc>
        <w:tc>
          <w:tcPr>
            <w:tcW w:w="1610"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i/>
                <w:iCs/>
                <w:color w:val="000000"/>
                <w:sz w:val="20"/>
                <w:szCs w:val="20"/>
              </w:rPr>
            </w:pPr>
            <w:r>
              <w:rPr>
                <w:rFonts w:ascii="Times New Roman" w:hAnsi="Times New Roman"/>
                <w:b/>
                <w:bCs/>
                <w:i/>
                <w:iCs/>
                <w:color w:val="000000"/>
                <w:sz w:val="20"/>
                <w:szCs w:val="20"/>
              </w:rPr>
              <w:t>153 147</w:t>
            </w:r>
          </w:p>
        </w:tc>
      </w:tr>
      <w:tr>
        <w:tblPrEx>
          <w:tblW w:w="9444"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630</w:t>
            </w:r>
          </w:p>
        </w:tc>
        <w:tc>
          <w:tcPr>
            <w:tcW w:w="3768" w:type="dxa"/>
            <w:tcBorders>
              <w:top w:val="nil"/>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i/>
                <w:iCs/>
                <w:color w:val="000000"/>
                <w:sz w:val="20"/>
                <w:szCs w:val="20"/>
              </w:rPr>
            </w:pPr>
            <w:r>
              <w:rPr>
                <w:rFonts w:ascii="Times New Roman" w:hAnsi="Times New Roman"/>
                <w:i/>
                <w:iCs/>
                <w:color w:val="000000"/>
                <w:sz w:val="20"/>
                <w:szCs w:val="20"/>
              </w:rPr>
              <w:t>Tovary a služby</w:t>
            </w:r>
          </w:p>
        </w:tc>
        <w:tc>
          <w:tcPr>
            <w:tcW w:w="87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c>
          <w:tcPr>
            <w:tcW w:w="87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c>
          <w:tcPr>
            <w:tcW w:w="161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c>
          <w:tcPr>
            <w:tcW w:w="161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r>
      <w:tr>
        <w:tblPrEx>
          <w:tblW w:w="9444"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637</w:t>
            </w:r>
          </w:p>
        </w:tc>
        <w:tc>
          <w:tcPr>
            <w:tcW w:w="3768" w:type="dxa"/>
            <w:tcBorders>
              <w:top w:val="nil"/>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sz w:val="20"/>
                <w:szCs w:val="20"/>
              </w:rPr>
            </w:pPr>
            <w:r>
              <w:rPr>
                <w:rFonts w:ascii="Times New Roman" w:hAnsi="Times New Roman"/>
                <w:color w:val="000000"/>
                <w:sz w:val="20"/>
                <w:szCs w:val="20"/>
              </w:rPr>
              <w:t>Služby</w:t>
            </w:r>
          </w:p>
        </w:tc>
        <w:tc>
          <w:tcPr>
            <w:tcW w:w="87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87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61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151 750</w:t>
            </w:r>
          </w:p>
        </w:tc>
        <w:tc>
          <w:tcPr>
            <w:tcW w:w="161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153 147</w:t>
            </w:r>
          </w:p>
        </w:tc>
      </w:tr>
    </w:tbl>
    <w:p w:rsidR="00B43540" w:rsidP="00B43540">
      <w:pPr>
        <w:autoSpaceDE w:val="0"/>
        <w:autoSpaceDN w:val="0"/>
        <w:bidi w:val="0"/>
        <w:adjustRightInd w:val="0"/>
        <w:jc w:val="both"/>
        <w:rPr>
          <w:rFonts w:ascii="Times New Roman" w:hAnsi="Times New Roman"/>
          <w:bCs/>
        </w:rPr>
      </w:pPr>
    </w:p>
    <w:tbl>
      <w:tblPr>
        <w:tblStyle w:val="TableNormal"/>
        <w:tblW w:w="9446" w:type="dxa"/>
        <w:tblInd w:w="65" w:type="dxa"/>
        <w:tblCellMar>
          <w:left w:w="70" w:type="dxa"/>
          <w:right w:w="70" w:type="dxa"/>
        </w:tblCellMar>
        <w:tblLook w:val="04A0"/>
      </w:tblPr>
      <w:tblGrid>
        <w:gridCol w:w="708"/>
        <w:gridCol w:w="3770"/>
        <w:gridCol w:w="874"/>
        <w:gridCol w:w="874"/>
        <w:gridCol w:w="1610"/>
        <w:gridCol w:w="1610"/>
      </w:tblGrid>
      <w:tr>
        <w:tblPrEx>
          <w:tblW w:w="9446" w:type="dxa"/>
          <w:tblInd w:w="65" w:type="dxa"/>
          <w:tblCellMar>
            <w:left w:w="70" w:type="dxa"/>
            <w:right w:w="70" w:type="dxa"/>
          </w:tblCellMar>
          <w:tblLook w:val="04A0"/>
        </w:tblPrEx>
        <w:trPr>
          <w:trHeight w:val="375"/>
        </w:trPr>
        <w:tc>
          <w:tcPr>
            <w:tcW w:w="708" w:type="dxa"/>
            <w:tcBorders>
              <w:top w:val="single" w:sz="4" w:space="0" w:color="auto"/>
              <w:left w:val="single" w:sz="4" w:space="0" w:color="auto"/>
              <w:bottom w:val="nil"/>
              <w:right w:val="nil"/>
            </w:tcBorders>
            <w:shd w:val="clear" w:color="000000" w:fill="000000"/>
            <w:noWrap/>
            <w:textDirection w:val="lrTb"/>
            <w:vAlign w:val="center"/>
            <w:hideMark/>
          </w:tcPr>
          <w:p w:rsidR="00B43540" w:rsidP="002D488F">
            <w:pPr>
              <w:bidi w:val="0"/>
              <w:rPr>
                <w:rFonts w:ascii="Times New Roman" w:hAnsi="Times New Roman"/>
                <w:b/>
                <w:bCs/>
                <w:color w:val="FFFFFF"/>
                <w:sz w:val="22"/>
                <w:szCs w:val="22"/>
              </w:rPr>
            </w:pPr>
            <w:r>
              <w:rPr>
                <w:rFonts w:ascii="Times New Roman" w:hAnsi="Times New Roman"/>
                <w:b/>
                <w:bCs/>
                <w:color w:val="FFFFFF"/>
                <w:sz w:val="22"/>
                <w:szCs w:val="22"/>
              </w:rPr>
              <w:t> </w:t>
            </w:r>
          </w:p>
        </w:tc>
        <w:tc>
          <w:tcPr>
            <w:tcW w:w="3770" w:type="dxa"/>
            <w:vMerge w:val="restart"/>
            <w:tcBorders>
              <w:top w:val="single" w:sz="4" w:space="0" w:color="auto"/>
              <w:left w:val="nil"/>
              <w:bottom w:val="none" w:sz="0" w:space="0" w:color="auto"/>
              <w:right w:val="nil"/>
            </w:tcBorders>
            <w:shd w:val="clear" w:color="000000" w:fill="000000"/>
            <w:noWrap/>
            <w:textDirection w:val="lrTb"/>
            <w:vAlign w:val="center"/>
            <w:hideMark/>
          </w:tcPr>
          <w:p w:rsidR="00B43540" w:rsidP="002D488F">
            <w:pPr>
              <w:bidi w:val="0"/>
              <w:rPr>
                <w:rFonts w:ascii="Times New Roman" w:hAnsi="Times New Roman"/>
                <w:b/>
                <w:bCs/>
                <w:color w:val="FFFFFF"/>
                <w:sz w:val="22"/>
                <w:szCs w:val="22"/>
              </w:rPr>
            </w:pPr>
            <w:r>
              <w:rPr>
                <w:rFonts w:ascii="Times New Roman" w:hAnsi="Times New Roman"/>
                <w:b/>
                <w:bCs/>
                <w:color w:val="FFFFFF"/>
                <w:sz w:val="22"/>
                <w:szCs w:val="22"/>
                <w:u w:val="single"/>
              </w:rPr>
              <w:t>Rozpočet verejnej správy - výdavky (v eur)</w:t>
            </w:r>
          </w:p>
        </w:tc>
        <w:tc>
          <w:tcPr>
            <w:tcW w:w="4968" w:type="dxa"/>
            <w:gridSpan w:val="4"/>
            <w:tcBorders>
              <w:top w:val="single" w:sz="4" w:space="0" w:color="auto"/>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 xml:space="preserve"> (cash=ESA95)</w:t>
            </w:r>
          </w:p>
        </w:tc>
      </w:tr>
      <w:tr>
        <w:tblPrEx>
          <w:tblW w:w="9446" w:type="dxa"/>
          <w:tblInd w:w="65" w:type="dxa"/>
          <w:tblCellMar>
            <w:left w:w="70" w:type="dxa"/>
            <w:right w:w="70" w:type="dxa"/>
          </w:tblCellMar>
          <w:tblLook w:val="04A0"/>
        </w:tblPrEx>
        <w:trPr>
          <w:trHeight w:val="375"/>
        </w:trPr>
        <w:tc>
          <w:tcPr>
            <w:tcW w:w="708" w:type="dxa"/>
            <w:tcBorders>
              <w:top w:val="nil"/>
              <w:left w:val="single" w:sz="4" w:space="0" w:color="auto"/>
              <w:bottom w:val="nil"/>
              <w:right w:val="nil"/>
            </w:tcBorders>
            <w:shd w:val="clear" w:color="000000" w:fill="000000"/>
            <w:noWrap/>
            <w:textDirection w:val="lrTb"/>
            <w:vAlign w:val="center"/>
            <w:hideMark/>
          </w:tcPr>
          <w:p w:rsidR="00B43540" w:rsidP="002D488F">
            <w:pPr>
              <w:bidi w:val="0"/>
              <w:rPr>
                <w:rFonts w:ascii="Times New Roman" w:hAnsi="Times New Roman"/>
                <w:b/>
                <w:bCs/>
                <w:color w:val="FFFFFF"/>
                <w:sz w:val="22"/>
                <w:szCs w:val="22"/>
              </w:rPr>
            </w:pPr>
            <w:r>
              <w:rPr>
                <w:rFonts w:ascii="Times New Roman" w:hAnsi="Times New Roman"/>
                <w:b/>
                <w:bCs/>
                <w:color w:val="FFFFFF"/>
                <w:sz w:val="22"/>
                <w:szCs w:val="22"/>
              </w:rPr>
              <w:t> </w:t>
            </w:r>
          </w:p>
        </w:tc>
        <w:tc>
          <w:tcPr>
            <w:tcW w:w="3770" w:type="dxa"/>
            <w:vMerge/>
            <w:tcBorders>
              <w:top w:val="none" w:sz="0" w:space="0" w:color="auto"/>
              <w:left w:val="nil"/>
              <w:bottom w:val="nil"/>
              <w:right w:val="nil"/>
            </w:tcBorders>
            <w:shd w:val="clear" w:color="000000" w:fill="000000"/>
            <w:noWrap/>
            <w:textDirection w:val="lrTb"/>
            <w:vAlign w:val="center"/>
            <w:hideMark/>
          </w:tcPr>
          <w:p w:rsidR="00B43540" w:rsidP="002D488F">
            <w:pPr>
              <w:bidi w:val="0"/>
              <w:rPr>
                <w:rFonts w:ascii="Times New Roman" w:hAnsi="Times New Roman"/>
                <w:b/>
                <w:bCs/>
                <w:color w:val="FFFFFF"/>
                <w:sz w:val="22"/>
                <w:szCs w:val="22"/>
                <w:u w:val="single"/>
              </w:rPr>
            </w:pPr>
          </w:p>
        </w:tc>
        <w:tc>
          <w:tcPr>
            <w:tcW w:w="874" w:type="dxa"/>
            <w:tcBorders>
              <w:top w:val="nil"/>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2012</w:t>
            </w:r>
          </w:p>
        </w:tc>
        <w:tc>
          <w:tcPr>
            <w:tcW w:w="874" w:type="dxa"/>
            <w:tcBorders>
              <w:top w:val="nil"/>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2013</w:t>
            </w:r>
          </w:p>
        </w:tc>
        <w:tc>
          <w:tcPr>
            <w:tcW w:w="1610" w:type="dxa"/>
            <w:tcBorders>
              <w:top w:val="nil"/>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2014</w:t>
            </w:r>
          </w:p>
        </w:tc>
        <w:tc>
          <w:tcPr>
            <w:tcW w:w="1610" w:type="dxa"/>
            <w:tcBorders>
              <w:top w:val="nil"/>
              <w:left w:val="nil"/>
              <w:bottom w:val="nil"/>
              <w:right w:val="nil"/>
            </w:tcBorders>
            <w:shd w:val="clear" w:color="000000" w:fill="000000"/>
            <w:noWrap/>
            <w:textDirection w:val="lrTb"/>
            <w:vAlign w:val="center"/>
            <w:hideMark/>
          </w:tcPr>
          <w:p w:rsidR="00B43540" w:rsidP="002D488F">
            <w:pPr>
              <w:bidi w:val="0"/>
              <w:jc w:val="center"/>
              <w:rPr>
                <w:rFonts w:ascii="Times New Roman" w:hAnsi="Times New Roman"/>
                <w:b/>
                <w:bCs/>
                <w:color w:val="FFFFFF"/>
                <w:sz w:val="22"/>
                <w:szCs w:val="22"/>
              </w:rPr>
            </w:pPr>
            <w:r>
              <w:rPr>
                <w:rFonts w:ascii="Times New Roman" w:hAnsi="Times New Roman"/>
                <w:b/>
                <w:bCs/>
                <w:color w:val="FFFFFF"/>
                <w:sz w:val="22"/>
                <w:szCs w:val="22"/>
              </w:rPr>
              <w:t>2015</w:t>
            </w:r>
          </w:p>
        </w:tc>
      </w:tr>
      <w:tr>
        <w:tblPrEx>
          <w:tblW w:w="9446" w:type="dxa"/>
          <w:tblInd w:w="65" w:type="dxa"/>
          <w:tblCellMar>
            <w:left w:w="70" w:type="dxa"/>
            <w:right w:w="70" w:type="dxa"/>
          </w:tblCellMar>
          <w:tblLook w:val="04A0"/>
        </w:tblPrEx>
        <w:trPr>
          <w:trHeight w:val="375"/>
        </w:trPr>
        <w:tc>
          <w:tcPr>
            <w:tcW w:w="708" w:type="dxa"/>
            <w:tcBorders>
              <w:top w:val="single" w:sz="4" w:space="0" w:color="auto"/>
              <w:left w:val="single" w:sz="4" w:space="0" w:color="auto"/>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600</w:t>
            </w:r>
          </w:p>
        </w:tc>
        <w:tc>
          <w:tcPr>
            <w:tcW w:w="3770"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b/>
                <w:bCs/>
                <w:color w:val="000000"/>
                <w:sz w:val="20"/>
                <w:szCs w:val="20"/>
              </w:rPr>
            </w:pPr>
            <w:r>
              <w:rPr>
                <w:rFonts w:ascii="Times New Roman" w:hAnsi="Times New Roman"/>
                <w:b/>
                <w:bCs/>
                <w:color w:val="000000"/>
                <w:sz w:val="20"/>
                <w:szCs w:val="20"/>
              </w:rPr>
              <w:t>Bežné výdavky</w:t>
            </w:r>
          </w:p>
        </w:tc>
        <w:tc>
          <w:tcPr>
            <w:tcW w:w="874"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874"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610"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3 044 955</w:t>
            </w:r>
          </w:p>
        </w:tc>
        <w:tc>
          <w:tcPr>
            <w:tcW w:w="1610" w:type="dxa"/>
            <w:tcBorders>
              <w:top w:val="single" w:sz="4" w:space="0" w:color="auto"/>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b/>
                <w:bCs/>
                <w:color w:val="000000"/>
                <w:sz w:val="20"/>
                <w:szCs w:val="20"/>
              </w:rPr>
            </w:pPr>
            <w:r>
              <w:rPr>
                <w:rFonts w:ascii="Times New Roman" w:hAnsi="Times New Roman"/>
                <w:b/>
                <w:bCs/>
                <w:color w:val="000000"/>
                <w:sz w:val="20"/>
                <w:szCs w:val="20"/>
              </w:rPr>
              <w:t>3 165 319</w:t>
            </w:r>
          </w:p>
        </w:tc>
      </w:tr>
      <w:tr>
        <w:tblPrEx>
          <w:tblW w:w="9446"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630</w:t>
            </w:r>
          </w:p>
        </w:tc>
        <w:tc>
          <w:tcPr>
            <w:tcW w:w="3770" w:type="dxa"/>
            <w:tcBorders>
              <w:top w:val="nil"/>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i/>
                <w:iCs/>
                <w:color w:val="000000"/>
                <w:sz w:val="20"/>
                <w:szCs w:val="20"/>
              </w:rPr>
            </w:pPr>
            <w:r>
              <w:rPr>
                <w:rFonts w:ascii="Times New Roman" w:hAnsi="Times New Roman"/>
                <w:i/>
                <w:iCs/>
                <w:color w:val="000000"/>
                <w:sz w:val="20"/>
                <w:szCs w:val="20"/>
              </w:rPr>
              <w:t>Tovary a služby</w:t>
            </w:r>
          </w:p>
        </w:tc>
        <w:tc>
          <w:tcPr>
            <w:tcW w:w="87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c>
          <w:tcPr>
            <w:tcW w:w="87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c>
          <w:tcPr>
            <w:tcW w:w="161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2 206 538</w:t>
            </w:r>
          </w:p>
        </w:tc>
        <w:tc>
          <w:tcPr>
            <w:tcW w:w="161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2 229 350</w:t>
            </w:r>
          </w:p>
        </w:tc>
      </w:tr>
      <w:tr>
        <w:tblPrEx>
          <w:tblW w:w="9446"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637</w:t>
            </w:r>
          </w:p>
        </w:tc>
        <w:tc>
          <w:tcPr>
            <w:tcW w:w="3770" w:type="dxa"/>
            <w:tcBorders>
              <w:top w:val="nil"/>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sz w:val="20"/>
                <w:szCs w:val="20"/>
              </w:rPr>
            </w:pPr>
            <w:r>
              <w:rPr>
                <w:rFonts w:ascii="Times New Roman" w:hAnsi="Times New Roman"/>
                <w:color w:val="000000"/>
                <w:sz w:val="20"/>
                <w:szCs w:val="20"/>
              </w:rPr>
              <w:t>Služby</w:t>
            </w:r>
          </w:p>
        </w:tc>
        <w:tc>
          <w:tcPr>
            <w:tcW w:w="87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c>
          <w:tcPr>
            <w:tcW w:w="87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c>
          <w:tcPr>
            <w:tcW w:w="161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2 206 538</w:t>
            </w:r>
          </w:p>
        </w:tc>
        <w:tc>
          <w:tcPr>
            <w:tcW w:w="161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2 229 350</w:t>
            </w:r>
          </w:p>
        </w:tc>
      </w:tr>
      <w:tr>
        <w:tblPrEx>
          <w:tblW w:w="9446"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640</w:t>
            </w:r>
          </w:p>
        </w:tc>
        <w:tc>
          <w:tcPr>
            <w:tcW w:w="3770" w:type="dxa"/>
            <w:tcBorders>
              <w:top w:val="nil"/>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i/>
                <w:iCs/>
                <w:color w:val="000000"/>
                <w:sz w:val="20"/>
                <w:szCs w:val="20"/>
              </w:rPr>
            </w:pPr>
            <w:r>
              <w:rPr>
                <w:rFonts w:ascii="Times New Roman" w:hAnsi="Times New Roman"/>
                <w:i/>
                <w:iCs/>
                <w:color w:val="000000"/>
                <w:sz w:val="20"/>
                <w:szCs w:val="20"/>
              </w:rPr>
              <w:t>Bežné transfery</w:t>
            </w:r>
          </w:p>
        </w:tc>
        <w:tc>
          <w:tcPr>
            <w:tcW w:w="87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c>
          <w:tcPr>
            <w:tcW w:w="87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c>
          <w:tcPr>
            <w:tcW w:w="161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838 418</w:t>
            </w:r>
          </w:p>
        </w:tc>
        <w:tc>
          <w:tcPr>
            <w:tcW w:w="161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i/>
                <w:iCs/>
                <w:color w:val="000000"/>
                <w:sz w:val="20"/>
                <w:szCs w:val="20"/>
              </w:rPr>
            </w:pPr>
            <w:r>
              <w:rPr>
                <w:rFonts w:ascii="Times New Roman" w:hAnsi="Times New Roman"/>
                <w:i/>
                <w:iCs/>
                <w:color w:val="000000"/>
                <w:sz w:val="20"/>
                <w:szCs w:val="20"/>
              </w:rPr>
              <w:t>935 969</w:t>
            </w:r>
          </w:p>
        </w:tc>
      </w:tr>
      <w:tr>
        <w:tblPrEx>
          <w:tblW w:w="9446"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641</w:t>
            </w:r>
          </w:p>
        </w:tc>
        <w:tc>
          <w:tcPr>
            <w:tcW w:w="3770" w:type="dxa"/>
            <w:tcBorders>
              <w:top w:val="nil"/>
              <w:left w:val="nil"/>
              <w:bottom w:val="single" w:sz="4" w:space="0" w:color="auto"/>
              <w:right w:val="single" w:sz="4" w:space="0" w:color="auto"/>
            </w:tcBorders>
            <w:noWrap/>
            <w:textDirection w:val="lrTb"/>
            <w:vAlign w:val="center"/>
            <w:hideMark/>
          </w:tcPr>
          <w:p w:rsidR="00B43540" w:rsidP="002D488F">
            <w:pPr>
              <w:bidi w:val="0"/>
              <w:rPr>
                <w:rFonts w:ascii="Times New Roman" w:hAnsi="Times New Roman"/>
                <w:color w:val="000000"/>
                <w:sz w:val="20"/>
                <w:szCs w:val="20"/>
              </w:rPr>
            </w:pPr>
            <w:r>
              <w:rPr>
                <w:rFonts w:ascii="Times New Roman" w:hAnsi="Times New Roman"/>
                <w:color w:val="000000"/>
                <w:sz w:val="20"/>
                <w:szCs w:val="20"/>
              </w:rPr>
              <w:t>Transfery v rámci verejnej správy</w:t>
            </w:r>
          </w:p>
        </w:tc>
        <w:tc>
          <w:tcPr>
            <w:tcW w:w="87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87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61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61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446" w:type="dxa"/>
          <w:tblInd w:w="65" w:type="dxa"/>
          <w:tblCellMar>
            <w:left w:w="70" w:type="dxa"/>
            <w:right w:w="70" w:type="dxa"/>
          </w:tblCellMar>
          <w:tblLook w:val="04A0"/>
        </w:tblPrEx>
        <w:trPr>
          <w:trHeight w:val="375"/>
        </w:trPr>
        <w:tc>
          <w:tcPr>
            <w:tcW w:w="708" w:type="dxa"/>
            <w:tcBorders>
              <w:top w:val="nil"/>
              <w:left w:val="single" w:sz="4" w:space="0" w:color="auto"/>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642</w:t>
            </w:r>
          </w:p>
        </w:tc>
        <w:tc>
          <w:tcPr>
            <w:tcW w:w="3770" w:type="dxa"/>
            <w:tcBorders>
              <w:top w:val="nil"/>
              <w:left w:val="nil"/>
              <w:bottom w:val="single" w:sz="4" w:space="0" w:color="auto"/>
              <w:right w:val="single" w:sz="4" w:space="0" w:color="auto"/>
            </w:tcBorders>
            <w:textDirection w:val="lrTb"/>
            <w:vAlign w:val="center"/>
            <w:hideMark/>
          </w:tcPr>
          <w:p w:rsidR="00B43540" w:rsidP="002D488F">
            <w:pPr>
              <w:bidi w:val="0"/>
              <w:rPr>
                <w:rFonts w:ascii="Times New Roman" w:hAnsi="Times New Roman"/>
                <w:color w:val="000000"/>
                <w:sz w:val="20"/>
                <w:szCs w:val="20"/>
              </w:rPr>
            </w:pPr>
            <w:r>
              <w:rPr>
                <w:rFonts w:ascii="Times New Roman" w:hAnsi="Times New Roman"/>
                <w:color w:val="000000"/>
                <w:sz w:val="20"/>
                <w:szCs w:val="20"/>
              </w:rPr>
              <w:t>Transfery jednotlivcom a neziskovým právnickým osobám</w:t>
            </w:r>
          </w:p>
        </w:tc>
        <w:tc>
          <w:tcPr>
            <w:tcW w:w="87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874"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61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838 418</w:t>
            </w:r>
          </w:p>
        </w:tc>
        <w:tc>
          <w:tcPr>
            <w:tcW w:w="1610" w:type="dxa"/>
            <w:tcBorders>
              <w:top w:val="nil"/>
              <w:left w:val="nil"/>
              <w:bottom w:val="single" w:sz="4" w:space="0" w:color="auto"/>
              <w:right w:val="single" w:sz="4" w:space="0" w:color="auto"/>
            </w:tcBorders>
            <w:noWrap/>
            <w:textDirection w:val="lrTb"/>
            <w:vAlign w:val="center"/>
            <w:hideMark/>
          </w:tcPr>
          <w:p w:rsidR="00B43540" w:rsidP="002D488F">
            <w:pPr>
              <w:bidi w:val="0"/>
              <w:jc w:val="right"/>
              <w:rPr>
                <w:rFonts w:ascii="Times New Roman" w:hAnsi="Times New Roman"/>
                <w:color w:val="000000"/>
                <w:sz w:val="20"/>
                <w:szCs w:val="20"/>
              </w:rPr>
            </w:pPr>
            <w:r>
              <w:rPr>
                <w:rFonts w:ascii="Times New Roman" w:hAnsi="Times New Roman"/>
                <w:color w:val="000000"/>
                <w:sz w:val="20"/>
                <w:szCs w:val="20"/>
              </w:rPr>
              <w:t>935 969</w:t>
            </w:r>
          </w:p>
        </w:tc>
      </w:tr>
    </w:tbl>
    <w:p w:rsidR="00B43540" w:rsidRPr="00323053" w:rsidP="00B43540">
      <w:pPr>
        <w:autoSpaceDE w:val="0"/>
        <w:autoSpaceDN w:val="0"/>
        <w:bidi w:val="0"/>
        <w:adjustRightInd w:val="0"/>
        <w:jc w:val="both"/>
        <w:rPr>
          <w:rFonts w:ascii="Times New Roman" w:hAnsi="Times New Roman"/>
          <w:bCs/>
        </w:rPr>
      </w:pPr>
    </w:p>
    <w:p w:rsidR="00B43540" w:rsidP="00B43540">
      <w:pPr>
        <w:autoSpaceDE w:val="0"/>
        <w:autoSpaceDN w:val="0"/>
        <w:bidi w:val="0"/>
        <w:adjustRightInd w:val="0"/>
        <w:jc w:val="both"/>
        <w:rPr>
          <w:rFonts w:ascii="Times New Roman" w:hAnsi="Times New Roman"/>
          <w:b/>
        </w:rPr>
      </w:pPr>
    </w:p>
    <w:p w:rsidR="00B43540" w:rsidRPr="00323053" w:rsidP="00B43540">
      <w:pPr>
        <w:autoSpaceDE w:val="0"/>
        <w:autoSpaceDN w:val="0"/>
        <w:bidi w:val="0"/>
        <w:adjustRightInd w:val="0"/>
        <w:jc w:val="both"/>
        <w:rPr>
          <w:rFonts w:ascii="Times New Roman" w:hAnsi="Times New Roman"/>
          <w:b/>
        </w:rPr>
      </w:pPr>
    </w:p>
    <w:p w:rsidR="00B43540" w:rsidRPr="00323053" w:rsidP="00B43540">
      <w:pPr>
        <w:autoSpaceDE w:val="0"/>
        <w:autoSpaceDN w:val="0"/>
        <w:bidi w:val="0"/>
        <w:adjustRightInd w:val="0"/>
        <w:jc w:val="both"/>
        <w:rPr>
          <w:rFonts w:ascii="Times New Roman" w:hAnsi="Times New Roman"/>
          <w:b/>
        </w:rPr>
      </w:pPr>
      <w:r w:rsidRPr="00323053">
        <w:rPr>
          <w:rFonts w:ascii="Times New Roman" w:hAnsi="Times New Roman"/>
          <w:b/>
        </w:rPr>
        <w:t>Vplyv na zamestnanosť</w:t>
      </w:r>
    </w:p>
    <w:p w:rsidR="00B43540" w:rsidRPr="00323053" w:rsidP="00B43540">
      <w:pPr>
        <w:autoSpaceDE w:val="0"/>
        <w:autoSpaceDN w:val="0"/>
        <w:bidi w:val="0"/>
        <w:adjustRightInd w:val="0"/>
        <w:jc w:val="both"/>
        <w:rPr>
          <w:rFonts w:ascii="Times New Roman" w:hAnsi="Times New Roman"/>
        </w:rPr>
      </w:pPr>
    </w:p>
    <w:p w:rsidR="00B43540" w:rsidRPr="00323053" w:rsidP="00B43540">
      <w:pPr>
        <w:bidi w:val="0"/>
        <w:jc w:val="both"/>
        <w:rPr>
          <w:rFonts w:ascii="Times New Roman" w:hAnsi="Times New Roman"/>
        </w:rPr>
      </w:pPr>
      <w:r w:rsidRPr="00323053">
        <w:rPr>
          <w:rFonts w:ascii="Times New Roman" w:hAnsi="Times New Roman"/>
        </w:rPr>
        <w:t xml:space="preserve">Navrhované opatrenia nemajú vplyv na zamestnanosť vo verejnej správe. </w:t>
      </w:r>
    </w:p>
    <w:p w:rsidR="00EA2339">
      <w:pPr>
        <w:bidi w:val="0"/>
        <w:rPr>
          <w:rFonts w:ascii="Times New Roman" w:hAnsi="Times New Roman"/>
        </w:rPr>
      </w:pPr>
    </w:p>
    <w:p w:rsidR="0049728D">
      <w:pPr>
        <w:bidi w:val="0"/>
        <w:rPr>
          <w:rFonts w:ascii="Times New Roman" w:hAnsi="Times New Roman"/>
        </w:rPr>
      </w:pPr>
    </w:p>
    <w:p w:rsidR="002D488F">
      <w:pPr>
        <w:bidi w:val="0"/>
        <w:rPr>
          <w:rFonts w:ascii="Times New Roman" w:hAnsi="Times New Roman"/>
        </w:rPr>
      </w:pPr>
    </w:p>
    <w:p w:rsidR="0049728D">
      <w:pPr>
        <w:bidi w:val="0"/>
        <w:rPr>
          <w:rFonts w:ascii="Times New Roman" w:hAnsi="Times New Roman"/>
        </w:rPr>
      </w:pPr>
    </w:p>
    <w:p w:rsidR="0049728D" w:rsidRPr="00EA2339" w:rsidP="00EA2339">
      <w:pPr>
        <w:bidi w:val="0"/>
        <w:ind w:left="7788"/>
        <w:rPr>
          <w:rFonts w:ascii="Times New Roman" w:hAnsi="Times New Roman"/>
          <w:b/>
        </w:rPr>
      </w:pPr>
      <w:r w:rsidR="00EA2339">
        <w:rPr>
          <w:rFonts w:ascii="Times New Roman" w:hAnsi="Times New Roman"/>
          <w:b/>
        </w:rPr>
        <w:t xml:space="preserve"> </w:t>
      </w:r>
      <w:r w:rsidRPr="00EA2339" w:rsidR="00EA2339">
        <w:rPr>
          <w:rFonts w:ascii="Times New Roman" w:hAnsi="Times New Roman"/>
          <w:b/>
        </w:rPr>
        <w:t>Príloha č. 2</w:t>
      </w:r>
    </w:p>
    <w:p w:rsidR="00EA2339" w:rsidP="00CA1300">
      <w:pPr>
        <w:bidi w:val="0"/>
        <w:jc w:val="center"/>
        <w:rPr>
          <w:rFonts w:ascii="Times New Roman" w:hAnsi="Times New Roman"/>
          <w:b/>
          <w:bCs/>
        </w:rPr>
      </w:pPr>
    </w:p>
    <w:p w:rsidR="00CA1300" w:rsidRPr="002A0DDB" w:rsidP="00CA1300">
      <w:pPr>
        <w:bidi w:val="0"/>
        <w:jc w:val="center"/>
        <w:rPr>
          <w:rFonts w:ascii="Times New Roman" w:hAnsi="Times New Roman"/>
          <w:b/>
          <w:bCs/>
        </w:rPr>
      </w:pPr>
      <w:r w:rsidRPr="002A0DDB">
        <w:rPr>
          <w:rFonts w:ascii="Times New Roman" w:hAnsi="Times New Roman"/>
          <w:b/>
          <w:bCs/>
        </w:rPr>
        <w:t>Vplyvy na podnikateľské prostredie</w:t>
      </w:r>
    </w:p>
    <w:p w:rsidR="00CA1300" w:rsidRPr="002A0DDB" w:rsidP="00CA1300">
      <w:pPr>
        <w:bidi w:val="0"/>
        <w:rPr>
          <w:rFonts w:ascii="Times New Roman" w:hAnsi="Times New Roman"/>
          <w:b/>
          <w:bCs/>
        </w:rPr>
      </w:pPr>
    </w:p>
    <w:tbl>
      <w:tblPr>
        <w:tblStyle w:val="TableNormal"/>
        <w:tblW w:w="9195" w:type="dxa"/>
        <w:tblInd w:w="55" w:type="dxa"/>
        <w:tblCellMar>
          <w:left w:w="70" w:type="dxa"/>
          <w:right w:w="70" w:type="dxa"/>
        </w:tblCellMar>
      </w:tblPr>
      <w:tblGrid>
        <w:gridCol w:w="3134"/>
        <w:gridCol w:w="6061"/>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CA1300" w:rsidRPr="002A0DDB" w:rsidP="00CA1300">
            <w:pPr>
              <w:bidi w:val="0"/>
              <w:jc w:val="center"/>
              <w:rPr>
                <w:rFonts w:ascii="Times New Roman" w:hAnsi="Times New Roman"/>
                <w:b/>
                <w:bCs/>
                <w:color w:val="FFFFFF"/>
              </w:rPr>
            </w:pPr>
            <w:r w:rsidRPr="002A0DDB">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noWrap/>
            <w:textDirection w:val="lrTb"/>
            <w:vAlign w:val="top"/>
          </w:tcPr>
          <w:p w:rsidR="00CA1300" w:rsidRPr="002A0DDB" w:rsidP="00CA1300">
            <w:pPr>
              <w:bidi w:val="0"/>
              <w:rPr>
                <w:rFonts w:ascii="Times New Roman" w:hAnsi="Times New Roman"/>
              </w:rPr>
            </w:pPr>
          </w:p>
          <w:p w:rsidR="00CA1300" w:rsidRPr="002A0DDB" w:rsidP="00CA1300">
            <w:pPr>
              <w:bidi w:val="0"/>
              <w:rPr>
                <w:rFonts w:ascii="Times New Roman" w:hAnsi="Times New Roman"/>
              </w:rPr>
            </w:pPr>
            <w:r w:rsidRPr="002A0DDB">
              <w:rPr>
                <w:rFonts w:ascii="Times New Roman" w:hAnsi="Times New Roman"/>
                <w:b/>
              </w:rPr>
              <w:t>3.1</w:t>
            </w:r>
            <w:r w:rsidRPr="002A0DDB">
              <w:rPr>
                <w:rFonts w:ascii="Times New Roman" w:hAnsi="Times New Roman"/>
              </w:rPr>
              <w:t>. Ktoré podnikateľské subjekty budú predkladaným návrhom ovplyvnené a aký je ich počet?</w:t>
            </w:r>
          </w:p>
          <w:p w:rsidR="00CA1300" w:rsidRPr="002A0DDB" w:rsidP="00CA1300">
            <w:pPr>
              <w:bidi w:val="0"/>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center"/>
          </w:tcPr>
          <w:p w:rsidR="00CA1300" w:rsidRPr="002A0DDB" w:rsidP="00CA1300">
            <w:pPr>
              <w:numPr>
                <w:numId w:val="3"/>
              </w:numPr>
              <w:bidi w:val="0"/>
              <w:ind w:left="326" w:hanging="281"/>
              <w:rPr>
                <w:rFonts w:ascii="Times New Roman" w:hAnsi="Times New Roman"/>
              </w:rPr>
            </w:pPr>
            <w:r w:rsidRPr="002A0DDB">
              <w:rPr>
                <w:rFonts w:ascii="Times New Roman" w:hAnsi="Times New Roman"/>
              </w:rPr>
              <w:t>Obce – 2 891</w:t>
            </w:r>
          </w:p>
          <w:p w:rsidR="00CA1300" w:rsidRPr="002A0DDB" w:rsidP="00CA1300">
            <w:pPr>
              <w:numPr>
                <w:numId w:val="3"/>
              </w:numPr>
              <w:bidi w:val="0"/>
              <w:ind w:left="326" w:hanging="281"/>
              <w:rPr>
                <w:rFonts w:ascii="Times New Roman" w:hAnsi="Times New Roman"/>
              </w:rPr>
            </w:pPr>
            <w:r w:rsidRPr="002A0DDB">
              <w:rPr>
                <w:rFonts w:ascii="Times New Roman" w:hAnsi="Times New Roman"/>
              </w:rPr>
              <w:t>VÚC – 8</w:t>
            </w:r>
          </w:p>
          <w:p w:rsidR="00CA1300" w:rsidRPr="002A0DDB" w:rsidP="00CA1300">
            <w:pPr>
              <w:numPr>
                <w:numId w:val="3"/>
              </w:numPr>
              <w:bidi w:val="0"/>
              <w:ind w:left="326" w:hanging="281"/>
              <w:rPr>
                <w:rFonts w:ascii="Times New Roman" w:hAnsi="Times New Roman"/>
              </w:rPr>
            </w:pPr>
            <w:r w:rsidRPr="002A0DDB">
              <w:rPr>
                <w:rFonts w:ascii="Times New Roman" w:hAnsi="Times New Roman"/>
              </w:rPr>
              <w:t>Zamestnávatelia - všetci</w:t>
            </w:r>
          </w:p>
          <w:p w:rsidR="00CA1300" w:rsidRPr="002A0DDB" w:rsidP="00CA1300">
            <w:pPr>
              <w:numPr>
                <w:numId w:val="3"/>
              </w:numPr>
              <w:bidi w:val="0"/>
              <w:ind w:left="326" w:hanging="281"/>
              <w:rPr>
                <w:rFonts w:ascii="Times New Roman" w:hAnsi="Times New Roman"/>
              </w:rPr>
            </w:pPr>
            <w:r w:rsidRPr="002A0DDB">
              <w:rPr>
                <w:rFonts w:ascii="Times New Roman" w:hAnsi="Times New Roman"/>
              </w:rPr>
              <w:t xml:space="preserve">SZČO využívajúci paušálne výdavky –  približne 143 000 </w:t>
            </w:r>
          </w:p>
          <w:p w:rsidR="00CA1300" w:rsidRPr="002A0DDB" w:rsidP="00CA1300">
            <w:pPr>
              <w:numPr>
                <w:numId w:val="3"/>
              </w:numPr>
              <w:bidi w:val="0"/>
              <w:ind w:left="326" w:hanging="281"/>
              <w:rPr>
                <w:rFonts w:ascii="Times New Roman" w:hAnsi="Times New Roman"/>
              </w:rPr>
            </w:pPr>
            <w:r w:rsidRPr="002A0DDB">
              <w:rPr>
                <w:rFonts w:ascii="Times New Roman" w:hAnsi="Times New Roman"/>
              </w:rPr>
              <w:t>Právnické osoby – všetky</w:t>
            </w: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noWrap/>
            <w:textDirection w:val="lrTb"/>
            <w:vAlign w:val="top"/>
          </w:tcPr>
          <w:p w:rsidR="00CA1300" w:rsidRPr="002A0DDB" w:rsidP="00CA1300">
            <w:pPr>
              <w:bidi w:val="0"/>
              <w:rPr>
                <w:rFonts w:ascii="Times New Roman" w:hAnsi="Times New Roman"/>
              </w:rPr>
            </w:pPr>
          </w:p>
          <w:p w:rsidR="00CA1300" w:rsidRPr="002A0DDB" w:rsidP="00CA1300">
            <w:pPr>
              <w:bidi w:val="0"/>
              <w:rPr>
                <w:rFonts w:ascii="Times New Roman" w:hAnsi="Times New Roman"/>
              </w:rPr>
            </w:pPr>
            <w:r w:rsidRPr="002A0DDB">
              <w:rPr>
                <w:rFonts w:ascii="Times New Roman" w:hAnsi="Times New Roman"/>
                <w:b/>
              </w:rPr>
              <w:t>3.2</w:t>
            </w:r>
            <w:r w:rsidRPr="002A0DDB">
              <w:rPr>
                <w:rFonts w:ascii="Times New Roman" w:hAnsi="Times New Roman"/>
              </w:rPr>
              <w:t>. Aký je predpokladaný charakter a rozsah nákladov a prínosov?</w:t>
            </w:r>
          </w:p>
          <w:p w:rsidR="00CA1300" w:rsidRPr="002A0DDB" w:rsidP="00CA1300">
            <w:pPr>
              <w:bidi w:val="0"/>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center"/>
          </w:tcPr>
          <w:p w:rsidR="00CA1300" w:rsidP="00CA1300">
            <w:pPr>
              <w:numPr>
                <w:numId w:val="2"/>
              </w:numPr>
              <w:bidi w:val="0"/>
              <w:ind w:left="468"/>
              <w:jc w:val="both"/>
              <w:rPr>
                <w:rFonts w:ascii="Times New Roman" w:hAnsi="Times New Roman"/>
              </w:rPr>
            </w:pPr>
            <w:r>
              <w:rPr>
                <w:rFonts w:ascii="Times New Roman" w:hAnsi="Times New Roman"/>
              </w:rPr>
              <w:t>V dôsledku zavedenia možnosti uplatnenia paušálnych výdavkov v maximálnej výške 5 040 eur ročne, resp. 420 eur mesačne sa očakáva zvýšenie daňového zaťaženia SZČO, ktorí pri vyčíslení základu dane uplatňujú paušálne výdavky.</w:t>
            </w:r>
          </w:p>
          <w:p w:rsidR="00CA1300" w:rsidP="00CA1300">
            <w:pPr>
              <w:numPr>
                <w:numId w:val="2"/>
              </w:numPr>
              <w:bidi w:val="0"/>
              <w:ind w:left="468"/>
              <w:jc w:val="both"/>
              <w:rPr>
                <w:rFonts w:ascii="Times New Roman" w:hAnsi="Times New Roman"/>
              </w:rPr>
            </w:pPr>
            <w:r>
              <w:rPr>
                <w:rFonts w:ascii="Times New Roman" w:hAnsi="Times New Roman"/>
              </w:rPr>
              <w:t>Daňové zaťaženie FO s nadštandardnými príjmami sa zvýši v dôsledku zavedenia druhej zvýšenej sadzby dane</w:t>
            </w:r>
          </w:p>
          <w:p w:rsidR="00CA1300" w:rsidRPr="001301F3" w:rsidP="00CA1300">
            <w:pPr>
              <w:numPr>
                <w:numId w:val="2"/>
              </w:numPr>
              <w:bidi w:val="0"/>
              <w:ind w:left="468"/>
              <w:jc w:val="both"/>
              <w:rPr>
                <w:rFonts w:ascii="Times New Roman" w:hAnsi="Times New Roman"/>
              </w:rPr>
            </w:pPr>
            <w:r>
              <w:rPr>
                <w:rFonts w:ascii="Times New Roman" w:hAnsi="Times New Roman"/>
              </w:rPr>
              <w:t xml:space="preserve">Daňové zaťaženie sa zvýši aj PO z dôvodu zvýšenia sadzby dane z 19 % na 23 %. </w:t>
            </w: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noWrap/>
            <w:textDirection w:val="lrTb"/>
            <w:vAlign w:val="top"/>
          </w:tcPr>
          <w:p w:rsidR="00CA1300" w:rsidRPr="002A0DDB" w:rsidP="00CA1300">
            <w:pPr>
              <w:bidi w:val="0"/>
              <w:rPr>
                <w:rFonts w:ascii="Times New Roman" w:hAnsi="Times New Roman"/>
              </w:rPr>
            </w:pPr>
          </w:p>
          <w:p w:rsidR="00CA1300" w:rsidRPr="002A0DDB" w:rsidP="00CA1300">
            <w:pPr>
              <w:bidi w:val="0"/>
              <w:rPr>
                <w:rFonts w:ascii="Times New Roman" w:hAnsi="Times New Roman"/>
              </w:rPr>
            </w:pPr>
            <w:r w:rsidRPr="002A0DDB">
              <w:rPr>
                <w:rFonts w:ascii="Times New Roman" w:hAnsi="Times New Roman"/>
                <w:b/>
              </w:rPr>
              <w:t>3.3</w:t>
            </w:r>
            <w:r w:rsidRPr="002A0DDB">
              <w:rPr>
                <w:rFonts w:ascii="Times New Roman" w:hAnsi="Times New Roman"/>
              </w:rPr>
              <w:t>. Aká je predpokladaná výška administratívnych nákladov, ktoré podniky vynaložia v súvislosti s implementáciou návrhu?</w:t>
            </w:r>
          </w:p>
          <w:p w:rsidR="00CA1300" w:rsidRPr="002A0DDB" w:rsidP="00CA1300">
            <w:pPr>
              <w:bidi w:val="0"/>
              <w:ind w:left="360" w:hanging="360"/>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top"/>
          </w:tcPr>
          <w:p w:rsidR="00CA1300" w:rsidP="00CA1300">
            <w:pPr>
              <w:bidi w:val="0"/>
              <w:ind w:left="72"/>
              <w:rPr>
                <w:rFonts w:ascii="Times New Roman" w:hAnsi="Times New Roman"/>
              </w:rPr>
            </w:pPr>
          </w:p>
          <w:p w:rsidR="00CA1300" w:rsidRPr="002A0DDB" w:rsidP="00CA1300">
            <w:pPr>
              <w:bidi w:val="0"/>
              <w:ind w:left="72"/>
              <w:jc w:val="both"/>
              <w:rPr>
                <w:rFonts w:ascii="Times New Roman" w:hAnsi="Times New Roman"/>
              </w:rPr>
            </w:pPr>
            <w:r>
              <w:rPr>
                <w:rFonts w:ascii="Times New Roman" w:hAnsi="Times New Roman"/>
              </w:rPr>
              <w:t>Zvýšenie administratívnej náročnosti z dôvodu prechodu na uplatňovanie skutočných výdavkov pri vyčíslovaní základu dane sa predpokladá u daňovníkov, ktorí dosahujú príjmy z prenájmu a doteraz uplatňovali paušálne výdavky.</w:t>
            </w: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textDirection w:val="lrTb"/>
            <w:vAlign w:val="top"/>
          </w:tcPr>
          <w:p w:rsidR="00CA1300" w:rsidRPr="002A0DDB" w:rsidP="00CA1300">
            <w:pPr>
              <w:bidi w:val="0"/>
              <w:rPr>
                <w:rFonts w:ascii="Times New Roman" w:hAnsi="Times New Roman"/>
              </w:rPr>
            </w:pPr>
          </w:p>
          <w:p w:rsidR="00CA1300" w:rsidRPr="002A0DDB" w:rsidP="00CA1300">
            <w:pPr>
              <w:bidi w:val="0"/>
              <w:rPr>
                <w:rFonts w:ascii="Times New Roman" w:hAnsi="Times New Roman"/>
              </w:rPr>
            </w:pPr>
            <w:r w:rsidRPr="002A0DDB">
              <w:rPr>
                <w:rFonts w:ascii="Times New Roman" w:hAnsi="Times New Roman"/>
                <w:b/>
              </w:rPr>
              <w:t>3.4</w:t>
            </w:r>
            <w:r w:rsidRPr="002A0DDB">
              <w:rPr>
                <w:rFonts w:ascii="Times New Roman" w:hAnsi="Times New Roman"/>
              </w:rPr>
              <w:t>. Aké sú dôsledky pripravovaného návrhu pre fungovanie podnikateľských subjektov na slovenskom trhu (ako sa zmenia operácie na trhu?)</w:t>
            </w:r>
          </w:p>
          <w:p w:rsidR="00CA1300" w:rsidRPr="002A0DDB" w:rsidP="00CA1300">
            <w:pPr>
              <w:bidi w:val="0"/>
              <w:ind w:left="360"/>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center"/>
          </w:tcPr>
          <w:p w:rsidR="00CA1300" w:rsidRPr="002A0DDB" w:rsidP="00CA1300">
            <w:pPr>
              <w:bidi w:val="0"/>
              <w:jc w:val="both"/>
              <w:rPr>
                <w:rFonts w:ascii="Times New Roman" w:hAnsi="Times New Roman"/>
              </w:rPr>
            </w:pPr>
            <w:r w:rsidRPr="002A0DDB">
              <w:rPr>
                <w:rFonts w:ascii="Times New Roman" w:hAnsi="Times New Roman"/>
              </w:rPr>
              <w:t xml:space="preserve">Okrem vplyvov uvedených v bode 3.2 sa očakáva, že časť fyzických osôb uplatňujúcich pri vyčíslení základu dane paušálne výdavky </w:t>
            </w:r>
            <w:r>
              <w:rPr>
                <w:rFonts w:ascii="Times New Roman" w:hAnsi="Times New Roman"/>
              </w:rPr>
              <w:t>zvolí</w:t>
            </w:r>
            <w:r w:rsidRPr="002A0DDB">
              <w:rPr>
                <w:rFonts w:ascii="Times New Roman" w:hAnsi="Times New Roman"/>
              </w:rPr>
              <w:t xml:space="preserve"> v ďalších zdaňovacích obdobiach radšej vyčíslenie základu dane s uplatnením preukázateľných daňových výdavkov, čím môže dôjsť k miernemu zvýšeniu administratívnej záťaže malých podnikateľov.</w:t>
            </w:r>
          </w:p>
        </w:tc>
      </w:tr>
      <w:tr>
        <w:tblPrEx>
          <w:tblW w:w="9195" w:type="dxa"/>
          <w:tblInd w:w="55" w:type="dxa"/>
          <w:tblCellMar>
            <w:left w:w="70" w:type="dxa"/>
            <w:right w:w="70" w:type="dxa"/>
          </w:tblCellMar>
        </w:tblPrEx>
        <w:trPr>
          <w:trHeight w:val="600"/>
        </w:trPr>
        <w:tc>
          <w:tcPr>
            <w:tcW w:w="3134" w:type="dxa"/>
            <w:tcBorders>
              <w:top w:val="single" w:sz="4" w:space="0" w:color="auto"/>
              <w:left w:val="single" w:sz="8" w:space="0" w:color="auto"/>
              <w:bottom w:val="single" w:sz="4" w:space="0" w:color="auto"/>
              <w:right w:val="single" w:sz="4" w:space="0" w:color="auto"/>
            </w:tcBorders>
            <w:noWrap/>
            <w:textDirection w:val="lrTb"/>
            <w:vAlign w:val="top"/>
          </w:tcPr>
          <w:p w:rsidR="00CA1300" w:rsidRPr="002A0DDB" w:rsidP="00CA1300">
            <w:pPr>
              <w:bidi w:val="0"/>
              <w:rPr>
                <w:rFonts w:ascii="Times New Roman" w:hAnsi="Times New Roman"/>
              </w:rPr>
            </w:pPr>
          </w:p>
          <w:p w:rsidR="00CA1300" w:rsidRPr="002A0DDB" w:rsidP="00CA1300">
            <w:pPr>
              <w:bidi w:val="0"/>
              <w:rPr>
                <w:rFonts w:ascii="Times New Roman" w:hAnsi="Times New Roman"/>
              </w:rPr>
            </w:pPr>
            <w:r w:rsidRPr="002A0DDB">
              <w:rPr>
                <w:rFonts w:ascii="Times New Roman" w:hAnsi="Times New Roman"/>
                <w:b/>
              </w:rPr>
              <w:t>3.5</w:t>
            </w:r>
            <w:r w:rsidRPr="002A0DDB">
              <w:rPr>
                <w:rFonts w:ascii="Times New Roman" w:hAnsi="Times New Roman"/>
              </w:rPr>
              <w:t>. Aké sú predpokladané spoločensko – ekonomické dôsledky pripravovaných regulácií?</w:t>
            </w:r>
          </w:p>
          <w:p w:rsidR="00CA1300" w:rsidRPr="002A0DDB" w:rsidP="00CA1300">
            <w:pPr>
              <w:bidi w:val="0"/>
              <w:rPr>
                <w:rFonts w:ascii="Times New Roman" w:hAnsi="Times New Roman"/>
              </w:rPr>
            </w:pPr>
          </w:p>
        </w:tc>
        <w:tc>
          <w:tcPr>
            <w:tcW w:w="6061" w:type="dxa"/>
            <w:tcBorders>
              <w:top w:val="single" w:sz="4" w:space="0" w:color="auto"/>
              <w:left w:val="nil"/>
              <w:bottom w:val="single" w:sz="4" w:space="0" w:color="auto"/>
              <w:right w:val="single" w:sz="8" w:space="0" w:color="auto"/>
            </w:tcBorders>
            <w:noWrap/>
            <w:textDirection w:val="lrTb"/>
            <w:vAlign w:val="center"/>
          </w:tcPr>
          <w:p w:rsidR="00CA1300" w:rsidRPr="002A0DDB" w:rsidP="00CA1300">
            <w:pPr>
              <w:bidi w:val="0"/>
              <w:jc w:val="both"/>
              <w:rPr>
                <w:rFonts w:ascii="Arial" w:hAnsi="Arial" w:cs="Arial"/>
              </w:rPr>
            </w:pPr>
            <w:r w:rsidRPr="002A0DDB">
              <w:rPr>
                <w:rFonts w:ascii="Times New Roman" w:hAnsi="Times New Roman"/>
              </w:rPr>
              <w:t>Snahou je udržanie efektívneho, jednoduchého a neutrálneho daňového systému</w:t>
            </w:r>
            <w:r>
              <w:rPr>
                <w:rFonts w:ascii="Times New Roman" w:hAnsi="Times New Roman"/>
              </w:rPr>
              <w:t xml:space="preserve"> pri súčasnej povinnosti konsolidácie verejných financií</w:t>
            </w:r>
            <w:r w:rsidRPr="002A0DDB">
              <w:rPr>
                <w:rFonts w:ascii="Times New Roman" w:hAnsi="Times New Roman"/>
              </w:rPr>
              <w:t xml:space="preserve">. </w:t>
            </w:r>
          </w:p>
        </w:tc>
      </w:tr>
    </w:tbl>
    <w:p w:rsidR="00CA1300" w:rsidP="00CA1300">
      <w:pPr>
        <w:pStyle w:val="NormalWeb"/>
        <w:bidi w:val="0"/>
        <w:rPr>
          <w:rFonts w:ascii="Times New Roman" w:hAnsi="Times New Roman"/>
        </w:rPr>
      </w:pPr>
    </w:p>
    <w:p w:rsidR="00EA2339" w:rsidP="00CA1300">
      <w:pPr>
        <w:pStyle w:val="NormalWeb"/>
        <w:bidi w:val="0"/>
        <w:rPr>
          <w:rFonts w:ascii="Times New Roman" w:hAnsi="Times New Roman"/>
        </w:rPr>
      </w:pPr>
    </w:p>
    <w:p w:rsidR="00EA2339" w:rsidP="00CA1300">
      <w:pPr>
        <w:pStyle w:val="NormalWeb"/>
        <w:bidi w:val="0"/>
        <w:rPr>
          <w:rFonts w:ascii="Times New Roman" w:hAnsi="Times New Roman"/>
        </w:rPr>
      </w:pPr>
    </w:p>
    <w:p w:rsidR="00EA2339" w:rsidP="00EA2339">
      <w:pPr>
        <w:bidi w:val="0"/>
        <w:ind w:left="7080" w:firstLine="708"/>
        <w:rPr>
          <w:rFonts w:ascii="Times New Roman" w:hAnsi="Times New Roman"/>
          <w:b/>
        </w:rPr>
      </w:pPr>
      <w:r w:rsidRPr="00EA2339">
        <w:rPr>
          <w:rFonts w:ascii="Times New Roman" w:hAnsi="Times New Roman"/>
          <w:b/>
        </w:rPr>
        <w:t xml:space="preserve">Príloha č. </w:t>
      </w:r>
      <w:r>
        <w:rPr>
          <w:rFonts w:ascii="Times New Roman" w:hAnsi="Times New Roman"/>
          <w:b/>
        </w:rPr>
        <w:t>3</w:t>
      </w:r>
    </w:p>
    <w:p w:rsidR="00EA2339" w:rsidRPr="00EA2339" w:rsidP="00EA2339">
      <w:pPr>
        <w:bidi w:val="0"/>
        <w:ind w:left="7080" w:firstLine="708"/>
        <w:rPr>
          <w:rFonts w:ascii="Times New Roman" w:hAnsi="Times New Roman"/>
          <w:b/>
        </w:rPr>
      </w:pPr>
    </w:p>
    <w:p w:rsidR="002D488F" w:rsidP="002D488F">
      <w:pPr>
        <w:bidi w:val="0"/>
        <w:rPr>
          <w:rFonts w:ascii="Times New Roman" w:hAnsi="Times New Roman"/>
          <w:b/>
          <w:sz w:val="28"/>
          <w:szCs w:val="28"/>
        </w:rPr>
      </w:pPr>
      <w:r>
        <w:rPr>
          <w:rFonts w:ascii="Times New Roman" w:hAnsi="Times New Roman"/>
          <w:b/>
          <w:sz w:val="28"/>
          <w:szCs w:val="28"/>
        </w:rPr>
        <w:t>Sociálne vplyvy -  vplyvy na hospodárenie obyvateľstva, sociálnu exklúziu, rovnosť príležitostí a rodovú rovnosť  a na zamestnanosť</w:t>
      </w:r>
    </w:p>
    <w:p w:rsidR="002D488F" w:rsidP="002D488F">
      <w:pPr>
        <w:bidi w:val="0"/>
        <w:rPr>
          <w:rFonts w:ascii="Times New Roman" w:hAnsi="Times New Roman"/>
          <w:b/>
          <w:bCs/>
        </w:rPr>
      </w:pPr>
    </w:p>
    <w:tbl>
      <w:tblPr>
        <w:tblStyle w:val="TableNormal"/>
        <w:tblW w:w="9015" w:type="dxa"/>
        <w:jc w:val="center"/>
        <w:tblCellMar>
          <w:left w:w="70" w:type="dxa"/>
          <w:right w:w="70" w:type="dxa"/>
        </w:tblCellMar>
      </w:tblPr>
      <w:tblGrid>
        <w:gridCol w:w="4225"/>
        <w:gridCol w:w="479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2D488F" w:rsidRPr="00495317" w:rsidP="002D488F">
            <w:pPr>
              <w:bidi w:val="0"/>
              <w:jc w:val="center"/>
              <w:rPr>
                <w:rFonts w:ascii="Times New Roman" w:hAnsi="Times New Roman"/>
                <w:b/>
                <w:bCs/>
                <w:color w:val="FFFFFF"/>
              </w:rPr>
            </w:pPr>
            <w:r w:rsidRPr="00495317">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4309"/>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2D488F" w:rsidRPr="00495317" w:rsidP="002D488F">
            <w:pPr>
              <w:bidi w:val="0"/>
              <w:rPr>
                <w:rFonts w:ascii="Times New Roman" w:hAnsi="Times New Roman"/>
              </w:rPr>
            </w:pPr>
            <w:r w:rsidRPr="00495317">
              <w:rPr>
                <w:rFonts w:ascii="Times New Roman" w:hAnsi="Times New Roman"/>
                <w:b/>
              </w:rPr>
              <w:t>4.1.</w:t>
            </w:r>
            <w:r w:rsidRPr="00495317">
              <w:rPr>
                <w:rFonts w:ascii="Times New Roman" w:hAnsi="Times New Roman"/>
              </w:rPr>
              <w:t xml:space="preserve"> Identifikujte vplyv na hospodárenie   domácností a špecifikujte ovplyvnené skupiny domácností, ktoré budú pozitívne/negatívne ovplyvnené.  </w:t>
            </w:r>
          </w:p>
        </w:tc>
        <w:tc>
          <w:tcPr>
            <w:tcW w:w="4790" w:type="dxa"/>
            <w:tcBorders>
              <w:top w:val="single" w:sz="4" w:space="0" w:color="auto"/>
              <w:left w:val="nil"/>
              <w:bottom w:val="single" w:sz="4" w:space="0" w:color="auto"/>
              <w:right w:val="single" w:sz="4" w:space="0" w:color="auto"/>
            </w:tcBorders>
            <w:textDirection w:val="lrTb"/>
            <w:vAlign w:val="top"/>
          </w:tcPr>
          <w:p w:rsidR="002D488F" w:rsidP="002D488F">
            <w:pPr>
              <w:bidi w:val="0"/>
              <w:jc w:val="both"/>
              <w:rPr>
                <w:rFonts w:ascii="Times New Roman" w:hAnsi="Times New Roman"/>
              </w:rPr>
            </w:pPr>
            <w:r>
              <w:rPr>
                <w:rFonts w:ascii="Times New Roman" w:hAnsi="Times New Roman"/>
              </w:rPr>
              <w:t>Návrh zákona bude mať negatívny vplyv na nižšie uvedené skupiny domácností resp. jednotlivcov:</w:t>
            </w:r>
          </w:p>
          <w:p w:rsidR="002D488F" w:rsidP="002D488F">
            <w:pPr>
              <w:bidi w:val="0"/>
              <w:jc w:val="both"/>
              <w:rPr>
                <w:rFonts w:ascii="Times New Roman" w:hAnsi="Times New Roman"/>
              </w:rPr>
            </w:pPr>
          </w:p>
          <w:p w:rsidR="002D488F" w:rsidP="00490816">
            <w:pPr>
              <w:numPr>
                <w:numId w:val="20"/>
              </w:numPr>
              <w:bidi w:val="0"/>
              <w:jc w:val="both"/>
              <w:rPr>
                <w:rFonts w:ascii="Times New Roman" w:hAnsi="Times New Roman"/>
              </w:rPr>
            </w:pPr>
            <w:r>
              <w:rPr>
                <w:rFonts w:ascii="Times New Roman" w:hAnsi="Times New Roman"/>
              </w:rPr>
              <w:t xml:space="preserve">Osoby uplatňujúce paušálne výdavky pri príjmoch z podnikania a inej SZČO, ktorých ročné príjmy presiahli 12 600 eur (hranica pri ktorej paušálne výdavky zodpovedajú práve maximálnej úrovni paušálnych výdavkov od 1.1.2013). </w:t>
            </w:r>
          </w:p>
          <w:p w:rsidR="002D488F" w:rsidP="00490816">
            <w:pPr>
              <w:numPr>
                <w:numId w:val="20"/>
              </w:numPr>
              <w:bidi w:val="0"/>
              <w:jc w:val="both"/>
              <w:rPr>
                <w:rFonts w:ascii="Times New Roman" w:hAnsi="Times New Roman"/>
              </w:rPr>
            </w:pPr>
            <w:r>
              <w:rPr>
                <w:rFonts w:ascii="Times New Roman" w:hAnsi="Times New Roman"/>
              </w:rPr>
              <w:t>Osoby uplatňujúce paušálne výdavky pri príjmoch z prenájmu.</w:t>
            </w:r>
          </w:p>
          <w:p w:rsidR="002D488F" w:rsidRPr="00112C40" w:rsidP="00490816">
            <w:pPr>
              <w:numPr>
                <w:numId w:val="20"/>
              </w:numPr>
              <w:bidi w:val="0"/>
              <w:jc w:val="both"/>
              <w:rPr>
                <w:rFonts w:ascii="Times New Roman" w:hAnsi="Times New Roman"/>
              </w:rPr>
            </w:pPr>
            <w:r w:rsidRPr="00112C40">
              <w:rPr>
                <w:rFonts w:ascii="Times New Roman" w:hAnsi="Times New Roman"/>
              </w:rPr>
              <w:t>Osoby u</w:t>
            </w:r>
            <w:r>
              <w:rPr>
                <w:rFonts w:ascii="Times New Roman" w:hAnsi="Times New Roman"/>
              </w:rPr>
              <w:t xml:space="preserve">platňujúce </w:t>
            </w:r>
            <w:r w:rsidRPr="00112C40">
              <w:rPr>
                <w:rFonts w:ascii="Times New Roman" w:hAnsi="Times New Roman"/>
              </w:rPr>
              <w:t xml:space="preserve">s tzv. pasívnymi príjmami, ktoré </w:t>
            </w:r>
            <w:r>
              <w:rPr>
                <w:rFonts w:ascii="Times New Roman" w:hAnsi="Times New Roman"/>
              </w:rPr>
              <w:t xml:space="preserve">si </w:t>
            </w:r>
            <w:r w:rsidRPr="00112C40">
              <w:rPr>
                <w:rFonts w:ascii="Times New Roman" w:hAnsi="Times New Roman"/>
              </w:rPr>
              <w:t>uplatňujú daňový bonus</w:t>
            </w:r>
            <w:r>
              <w:rPr>
                <w:rFonts w:ascii="Times New Roman" w:hAnsi="Times New Roman"/>
              </w:rPr>
              <w:t xml:space="preserve"> na dieťa</w:t>
            </w:r>
            <w:r w:rsidRPr="00112C40">
              <w:rPr>
                <w:rFonts w:ascii="Times New Roman" w:hAnsi="Times New Roman"/>
              </w:rPr>
              <w:t>.</w:t>
            </w:r>
          </w:p>
          <w:p w:rsidR="002D488F" w:rsidRPr="00112C40" w:rsidP="00490816">
            <w:pPr>
              <w:numPr>
                <w:numId w:val="20"/>
              </w:numPr>
              <w:bidi w:val="0"/>
              <w:jc w:val="both"/>
              <w:rPr>
                <w:rFonts w:ascii="Times New Roman" w:hAnsi="Times New Roman"/>
              </w:rPr>
            </w:pPr>
            <w:r w:rsidRPr="00112C40">
              <w:rPr>
                <w:rFonts w:ascii="Times New Roman" w:hAnsi="Times New Roman"/>
              </w:rPr>
              <w:t>Osoby uplatňujúce nezdaniteľnú časť základu dane na manžela/ku, ktoré sa nestarajú o dieťa do 3 resp. 6 rokov, nepoberajú príspevok na opatrovanie resp. nie sú evidované na úrade práce.</w:t>
            </w:r>
          </w:p>
          <w:p w:rsidR="002D488F" w:rsidP="00490816">
            <w:pPr>
              <w:numPr>
                <w:numId w:val="20"/>
              </w:numPr>
              <w:bidi w:val="0"/>
              <w:jc w:val="both"/>
              <w:rPr>
                <w:rFonts w:ascii="Times New Roman" w:hAnsi="Times New Roman"/>
              </w:rPr>
            </w:pPr>
            <w:r w:rsidRPr="00112C40">
              <w:rPr>
                <w:rFonts w:ascii="Times New Roman" w:hAnsi="Times New Roman"/>
              </w:rPr>
              <w:t>Vybraní ústavní činitelia</w:t>
            </w:r>
            <w:r>
              <w:rPr>
                <w:rFonts w:ascii="Times New Roman" w:hAnsi="Times New Roman"/>
              </w:rPr>
              <w:t xml:space="preserve">. </w:t>
            </w:r>
          </w:p>
          <w:p w:rsidR="002D488F" w:rsidP="00490816">
            <w:pPr>
              <w:numPr>
                <w:numId w:val="20"/>
              </w:numPr>
              <w:bidi w:val="0"/>
              <w:jc w:val="both"/>
              <w:rPr>
                <w:rFonts w:ascii="Times New Roman" w:hAnsi="Times New Roman"/>
              </w:rPr>
            </w:pPr>
            <w:r>
              <w:rPr>
                <w:rFonts w:ascii="Times New Roman" w:hAnsi="Times New Roman"/>
              </w:rPr>
              <w:t>FO s nadštandardnými príjmami cez zavedenie druhej sadzby dane.</w:t>
            </w:r>
          </w:p>
          <w:p w:rsidR="002D488F" w:rsidP="002D488F">
            <w:pPr>
              <w:bidi w:val="0"/>
              <w:jc w:val="both"/>
              <w:rPr>
                <w:rFonts w:ascii="Times New Roman" w:hAnsi="Times New Roman"/>
              </w:rPr>
            </w:pPr>
            <w:r>
              <w:rPr>
                <w:rFonts w:ascii="Times New Roman" w:hAnsi="Times New Roman"/>
              </w:rPr>
              <w:t>Návrh zákona bude mať pozitívny vplyv na nižšie uvedené skupiny domácností resp. jednotlivcov:</w:t>
            </w:r>
          </w:p>
          <w:p w:rsidR="002D488F" w:rsidP="00490816">
            <w:pPr>
              <w:numPr>
                <w:numId w:val="21"/>
              </w:numPr>
              <w:bidi w:val="0"/>
              <w:jc w:val="both"/>
              <w:rPr>
                <w:rFonts w:ascii="Times New Roman" w:hAnsi="Times New Roman"/>
              </w:rPr>
            </w:pPr>
            <w:r>
              <w:rPr>
                <w:rFonts w:ascii="Times New Roman" w:hAnsi="Times New Roman"/>
              </w:rPr>
              <w:t xml:space="preserve">FO, ktorým plynú deputátne plnenia na základe výnosu Federálneho ministerstva palív a energetiky č. 1/1990 o deputátnom uhlí a dreve </w:t>
            </w:r>
          </w:p>
          <w:p w:rsidR="002D488F" w:rsidP="00490816">
            <w:pPr>
              <w:numPr>
                <w:numId w:val="21"/>
              </w:numPr>
              <w:bidi w:val="0"/>
              <w:jc w:val="both"/>
              <w:rPr>
                <w:rFonts w:ascii="Times New Roman" w:hAnsi="Times New Roman"/>
              </w:rPr>
            </w:pPr>
            <w:r>
              <w:rPr>
                <w:rFonts w:ascii="Times New Roman" w:hAnsi="Times New Roman"/>
              </w:rPr>
              <w:t>FO, ktoré majú príležitostný príjem plynúci z výkonu člena volebnej komisie, člena okrskovej volebnej komisie, zapisovateľa volebnej a okrskovej volebnej komisie, sčítacieho komisára a pod.</w:t>
            </w:r>
          </w:p>
          <w:p w:rsidR="002D488F" w:rsidP="00490816">
            <w:pPr>
              <w:numPr>
                <w:numId w:val="21"/>
              </w:numPr>
              <w:bidi w:val="0"/>
              <w:jc w:val="both"/>
              <w:rPr>
                <w:rFonts w:ascii="Times New Roman" w:hAnsi="Times New Roman"/>
              </w:rPr>
            </w:pPr>
            <w:r>
              <w:rPr>
                <w:rFonts w:ascii="Times New Roman" w:hAnsi="Times New Roman"/>
              </w:rPr>
              <w:t xml:space="preserve">FO v dôchodkovom veku s príležitostným príjmom, ktorý im plynie po skončení výkonu práce </w:t>
            </w:r>
          </w:p>
          <w:p w:rsidR="002D488F" w:rsidRPr="00495317" w:rsidP="002D488F">
            <w:pPr>
              <w:bidi w:val="0"/>
              <w:jc w:val="both"/>
              <w:rPr>
                <w:rFonts w:ascii="Times New Roman" w:hAnsi="Times New Roman"/>
              </w:rPr>
            </w:pPr>
          </w:p>
        </w:tc>
      </w:tr>
      <w:tr>
        <w:tblPrEx>
          <w:tblW w:w="9015" w:type="dxa"/>
          <w:jc w:val="center"/>
          <w:tblCellMar>
            <w:left w:w="70" w:type="dxa"/>
            <w:right w:w="70" w:type="dxa"/>
          </w:tblCellMar>
        </w:tblPrEx>
        <w:trPr>
          <w:trHeight w:val="4309"/>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2D488F" w:rsidP="002D488F">
            <w:pPr>
              <w:bidi w:val="0"/>
              <w:rPr>
                <w:rFonts w:ascii="Times New Roman" w:hAnsi="Times New Roman"/>
                <w:i/>
              </w:rPr>
            </w:pPr>
            <w:r w:rsidRPr="00495317">
              <w:rPr>
                <w:rFonts w:ascii="Times New Roman" w:hAnsi="Times New Roman"/>
                <w:i/>
              </w:rPr>
              <w:t xml:space="preserve">Kvantifikujte: </w:t>
            </w:r>
          </w:p>
          <w:p w:rsidR="002D488F" w:rsidP="00490816">
            <w:pPr>
              <w:numPr>
                <w:numId w:val="19"/>
              </w:numPr>
              <w:tabs>
                <w:tab w:val="left" w:pos="328"/>
              </w:tabs>
              <w:bidi w:val="0"/>
              <w:ind w:left="328"/>
              <w:rPr>
                <w:rFonts w:ascii="Times New Roman" w:hAnsi="Times New Roman"/>
                <w:i/>
              </w:rPr>
            </w:pPr>
            <w:r w:rsidRPr="00FE1481">
              <w:rPr>
                <w:rFonts w:ascii="Times New Roman" w:hAnsi="Times New Roman"/>
                <w:i/>
              </w:rPr>
              <w:t>Rast alebo pokles príjmov/výdavkov            na priemerného obyvateľa</w:t>
            </w:r>
          </w:p>
          <w:p w:rsidR="002D488F" w:rsidRPr="00495317" w:rsidP="00490816">
            <w:pPr>
              <w:numPr>
                <w:numId w:val="19"/>
              </w:numPr>
              <w:tabs>
                <w:tab w:val="left" w:pos="328"/>
              </w:tabs>
              <w:bidi w:val="0"/>
              <w:ind w:left="328"/>
              <w:rPr>
                <w:rFonts w:ascii="Times New Roman" w:hAnsi="Times New Roman"/>
                <w:i/>
              </w:rPr>
            </w:pPr>
            <w:r w:rsidRPr="00495317">
              <w:rPr>
                <w:rFonts w:ascii="Times New Roman" w:hAnsi="Times New Roman"/>
                <w:i/>
              </w:rPr>
              <w:t>Rast alebo pokles príjmov/výdavkov                  za jednotlivé ovplyvnené  skupiny domácností</w:t>
            </w:r>
          </w:p>
          <w:p w:rsidR="002D488F" w:rsidRPr="00495317" w:rsidP="002D488F">
            <w:pPr>
              <w:bidi w:val="0"/>
              <w:rPr>
                <w:rFonts w:ascii="Times New Roman" w:hAnsi="Times New Roman"/>
                <w:b/>
              </w:rPr>
            </w:pPr>
            <w:r w:rsidRPr="00495317">
              <w:rPr>
                <w:rFonts w:ascii="Times New Roman" w:hAnsi="Times New Roman"/>
                <w:i/>
              </w:rPr>
              <w:t>Celkový počet obyvateľstva/domácností ovplyvnených predkladaným materiálom</w:t>
            </w:r>
          </w:p>
        </w:tc>
        <w:tc>
          <w:tcPr>
            <w:tcW w:w="4790" w:type="dxa"/>
            <w:tcBorders>
              <w:top w:val="single" w:sz="4" w:space="0" w:color="auto"/>
              <w:left w:val="nil"/>
              <w:bottom w:val="single" w:sz="4" w:space="0" w:color="auto"/>
              <w:right w:val="single" w:sz="4" w:space="0" w:color="auto"/>
            </w:tcBorders>
            <w:textDirection w:val="lrTb"/>
            <w:vAlign w:val="top"/>
          </w:tcPr>
          <w:p w:rsidR="002D488F" w:rsidP="002D488F">
            <w:pPr>
              <w:bidi w:val="0"/>
              <w:jc w:val="both"/>
              <w:rPr>
                <w:rFonts w:ascii="Times New Roman" w:hAnsi="Times New Roman"/>
              </w:rPr>
            </w:pPr>
            <w:r w:rsidRPr="000E3BC6">
              <w:rPr>
                <w:rFonts w:ascii="Times New Roman" w:hAnsi="Times New Roman"/>
                <w:b/>
              </w:rPr>
              <w:t>Osoby uplatňujúce paušálne výdavky pri príjmoch z podnikania a inej SZČO</w:t>
            </w:r>
            <w:r w:rsidRPr="000E3BC6">
              <w:rPr>
                <w:rFonts w:ascii="Times New Roman" w:hAnsi="Times New Roman"/>
              </w:rPr>
              <w:t xml:space="preserve"> zavedenie maximálnej hranice pre uplatňovanie paušálnych výdavkov na úrovni 5 040 eur/rok – sa negatívne dotkne daňovníkov, ktorých ročné príjmy (obrat) presiahli 12 600 eur (hranica pri ktorej paušálne výdavky zodpovedajú práve maximálnej úrovni paušálnych výdavkov). Podľa údajov z individuálnych daňových priznaní typu B si v roku 2009 uplatnilo paušálne výdavky k svojim príjmom z podnikania a inej SZČO cca 32% všetkých daňovníkov (čo je cca 130 000 daňovníkov). MF SR pri kvantifikácii vplyvov na rok 2013 vychádzalo z rovnakého podielu  daňovníkov uplatňujúcich paušálne výdavky, pričom predpokladá, že zavedenie max. stropu spôsobí, že 10% dotknutých SZČO s paušálnymi výdavkami prejde na účtovanie o svojich výdavkoch. Na základe týchto predpokladov by sa zavedenie maximálneho stropu malo negatívne dotknúť cca 22 tis. SZČO uplatňujúcich paušálne výdavky, čo predstavuje cca 17% zo všetkých daňovníkov s paušálnymi výdavkami. Priemerný vplyv na daňovníka z titulu tejto zmeny </w:t>
            </w:r>
            <w:r>
              <w:rPr>
                <w:rFonts w:ascii="Times New Roman" w:hAnsi="Times New Roman"/>
              </w:rPr>
              <w:t>predstavuje</w:t>
            </w:r>
            <w:r w:rsidRPr="000E3BC6">
              <w:rPr>
                <w:rFonts w:ascii="Times New Roman" w:hAnsi="Times New Roman"/>
              </w:rPr>
              <w:t xml:space="preserve"> 415 Eur/rok.</w:t>
            </w:r>
          </w:p>
          <w:p w:rsidR="002D488F" w:rsidP="002D488F">
            <w:pPr>
              <w:bidi w:val="0"/>
              <w:jc w:val="both"/>
              <w:rPr>
                <w:rFonts w:ascii="Times New Roman" w:hAnsi="Times New Roman"/>
                <w:b/>
              </w:rPr>
            </w:pPr>
          </w:p>
          <w:p w:rsidR="002D488F" w:rsidP="002D488F">
            <w:pPr>
              <w:bidi w:val="0"/>
              <w:jc w:val="both"/>
              <w:rPr>
                <w:rFonts w:ascii="Times New Roman" w:hAnsi="Times New Roman"/>
              </w:rPr>
            </w:pPr>
            <w:r w:rsidRPr="000E3BC6">
              <w:rPr>
                <w:rFonts w:ascii="Times New Roman" w:hAnsi="Times New Roman"/>
                <w:b/>
              </w:rPr>
              <w:t xml:space="preserve">Osoby uplatňujúce paušálne výdavky pri príjmoch z prenájmu – </w:t>
            </w:r>
            <w:r w:rsidRPr="000E3BC6">
              <w:rPr>
                <w:rFonts w:ascii="Times New Roman" w:hAnsi="Times New Roman"/>
              </w:rPr>
              <w:t>kvantifikácia zrušenia uplatňovania paušálnych výdavkov pri príjmoch z prenájmu  vychádza z individuálnych daňových priznaní typu B z roku 2009, kedy si 68% daňovníkov s príjmom z prenájmu (celkový počet cca 45 000 daňovníkov) uplatnilo paušálne výdavky k týmto príjmom. Priemerné uplatnené výdavky daňovníkov s príjmami z prenájmu, ktorí viedli účtovníctvo o týchto výdavkoch predstavovali 42,8% z ich príjmov (predpokladáme, že ich výška súvisí s rozsiahlejšími investíciami do prenajímaných nehnuteľností a  z tohto dôvodu o týchto výdavkoch aj účtovali). Priemerný vplyv na daňovníka bude závisieť od priemerne uplatnených výdavkov z prenájmu u daňovníkov, ktorý doteraz využívali paušálne výdavky, pričom sa nepredpokladá, že všetci začnú výraznejšie investovať do svojich nehnuteľností. Z uvedeného dôvodu MF SR predpokladá, že priemerne uplatnené účtovné výdavky týchto daňovníkov budú v rozmedzí od 15-20% (čo pri tomto predpoklade zodpovedá priemernému vplyvu na úrovni -200-250 eur/rok na daňovníka, pričom platí, že vplyv na takmer polovicu daňovníkov nebude väčší ako 100 eur/rok).</w:t>
            </w:r>
            <w:r>
              <w:rPr>
                <w:rFonts w:ascii="Times New Roman" w:hAnsi="Times New Roman"/>
              </w:rPr>
              <w:t xml:space="preserve">  </w:t>
            </w:r>
          </w:p>
          <w:p w:rsidR="002D488F" w:rsidP="002D488F">
            <w:pPr>
              <w:bidi w:val="0"/>
              <w:jc w:val="both"/>
              <w:rPr>
                <w:rFonts w:ascii="Times New Roman" w:hAnsi="Times New Roman"/>
              </w:rPr>
            </w:pPr>
          </w:p>
          <w:p w:rsidR="002D488F" w:rsidP="002D488F">
            <w:pPr>
              <w:autoSpaceDE w:val="0"/>
              <w:autoSpaceDN w:val="0"/>
              <w:bidi w:val="0"/>
              <w:adjustRightInd w:val="0"/>
              <w:jc w:val="both"/>
              <w:rPr>
                <w:rFonts w:ascii="Times New Roman" w:hAnsi="Times New Roman"/>
              </w:rPr>
            </w:pPr>
            <w:r w:rsidRPr="00112C40">
              <w:rPr>
                <w:rFonts w:ascii="Times New Roman" w:hAnsi="Times New Roman"/>
                <w:b/>
              </w:rPr>
              <w:t>Osoby s tzv. pasívnymi príjmami, ktoré uplatňujú daňový bonus –</w:t>
            </w:r>
            <w:r>
              <w:rPr>
                <w:rFonts w:ascii="Times New Roman" w:hAnsi="Times New Roman"/>
                <w:b/>
              </w:rPr>
              <w:t xml:space="preserve"> </w:t>
            </w:r>
            <w:r>
              <w:rPr>
                <w:rFonts w:ascii="Times New Roman" w:hAnsi="Times New Roman"/>
              </w:rPr>
              <w:t>n</w:t>
            </w:r>
            <w:r w:rsidRPr="00A333DB">
              <w:rPr>
                <w:rFonts w:ascii="Times New Roman" w:hAnsi="Times New Roman"/>
              </w:rPr>
              <w:t xml:space="preserve">a základe informácii z praxe, </w:t>
            </w:r>
            <w:r>
              <w:rPr>
                <w:rFonts w:ascii="Times New Roman" w:hAnsi="Times New Roman"/>
              </w:rPr>
              <w:t>kedy dochádzalo ku kreatívnemu</w:t>
            </w:r>
            <w:r w:rsidRPr="00A333DB">
              <w:rPr>
                <w:rFonts w:ascii="Times New Roman" w:hAnsi="Times New Roman"/>
              </w:rPr>
              <w:t xml:space="preserve"> prenajímaniu nehnuteľností alebo časti nehnuteľností za účelom získania nároku na daňový bonus</w:t>
            </w:r>
            <w:r>
              <w:rPr>
                <w:rFonts w:ascii="Times New Roman" w:hAnsi="Times New Roman"/>
              </w:rPr>
              <w:t xml:space="preserve"> v rozpore s pôvodným zámerom,</w:t>
            </w:r>
            <w:r w:rsidRPr="00A333DB">
              <w:rPr>
                <w:rFonts w:ascii="Times New Roman" w:hAnsi="Times New Roman"/>
              </w:rPr>
              <w:t xml:space="preserve"> MF SR pristúpilo k obmedzeniu </w:t>
            </w:r>
            <w:r>
              <w:rPr>
                <w:rFonts w:ascii="Times New Roman" w:hAnsi="Times New Roman"/>
              </w:rPr>
              <w:t xml:space="preserve">jeho </w:t>
            </w:r>
            <w:r w:rsidRPr="00A333DB">
              <w:rPr>
                <w:rFonts w:ascii="Times New Roman" w:hAnsi="Times New Roman"/>
              </w:rPr>
              <w:t xml:space="preserve">nároku len </w:t>
            </w:r>
            <w:r>
              <w:rPr>
                <w:rFonts w:ascii="Times New Roman" w:hAnsi="Times New Roman"/>
              </w:rPr>
              <w:t>pre daňovníkov, ktorí dosahujú</w:t>
            </w:r>
            <w:r w:rsidRPr="00A333DB">
              <w:rPr>
                <w:rFonts w:ascii="Times New Roman" w:hAnsi="Times New Roman"/>
              </w:rPr>
              <w:t xml:space="preserve"> </w:t>
            </w:r>
            <w:r>
              <w:rPr>
                <w:rFonts w:ascii="Times New Roman" w:hAnsi="Times New Roman"/>
              </w:rPr>
              <w:t>aktívne príjmy</w:t>
            </w:r>
            <w:r w:rsidRPr="00A333DB">
              <w:rPr>
                <w:rFonts w:ascii="Times New Roman" w:hAnsi="Times New Roman"/>
              </w:rPr>
              <w:t xml:space="preserve">. </w:t>
            </w:r>
            <w:r>
              <w:rPr>
                <w:rFonts w:ascii="Times New Roman" w:hAnsi="Times New Roman"/>
              </w:rPr>
              <w:t xml:space="preserve">Počet dotknutých osôb nie je možné bližšie kvantifikovať nakoľko údaje z daňových priznaní neposkytujú informácie o zdaňovaní príjmov rodiny, ale len jednotlivca. Informácie dostupné z DP o tom, že si daňovník s príjmami výlučne z prenájmu uplatnil daňový bonus sú nepostačujúce, pretože jeho manžel/ka mohol/a mať iné príjmy, ktoré by mu/jej zabezpečili totožný nárok. Pri odhadovanej priemernej mesačnej výške daňového bonusu na rok 2013 na úrovni 21,21 eur ročný negatívny vplyv na rodinu, ktorej by nárok na daňový bonus vznikol len výlučne z príjmov z prenájmu v roku 2013 činí -254,52 eur. </w:t>
            </w:r>
          </w:p>
          <w:p w:rsidR="002D488F" w:rsidP="002D488F">
            <w:pPr>
              <w:bidi w:val="0"/>
              <w:jc w:val="both"/>
              <w:rPr>
                <w:rFonts w:ascii="Times New Roman" w:hAnsi="Times New Roman"/>
              </w:rPr>
            </w:pPr>
          </w:p>
          <w:p w:rsidR="002D488F" w:rsidP="002D488F">
            <w:pPr>
              <w:bidi w:val="0"/>
              <w:jc w:val="both"/>
              <w:rPr>
                <w:rFonts w:ascii="Times New Roman" w:hAnsi="Times New Roman"/>
              </w:rPr>
            </w:pPr>
            <w:r w:rsidRPr="009C01AF">
              <w:rPr>
                <w:rFonts w:ascii="Times New Roman" w:hAnsi="Times New Roman"/>
                <w:b/>
              </w:rPr>
              <w:t xml:space="preserve">Vybraní ústavní činitelia (prezident, poslanci, členovia vlády a predseda a podpredseda NKÚ) </w:t>
            </w:r>
            <w:r w:rsidRPr="009C01AF">
              <w:rPr>
                <w:rFonts w:ascii="Times New Roman" w:hAnsi="Times New Roman"/>
              </w:rPr>
              <w:t xml:space="preserve">– zavedenie osobitného odvodu, nad rámec zdanenia druhou sadzbou DPFO, ktoré sa bude týkať všetkých FO bude mať negatívny vplyv na 168 </w:t>
            </w:r>
            <w:r>
              <w:rPr>
                <w:rFonts w:ascii="Times New Roman" w:hAnsi="Times New Roman"/>
              </w:rPr>
              <w:t>ústavných činiteľov.</w:t>
            </w:r>
            <w:r w:rsidRPr="009C01AF">
              <w:rPr>
                <w:rFonts w:ascii="Times New Roman" w:hAnsi="Times New Roman"/>
              </w:rPr>
              <w:t xml:space="preserve"> Za predpokladu, že v roku 2013 dôjde k naplneniu súčasného znenia zákona č. 120/1993 Z. z. o platových pomeroch ústavných činiteľov zavedenie druhej sadzby dane (vrátane zjednotenia maximálnych vymeriavacích základov) v roku 2013 by malo negatívny vplyv na plat poslanca vo výške 13 eur/mesiac, od ktorého sa odvíjajú aj platové pomery ostatných ústavných činiteľov. Zavedenie osobitnej sadzby dane vo výške 5 % bude mať ďalší negatívny vplyv na mesačný plat poslanca vo výške približne 109 eur/mesiac, čo v príslušnej miere ovplyvní aj platy ostatných ústavných činiteľov.</w:t>
            </w:r>
          </w:p>
          <w:p w:rsidR="002D488F" w:rsidP="002D488F">
            <w:pPr>
              <w:bidi w:val="0"/>
              <w:jc w:val="both"/>
              <w:rPr>
                <w:rFonts w:ascii="Times New Roman" w:hAnsi="Times New Roman"/>
              </w:rPr>
            </w:pPr>
          </w:p>
          <w:p w:rsidR="002D488F" w:rsidP="002D488F">
            <w:pPr>
              <w:bidi w:val="0"/>
              <w:jc w:val="both"/>
              <w:rPr>
                <w:rFonts w:ascii="Times New Roman" w:hAnsi="Times New Roman"/>
              </w:rPr>
            </w:pPr>
            <w:r w:rsidRPr="009C01AF">
              <w:rPr>
                <w:rFonts w:ascii="Times New Roman" w:hAnsi="Times New Roman"/>
                <w:b/>
              </w:rPr>
              <w:t>FO s nadštandardnými príjmami</w:t>
            </w:r>
            <w:r w:rsidRPr="009C01AF">
              <w:rPr>
                <w:rFonts w:ascii="Times New Roman" w:hAnsi="Times New Roman"/>
              </w:rPr>
              <w:t xml:space="preserve"> – zavedenie druhej sadzby dane sa v roku 2013 bude uplatňovať od ročného základu dane vo výške 176,8-násobku ŽM, teda od hranice, pri ktorej daňovník stratí nárok na nezdaniteľnú časť základu dane. Na mesačnej báze to znamená, že zdaneniu druhou sadzbou bude podliehať fyzická osoba so základom dane vyšším ako   2 867 eur (berie v úvahu aj zjednotenie maximálnych vymeriavacích základov), čo v prípade zamestnanca zodpovedá hrubému príjmu 3 311 eur v roku 2013. Uvedená zmena sa podľa údajov mzdovej distribúcie dotkne len 1,2 % zamestnancov. Priemerný vplyv z dôvodu zavedenia druhej sadzby na daňovníka je 199 Eur/mesiac (bez vplyvu zjednotenia maximálnych vymeriavacích základov).</w:t>
            </w:r>
            <w:r>
              <w:rPr>
                <w:rFonts w:ascii="Times New Roman" w:hAnsi="Times New Roman"/>
              </w:rPr>
              <w:t xml:space="preserve"> </w:t>
            </w:r>
          </w:p>
          <w:p w:rsidR="002D488F" w:rsidP="002D488F">
            <w:pPr>
              <w:bidi w:val="0"/>
              <w:jc w:val="both"/>
              <w:rPr>
                <w:rFonts w:ascii="Times New Roman" w:hAnsi="Times New Roman"/>
              </w:rPr>
            </w:pPr>
          </w:p>
          <w:p w:rsidR="002D488F" w:rsidRPr="00980D5A" w:rsidP="002D488F">
            <w:pPr>
              <w:bidi w:val="0"/>
              <w:jc w:val="both"/>
              <w:rPr>
                <w:rFonts w:ascii="Times New Roman" w:hAnsi="Times New Roman"/>
              </w:rPr>
            </w:pPr>
            <w:r w:rsidRPr="009C01AF">
              <w:rPr>
                <w:rFonts w:ascii="Times New Roman" w:hAnsi="Times New Roman"/>
                <w:b/>
              </w:rPr>
              <w:t>FO s</w:t>
            </w:r>
            <w:r>
              <w:rPr>
                <w:rFonts w:ascii="Times New Roman" w:hAnsi="Times New Roman"/>
                <w:b/>
              </w:rPr>
              <w:t xml:space="preserve"> deputátnym plnením – </w:t>
            </w:r>
            <w:r>
              <w:rPr>
                <w:rFonts w:ascii="Times New Roman" w:hAnsi="Times New Roman"/>
              </w:rPr>
              <w:t xml:space="preserve"> oslobodenie deputátnych plnení pozostalých baníkov od dane z príjmu bude mať za následok aj ich oslobodenie od sociálnych a zdravotných odvodov. Na základe údajov MH SR deputátne plnenie v roku 2011 poberalo cca 4 200 osôb (priemerná výška plnenia 89 eur), ktorým by sa z uvedeného dôvodu mal zvýšiť disponibilný príjem v priemere o približne 23 eur. </w:t>
            </w:r>
          </w:p>
          <w:p w:rsidR="002D488F" w:rsidP="002D488F">
            <w:pPr>
              <w:bidi w:val="0"/>
              <w:jc w:val="both"/>
              <w:rPr>
                <w:rFonts w:ascii="Times New Roman" w:hAnsi="Times New Roman"/>
              </w:rPr>
            </w:pPr>
          </w:p>
        </w:tc>
      </w:tr>
      <w:tr>
        <w:tblPrEx>
          <w:tblW w:w="9015" w:type="dxa"/>
          <w:jc w:val="center"/>
          <w:tblCellMar>
            <w:left w:w="70" w:type="dxa"/>
            <w:right w:w="70" w:type="dxa"/>
          </w:tblCellMar>
        </w:tblPrEx>
        <w:trPr>
          <w:trHeight w:val="4309"/>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2D488F" w:rsidRPr="00495317" w:rsidP="002D488F">
            <w:pPr>
              <w:bidi w:val="0"/>
              <w:rPr>
                <w:rFonts w:ascii="Times New Roman" w:hAnsi="Times New Roman"/>
              </w:rPr>
            </w:pPr>
            <w:r w:rsidRPr="00495317">
              <w:rPr>
                <w:rFonts w:ascii="Times New Roman" w:hAnsi="Times New Roman"/>
                <w:b/>
              </w:rPr>
              <w:t>4.2.</w:t>
            </w:r>
            <w:r w:rsidRPr="00495317">
              <w:rPr>
                <w:rFonts w:ascii="Times New Roman" w:hAnsi="Times New Roman"/>
              </w:rPr>
              <w:t xml:space="preserve"> Zhodnoťte kvalitatívne (prípadne kvantitatívne) vplyvy na prístup k zdrojom, právam, tovarom a službám u jednotlivých ovplyvnených skupín obyvateľstva.</w:t>
            </w:r>
          </w:p>
        </w:tc>
        <w:tc>
          <w:tcPr>
            <w:tcW w:w="4790" w:type="dxa"/>
            <w:tcBorders>
              <w:top w:val="single" w:sz="4" w:space="0" w:color="auto"/>
              <w:left w:val="nil"/>
              <w:bottom w:val="single" w:sz="4" w:space="0" w:color="auto"/>
              <w:right w:val="single" w:sz="4" w:space="0" w:color="auto"/>
            </w:tcBorders>
            <w:textDirection w:val="lrTb"/>
            <w:vAlign w:val="top"/>
          </w:tcPr>
          <w:p w:rsidR="002D488F" w:rsidRPr="0049774D" w:rsidP="002D488F">
            <w:pPr>
              <w:bidi w:val="0"/>
              <w:jc w:val="both"/>
              <w:rPr>
                <w:rFonts w:ascii="Times New Roman" w:hAnsi="Times New Roman"/>
              </w:rPr>
            </w:pPr>
            <w:r w:rsidRPr="0049774D">
              <w:rPr>
                <w:rFonts w:ascii="Times New Roman" w:hAnsi="Times New Roman"/>
              </w:rPr>
              <w:t xml:space="preserve">Nepredpokladá sa vplyv na prístup k zdrojom, právam, tovarom a službám. </w:t>
            </w:r>
          </w:p>
        </w:tc>
      </w:tr>
      <w:tr>
        <w:tblPrEx>
          <w:tblW w:w="9015" w:type="dxa"/>
          <w:jc w:val="center"/>
          <w:tblCellMar>
            <w:left w:w="70" w:type="dxa"/>
            <w:right w:w="70" w:type="dxa"/>
          </w:tblCellMar>
        </w:tblPrEx>
        <w:trPr>
          <w:trHeight w:val="660"/>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2D488F" w:rsidRPr="00495317" w:rsidP="002D488F">
            <w:pPr>
              <w:bidi w:val="0"/>
              <w:rPr>
                <w:rFonts w:ascii="Times New Roman" w:hAnsi="Times New Roman"/>
              </w:rPr>
            </w:pPr>
            <w:r w:rsidRPr="00495317">
              <w:rPr>
                <w:rFonts w:ascii="Times New Roman" w:hAnsi="Times New Roman"/>
                <w:b/>
              </w:rPr>
              <w:t>4.3.</w:t>
            </w:r>
            <w:r w:rsidRPr="00495317">
              <w:rPr>
                <w:rFonts w:ascii="Times New Roman" w:hAnsi="Times New Roman"/>
                <w:sz w:val="22"/>
                <w:szCs w:val="22"/>
              </w:rPr>
              <w:t xml:space="preserve">  </w:t>
            </w:r>
            <w:r w:rsidRPr="00495317">
              <w:rPr>
                <w:rFonts w:ascii="Times New Roman" w:hAnsi="Times New Roman"/>
              </w:rPr>
              <w:t>Zhodnoťte vplyv na rovnosť príležitostí:</w:t>
            </w:r>
          </w:p>
          <w:p w:rsidR="002D488F" w:rsidRPr="00495317" w:rsidP="002D488F">
            <w:pPr>
              <w:bidi w:val="0"/>
              <w:rPr>
                <w:rFonts w:ascii="Times New Roman" w:hAnsi="Times New Roman"/>
              </w:rPr>
            </w:pPr>
          </w:p>
          <w:p w:rsidR="002D488F" w:rsidRPr="00495317" w:rsidP="002D488F">
            <w:pPr>
              <w:bidi w:val="0"/>
              <w:rPr>
                <w:rFonts w:ascii="Times New Roman" w:hAnsi="Times New Roman"/>
              </w:rPr>
            </w:pPr>
            <w:r w:rsidRPr="00495317">
              <w:rPr>
                <w:rFonts w:ascii="Times New Roman" w:hAnsi="Times New Roman"/>
              </w:rPr>
              <w:t>Zhodnoťte vplyv na rodovú rovnosť.</w:t>
            </w:r>
          </w:p>
          <w:p w:rsidR="002D488F" w:rsidRPr="00495317" w:rsidP="002D488F">
            <w:pPr>
              <w:bidi w:val="0"/>
              <w:rPr>
                <w:rFonts w:ascii="Times New Roman" w:hAnsi="Times New Roman"/>
              </w:rPr>
            </w:pPr>
          </w:p>
        </w:tc>
        <w:tc>
          <w:tcPr>
            <w:tcW w:w="4790" w:type="dxa"/>
            <w:tcBorders>
              <w:top w:val="nil"/>
              <w:left w:val="nil"/>
              <w:bottom w:val="single" w:sz="4" w:space="0" w:color="auto"/>
              <w:right w:val="single" w:sz="4" w:space="0" w:color="auto"/>
            </w:tcBorders>
            <w:textDirection w:val="lrTb"/>
            <w:vAlign w:val="top"/>
          </w:tcPr>
          <w:p w:rsidR="002D488F" w:rsidRPr="00495317" w:rsidP="002D488F">
            <w:pPr>
              <w:bidi w:val="0"/>
              <w:jc w:val="both"/>
              <w:rPr>
                <w:rFonts w:ascii="Times New Roman" w:hAnsi="Times New Roman"/>
              </w:rPr>
            </w:pPr>
            <w:r w:rsidRPr="00495317">
              <w:rPr>
                <w:rFonts w:ascii="Times New Roman" w:hAnsi="Times New Roman"/>
              </w:rPr>
              <w:t>Nepredpokladá sa vplyv na rodovú rovnosť.</w:t>
            </w:r>
          </w:p>
          <w:p w:rsidR="002D488F" w:rsidRPr="00495317" w:rsidP="002D488F">
            <w:pPr>
              <w:bidi w:val="0"/>
              <w:ind w:left="355"/>
              <w:jc w:val="both"/>
              <w:rPr>
                <w:rFonts w:ascii="Times New Roman" w:hAnsi="Times New Roman"/>
              </w:rPr>
            </w:pPr>
          </w:p>
        </w:tc>
      </w:tr>
      <w:tr>
        <w:tblPrEx>
          <w:tblW w:w="9015" w:type="dxa"/>
          <w:jc w:val="center"/>
          <w:tblCellMar>
            <w:left w:w="70" w:type="dxa"/>
            <w:right w:w="70" w:type="dxa"/>
          </w:tblCellMar>
        </w:tblPrEx>
        <w:trPr>
          <w:trHeight w:val="2252"/>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2D488F" w:rsidRPr="00495317" w:rsidP="002D488F">
            <w:pPr>
              <w:bidi w:val="0"/>
              <w:rPr>
                <w:rFonts w:ascii="Times New Roman" w:hAnsi="Times New Roman"/>
              </w:rPr>
            </w:pPr>
            <w:r w:rsidRPr="00495317">
              <w:rPr>
                <w:rFonts w:ascii="Times New Roman" w:hAnsi="Times New Roman"/>
                <w:b/>
              </w:rPr>
              <w:t xml:space="preserve">4.4. </w:t>
            </w:r>
            <w:r w:rsidRPr="00495317">
              <w:rPr>
                <w:rFonts w:ascii="Times New Roman" w:hAnsi="Times New Roman"/>
              </w:rPr>
              <w:t>Zhodnoťte vplyvy na zamestnanosť.</w:t>
            </w:r>
          </w:p>
          <w:p w:rsidR="002D488F" w:rsidRPr="00495317" w:rsidP="002D488F">
            <w:pPr>
              <w:bidi w:val="0"/>
              <w:rPr>
                <w:rFonts w:ascii="Times New Roman" w:hAnsi="Times New Roman"/>
                <w:b/>
              </w:rPr>
            </w:pPr>
          </w:p>
          <w:p w:rsidR="002D488F" w:rsidRPr="00495317" w:rsidP="002D488F">
            <w:pPr>
              <w:bidi w:val="0"/>
              <w:rPr>
                <w:rFonts w:ascii="Times New Roman" w:hAnsi="Times New Roman"/>
                <w:bCs/>
              </w:rPr>
            </w:pPr>
            <w:r w:rsidRPr="00495317">
              <w:rPr>
                <w:rFonts w:ascii="Times New Roman" w:hAnsi="Times New Roman"/>
                <w:bCs/>
              </w:rPr>
              <w:t>Aké sú  vplyvy na zamestnanosť ?</w:t>
            </w:r>
          </w:p>
          <w:p w:rsidR="002D488F" w:rsidRPr="00495317" w:rsidP="002D488F">
            <w:pPr>
              <w:bidi w:val="0"/>
              <w:rPr>
                <w:rFonts w:ascii="Times New Roman" w:hAnsi="Times New Roman"/>
              </w:rPr>
            </w:pPr>
            <w:r w:rsidRPr="00495317">
              <w:rPr>
                <w:rFonts w:ascii="Times New Roman" w:hAnsi="Times New Roman"/>
                <w:bCs/>
              </w:rPr>
              <w:t>Ktoré skupiny zamestnancov budú ohrozené schválením predkladaného materiálu ?</w:t>
            </w:r>
          </w:p>
          <w:p w:rsidR="002D488F" w:rsidRPr="00495317" w:rsidP="002D488F">
            <w:pPr>
              <w:bidi w:val="0"/>
              <w:rPr>
                <w:rFonts w:ascii="Times New Roman" w:hAnsi="Times New Roman"/>
                <w:bCs/>
              </w:rPr>
            </w:pPr>
            <w:r w:rsidRPr="00495317">
              <w:rPr>
                <w:rFonts w:ascii="Times New Roman" w:hAnsi="Times New Roman"/>
                <w:bCs/>
              </w:rPr>
              <w:t>Hrozí v prípade schválenia predkladaného materiálu hromadné prepúšťanie ?</w:t>
            </w:r>
          </w:p>
        </w:tc>
        <w:tc>
          <w:tcPr>
            <w:tcW w:w="4790" w:type="dxa"/>
            <w:tcBorders>
              <w:top w:val="single" w:sz="4" w:space="0" w:color="auto"/>
              <w:left w:val="single" w:sz="4" w:space="0" w:color="auto"/>
              <w:bottom w:val="single" w:sz="4" w:space="0" w:color="auto"/>
              <w:right w:val="single" w:sz="4" w:space="0" w:color="auto"/>
            </w:tcBorders>
            <w:textDirection w:val="lrTb"/>
            <w:vAlign w:val="top"/>
          </w:tcPr>
          <w:p w:rsidR="002D488F" w:rsidRPr="00495317" w:rsidP="002D488F">
            <w:pPr>
              <w:bidi w:val="0"/>
              <w:jc w:val="both"/>
              <w:rPr>
                <w:rFonts w:ascii="Times New Roman" w:hAnsi="Times New Roman"/>
              </w:rPr>
            </w:pPr>
            <w:r w:rsidRPr="00495317">
              <w:rPr>
                <w:rFonts w:ascii="Times New Roman" w:hAnsi="Times New Roman"/>
              </w:rPr>
              <w:t> Nepredpokladá sa vplyv na zamestnanosť.</w:t>
            </w:r>
          </w:p>
          <w:p w:rsidR="002D488F" w:rsidRPr="00495317" w:rsidP="002D488F">
            <w:pPr>
              <w:bidi w:val="0"/>
              <w:jc w:val="both"/>
              <w:rPr>
                <w:rFonts w:ascii="Times New Roman" w:hAnsi="Times New Roman"/>
              </w:rPr>
            </w:pPr>
          </w:p>
          <w:p w:rsidR="002D488F" w:rsidRPr="00495317" w:rsidP="002D488F">
            <w:pPr>
              <w:bidi w:val="0"/>
              <w:jc w:val="both"/>
              <w:rPr>
                <w:rFonts w:ascii="Times New Roman" w:hAnsi="Times New Roman"/>
              </w:rPr>
            </w:pPr>
          </w:p>
          <w:p w:rsidR="002D488F" w:rsidRPr="00495317" w:rsidP="002D488F">
            <w:pPr>
              <w:bidi w:val="0"/>
              <w:jc w:val="both"/>
              <w:rPr>
                <w:rFonts w:ascii="Times New Roman" w:hAnsi="Times New Roman"/>
              </w:rPr>
            </w:pPr>
          </w:p>
          <w:p w:rsidR="002D488F" w:rsidRPr="00495317" w:rsidP="002D488F">
            <w:pPr>
              <w:bidi w:val="0"/>
              <w:jc w:val="both"/>
              <w:rPr>
                <w:rFonts w:ascii="Times New Roman" w:hAnsi="Times New Roman"/>
              </w:rPr>
            </w:pPr>
          </w:p>
        </w:tc>
      </w:tr>
    </w:tbl>
    <w:p w:rsidR="002D488F" w:rsidP="002D488F">
      <w:pPr>
        <w:bidi w:val="0"/>
        <w:jc w:val="both"/>
        <w:rPr>
          <w:rFonts w:ascii="Times New Roman" w:hAnsi="Times New Roman"/>
          <w:b/>
        </w:rPr>
      </w:pPr>
    </w:p>
    <w:p w:rsidR="002D488F" w:rsidP="002D488F">
      <w:pPr>
        <w:autoSpaceDE w:val="0"/>
        <w:autoSpaceDN w:val="0"/>
        <w:bidi w:val="0"/>
        <w:adjustRightInd w:val="0"/>
        <w:spacing w:line="300" w:lineRule="atLeast"/>
        <w:jc w:val="both"/>
        <w:rPr>
          <w:rFonts w:ascii="Times New Roman" w:hAnsi="Times New Roman"/>
          <w:color w:val="000000"/>
        </w:rPr>
      </w:pPr>
    </w:p>
    <w:p w:rsidR="00EA2339" w:rsidP="00CA1300">
      <w:pPr>
        <w:pStyle w:val="NormalWeb"/>
        <w:bidi w:val="0"/>
        <w:rPr>
          <w:rFonts w:ascii="Times New Roman" w:hAnsi="Times New Roman"/>
        </w:rPr>
      </w:pPr>
    </w:p>
    <w:p w:rsidR="00EA2339" w:rsidP="00CA1300">
      <w:pPr>
        <w:pStyle w:val="NormalWeb"/>
        <w:bidi w:val="0"/>
        <w:rPr>
          <w:rFonts w:ascii="Times New Roman" w:hAnsi="Times New Roman"/>
        </w:rPr>
      </w:pPr>
    </w:p>
    <w:p w:rsidR="00EA2339" w:rsidP="00CA1300">
      <w:pPr>
        <w:pStyle w:val="NormalWeb"/>
        <w:bidi w:val="0"/>
        <w:rPr>
          <w:rFonts w:ascii="Times New Roman" w:hAnsi="Times New Roman"/>
        </w:rPr>
      </w:pPr>
    </w:p>
    <w:p w:rsidR="00EA2339" w:rsidP="00CA1300">
      <w:pPr>
        <w:pStyle w:val="NormalWeb"/>
        <w:bidi w:val="0"/>
        <w:rPr>
          <w:rFonts w:ascii="Times New Roman" w:hAnsi="Times New Roman"/>
        </w:rPr>
      </w:pPr>
    </w:p>
    <w:p w:rsidR="002D488F" w:rsidP="00CA1300">
      <w:pPr>
        <w:pStyle w:val="NormalWeb"/>
        <w:bidi w:val="0"/>
        <w:rPr>
          <w:rFonts w:ascii="Times New Roman" w:hAnsi="Times New Roman"/>
        </w:rPr>
      </w:pPr>
    </w:p>
    <w:p w:rsidR="002D488F" w:rsidP="00CA1300">
      <w:pPr>
        <w:pStyle w:val="NormalWeb"/>
        <w:bidi w:val="0"/>
        <w:rPr>
          <w:rFonts w:ascii="Times New Roman" w:hAnsi="Times New Roman"/>
        </w:rPr>
      </w:pPr>
    </w:p>
    <w:p w:rsidR="002D488F" w:rsidP="00CA1300">
      <w:pPr>
        <w:pStyle w:val="NormalWeb"/>
        <w:bidi w:val="0"/>
        <w:rPr>
          <w:rFonts w:ascii="Times New Roman" w:hAnsi="Times New Roman"/>
        </w:rPr>
      </w:pPr>
    </w:p>
    <w:p w:rsidR="002D488F" w:rsidP="00CA1300">
      <w:pPr>
        <w:pStyle w:val="NormalWeb"/>
        <w:bidi w:val="0"/>
        <w:rPr>
          <w:rFonts w:ascii="Times New Roman" w:hAnsi="Times New Roman"/>
        </w:rPr>
      </w:pPr>
    </w:p>
    <w:p w:rsidR="002D488F" w:rsidP="00CA1300">
      <w:pPr>
        <w:pStyle w:val="NormalWeb"/>
        <w:bidi w:val="0"/>
        <w:rPr>
          <w:rFonts w:ascii="Times New Roman" w:hAnsi="Times New Roman"/>
        </w:rPr>
      </w:pPr>
    </w:p>
    <w:p w:rsidR="002D488F" w:rsidP="00CA1300">
      <w:pPr>
        <w:pStyle w:val="NormalWeb"/>
        <w:bidi w:val="0"/>
        <w:rPr>
          <w:rFonts w:ascii="Times New Roman" w:hAnsi="Times New Roman"/>
        </w:rPr>
      </w:pPr>
    </w:p>
    <w:p w:rsidR="002D488F" w:rsidP="00CA1300">
      <w:pPr>
        <w:pStyle w:val="NormalWeb"/>
        <w:bidi w:val="0"/>
        <w:rPr>
          <w:rFonts w:ascii="Times New Roman" w:hAnsi="Times New Roman"/>
        </w:rPr>
      </w:pPr>
    </w:p>
    <w:p w:rsidR="002D488F" w:rsidP="00CA1300">
      <w:pPr>
        <w:pStyle w:val="NormalWeb"/>
        <w:bidi w:val="0"/>
        <w:rPr>
          <w:rFonts w:ascii="Times New Roman" w:hAnsi="Times New Roman"/>
        </w:rPr>
      </w:pPr>
    </w:p>
    <w:p w:rsidR="002D488F" w:rsidP="00CA1300">
      <w:pPr>
        <w:pStyle w:val="NormalWeb"/>
        <w:bidi w:val="0"/>
        <w:rPr>
          <w:rFonts w:ascii="Times New Roman" w:hAnsi="Times New Roman"/>
        </w:rPr>
      </w:pPr>
    </w:p>
    <w:p w:rsidR="002D488F" w:rsidP="00CA1300">
      <w:pPr>
        <w:pStyle w:val="NormalWeb"/>
        <w:bidi w:val="0"/>
        <w:rPr>
          <w:rFonts w:ascii="Times New Roman" w:hAnsi="Times New Roman"/>
        </w:rPr>
      </w:pPr>
    </w:p>
    <w:p w:rsidR="002D488F" w:rsidP="00CA1300">
      <w:pPr>
        <w:pStyle w:val="NormalWeb"/>
        <w:bidi w:val="0"/>
        <w:rPr>
          <w:rFonts w:ascii="Times New Roman" w:hAnsi="Times New Roman"/>
        </w:rPr>
      </w:pPr>
    </w:p>
    <w:p w:rsidR="002D488F" w:rsidP="00CA1300">
      <w:pPr>
        <w:pStyle w:val="NormalWeb"/>
        <w:bidi w:val="0"/>
        <w:rPr>
          <w:rFonts w:ascii="Times New Roman" w:hAnsi="Times New Roman"/>
        </w:rPr>
      </w:pPr>
    </w:p>
    <w:p w:rsidR="002D488F" w:rsidP="00CA1300">
      <w:pPr>
        <w:pStyle w:val="NormalWeb"/>
        <w:bidi w:val="0"/>
        <w:rPr>
          <w:rFonts w:ascii="Times New Roman" w:hAnsi="Times New Roman"/>
        </w:rPr>
      </w:pPr>
    </w:p>
    <w:p w:rsidR="00EA2339" w:rsidP="00CA1300">
      <w:pPr>
        <w:pStyle w:val="NormalWeb"/>
        <w:bidi w:val="0"/>
        <w:rPr>
          <w:rFonts w:ascii="Times New Roman" w:hAnsi="Times New Roman"/>
        </w:rPr>
      </w:pPr>
    </w:p>
    <w:p w:rsidR="00EA2339" w:rsidP="00CA1300">
      <w:pPr>
        <w:pStyle w:val="NormalWeb"/>
        <w:bidi w:val="0"/>
        <w:rPr>
          <w:rFonts w:ascii="Times New Roman" w:hAnsi="Times New Roman"/>
        </w:rPr>
      </w:pPr>
    </w:p>
    <w:p w:rsidR="00CA1300" w:rsidRPr="002A0DDB" w:rsidP="00CA1300">
      <w:pPr>
        <w:pStyle w:val="NormalWeb"/>
        <w:bidi w:val="0"/>
        <w:rPr>
          <w:rFonts w:ascii="Times New Roman" w:hAnsi="Times New Roman"/>
        </w:rPr>
      </w:pPr>
    </w:p>
    <w:p w:rsidR="0049728D">
      <w:pPr>
        <w:bidi w:val="0"/>
        <w:rPr>
          <w:rFonts w:ascii="Times New Roman" w:hAnsi="Times New Roman"/>
        </w:rPr>
      </w:pPr>
    </w:p>
    <w:p w:rsidR="00CA1300" w:rsidRPr="00B47582" w:rsidP="00CA1300">
      <w:pPr>
        <w:bidi w:val="0"/>
        <w:jc w:val="center"/>
        <w:rPr>
          <w:rFonts w:ascii="Times New Roman" w:hAnsi="Times New Roman"/>
          <w:b/>
          <w:bCs/>
        </w:rPr>
      </w:pPr>
      <w:r w:rsidRPr="00B47582">
        <w:rPr>
          <w:rFonts w:ascii="Times New Roman" w:hAnsi="Times New Roman"/>
          <w:b/>
          <w:bCs/>
        </w:rPr>
        <w:t>DOLOŽKA ZLUČITEĽNOSTI</w:t>
      </w:r>
    </w:p>
    <w:p w:rsidR="00CA1300" w:rsidRPr="00B47582" w:rsidP="00CA1300">
      <w:pPr>
        <w:pBdr>
          <w:bottom w:val="single" w:sz="6" w:space="1" w:color="auto"/>
        </w:pBdr>
        <w:bidi w:val="0"/>
        <w:jc w:val="center"/>
        <w:rPr>
          <w:rFonts w:ascii="Times New Roman" w:hAnsi="Times New Roman"/>
          <w:b/>
          <w:bCs/>
        </w:rPr>
      </w:pPr>
      <w:r w:rsidRPr="00B47582">
        <w:rPr>
          <w:rFonts w:ascii="Times New Roman" w:hAnsi="Times New Roman"/>
          <w:b/>
          <w:bCs/>
        </w:rPr>
        <w:t xml:space="preserve">návrhu zákona, </w:t>
      </w:r>
      <w:r w:rsidRPr="00B47582">
        <w:rPr>
          <w:rFonts w:ascii="Times New Roman" w:hAnsi="Times New Roman"/>
          <w:b/>
        </w:rPr>
        <w:t>ktorým sa mení a dopĺňa zákon č. 595/2003 Z. z. o dani z príjmov v znení neskorších predpisov</w:t>
      </w:r>
      <w:r>
        <w:rPr>
          <w:rFonts w:ascii="Times New Roman" w:hAnsi="Times New Roman"/>
          <w:b/>
        </w:rPr>
        <w:t xml:space="preserve"> a ktorým sa menia niektoré zákony </w:t>
      </w:r>
      <w:r w:rsidRPr="00B47582">
        <w:rPr>
          <w:rFonts w:ascii="Times New Roman" w:hAnsi="Times New Roman"/>
          <w:b/>
          <w:bCs/>
        </w:rPr>
        <w:t>s právom Európskej únie</w:t>
      </w:r>
    </w:p>
    <w:p w:rsidR="00CA1300" w:rsidRPr="00B47582" w:rsidP="00CA1300">
      <w:pPr>
        <w:bidi w:val="0"/>
        <w:rPr>
          <w:rFonts w:ascii="Times New Roman" w:hAnsi="Times New Roman"/>
          <w:b/>
          <w:bCs/>
        </w:rPr>
      </w:pPr>
    </w:p>
    <w:p w:rsidR="00CA1300" w:rsidRPr="00B47582" w:rsidP="00CA1300">
      <w:pPr>
        <w:numPr>
          <w:numId w:val="4"/>
        </w:numPr>
        <w:bidi w:val="0"/>
        <w:spacing w:after="120"/>
        <w:jc w:val="both"/>
        <w:rPr>
          <w:rFonts w:ascii="Times New Roman" w:hAnsi="Times New Roman"/>
        </w:rPr>
      </w:pPr>
      <w:r w:rsidRPr="00B47582">
        <w:rPr>
          <w:rFonts w:ascii="Times New Roman" w:hAnsi="Times New Roman"/>
          <w:b/>
          <w:bCs/>
        </w:rPr>
        <w:t>Predkladateľ zákona:</w:t>
      </w:r>
    </w:p>
    <w:p w:rsidR="00CA1300" w:rsidRPr="00B47582" w:rsidP="00CA1300">
      <w:pPr>
        <w:bidi w:val="0"/>
        <w:ind w:firstLine="425"/>
        <w:jc w:val="both"/>
        <w:rPr>
          <w:rFonts w:ascii="Times New Roman" w:hAnsi="Times New Roman"/>
        </w:rPr>
      </w:pPr>
      <w:r w:rsidRPr="00B47582">
        <w:rPr>
          <w:rFonts w:ascii="Times New Roman" w:hAnsi="Times New Roman"/>
        </w:rPr>
        <w:t xml:space="preserve">Vláda Slovenskej republiky. </w:t>
      </w:r>
    </w:p>
    <w:p w:rsidR="00CA1300" w:rsidRPr="00B47582" w:rsidP="00CA1300">
      <w:pPr>
        <w:bidi w:val="0"/>
        <w:jc w:val="both"/>
        <w:rPr>
          <w:rFonts w:ascii="Times New Roman" w:hAnsi="Times New Roman"/>
          <w:b/>
          <w:bCs/>
        </w:rPr>
      </w:pPr>
    </w:p>
    <w:p w:rsidR="00CA1300" w:rsidRPr="00B47582" w:rsidP="00CA1300">
      <w:pPr>
        <w:numPr>
          <w:numId w:val="4"/>
        </w:numPr>
        <w:bidi w:val="0"/>
        <w:spacing w:after="120"/>
        <w:jc w:val="both"/>
        <w:rPr>
          <w:rFonts w:ascii="Times New Roman" w:hAnsi="Times New Roman"/>
          <w:b/>
          <w:bCs/>
        </w:rPr>
      </w:pPr>
      <w:r w:rsidRPr="00B47582">
        <w:rPr>
          <w:rFonts w:ascii="Times New Roman" w:hAnsi="Times New Roman"/>
          <w:b/>
          <w:bCs/>
        </w:rPr>
        <w:t>Názov návrhu zákona:</w:t>
      </w:r>
    </w:p>
    <w:p w:rsidR="00CA1300" w:rsidRPr="00B47582" w:rsidP="00CA1300">
      <w:pPr>
        <w:bidi w:val="0"/>
        <w:ind w:left="425"/>
        <w:jc w:val="both"/>
        <w:rPr>
          <w:rFonts w:ascii="Times New Roman" w:hAnsi="Times New Roman"/>
          <w:b/>
          <w:bCs/>
        </w:rPr>
      </w:pPr>
      <w:r w:rsidRPr="00B47582">
        <w:rPr>
          <w:rFonts w:ascii="Times New Roman" w:hAnsi="Times New Roman"/>
        </w:rPr>
        <w:t>Návrh zákona, ktorým sa mení a dopĺňa zákon č. 595/2003 Z. z. o dani z príjmov v znení neskorších predpisov</w:t>
      </w:r>
      <w:r>
        <w:rPr>
          <w:rFonts w:ascii="Times New Roman" w:hAnsi="Times New Roman"/>
        </w:rPr>
        <w:t xml:space="preserve"> a ktorým sa menia niektoré zákony</w:t>
      </w:r>
      <w:r w:rsidRPr="00B47582">
        <w:rPr>
          <w:rFonts w:ascii="Times New Roman" w:hAnsi="Times New Roman"/>
        </w:rPr>
        <w:t>.</w:t>
      </w:r>
    </w:p>
    <w:p w:rsidR="00CA1300" w:rsidRPr="00B47582" w:rsidP="00CA1300">
      <w:pPr>
        <w:bidi w:val="0"/>
        <w:jc w:val="both"/>
        <w:rPr>
          <w:rFonts w:ascii="Times New Roman" w:hAnsi="Times New Roman"/>
          <w:b/>
          <w:bCs/>
        </w:rPr>
      </w:pPr>
    </w:p>
    <w:p w:rsidR="00CA1300" w:rsidRPr="00B47582" w:rsidP="00CA1300">
      <w:pPr>
        <w:numPr>
          <w:numId w:val="4"/>
        </w:numPr>
        <w:bidi w:val="0"/>
        <w:spacing w:after="120"/>
        <w:jc w:val="both"/>
        <w:rPr>
          <w:rFonts w:ascii="Times New Roman" w:hAnsi="Times New Roman"/>
          <w:b/>
          <w:bCs/>
        </w:rPr>
      </w:pPr>
      <w:r w:rsidRPr="00B47582">
        <w:rPr>
          <w:rFonts w:ascii="Times New Roman" w:hAnsi="Times New Roman"/>
          <w:b/>
          <w:bCs/>
        </w:rPr>
        <w:t xml:space="preserve">Problematika návrhu zákona: </w:t>
      </w:r>
    </w:p>
    <w:p w:rsidR="00CA1300" w:rsidRPr="00B47582" w:rsidP="00CA1300">
      <w:pPr>
        <w:numPr>
          <w:ilvl w:val="1"/>
          <w:numId w:val="4"/>
        </w:numPr>
        <w:bidi w:val="0"/>
        <w:spacing w:after="120"/>
        <w:rPr>
          <w:rFonts w:ascii="Times New Roman" w:hAnsi="Times New Roman"/>
          <w:lang w:eastAsia="cs-CZ"/>
        </w:rPr>
      </w:pPr>
      <w:r w:rsidRPr="00B47582">
        <w:rPr>
          <w:rFonts w:ascii="Times New Roman" w:hAnsi="Times New Roman"/>
          <w:lang w:eastAsia="cs-CZ"/>
        </w:rPr>
        <w:t>je upravená v práve Európskej únie:</w:t>
      </w:r>
    </w:p>
    <w:p w:rsidR="00CA1300" w:rsidRPr="00B47582" w:rsidP="00CA1300">
      <w:pPr>
        <w:bidi w:val="0"/>
        <w:spacing w:after="120"/>
        <w:ind w:left="900" w:hanging="425"/>
        <w:rPr>
          <w:rFonts w:ascii="Times New Roman" w:hAnsi="Times New Roman"/>
          <w:b/>
          <w:bCs/>
          <w:iCs/>
          <w:lang w:eastAsia="cs-CZ"/>
        </w:rPr>
      </w:pPr>
      <w:r w:rsidRPr="00B47582">
        <w:rPr>
          <w:rFonts w:ascii="Times New Roman" w:hAnsi="Times New Roman"/>
          <w:b/>
          <w:bCs/>
          <w:iCs/>
          <w:lang w:eastAsia="cs-CZ"/>
        </w:rPr>
        <w:t xml:space="preserve">Primárne právo: </w:t>
      </w:r>
    </w:p>
    <w:p w:rsidR="00CA1300" w:rsidRPr="00B47582" w:rsidP="00CA1300">
      <w:pPr>
        <w:numPr>
          <w:numId w:val="5"/>
        </w:numPr>
        <w:bidi w:val="0"/>
        <w:spacing w:after="120"/>
        <w:rPr>
          <w:rFonts w:ascii="Times New Roman" w:hAnsi="Times New Roman"/>
          <w:lang w:eastAsia="cs-CZ"/>
        </w:rPr>
      </w:pPr>
      <w:r w:rsidRPr="00B47582">
        <w:rPr>
          <w:rFonts w:ascii="Times New Roman" w:hAnsi="Times New Roman"/>
          <w:lang w:eastAsia="cs-CZ"/>
        </w:rPr>
        <w:t>čl. 110 až 112 Zmluvy o fungovaní Európskej únie (</w:t>
      </w:r>
      <w:r w:rsidRPr="00B47582">
        <w:rPr>
          <w:rFonts w:ascii="Times New Roman" w:hAnsi="Times New Roman"/>
        </w:rPr>
        <w:t>Ú.v. EÚ C 83, 30.3. 2010),</w:t>
      </w:r>
    </w:p>
    <w:p w:rsidR="00CA1300" w:rsidRPr="00B47582" w:rsidP="00CA1300">
      <w:pPr>
        <w:pStyle w:val="BodyTextIndent"/>
        <w:bidi w:val="0"/>
        <w:ind w:left="475"/>
        <w:rPr>
          <w:rFonts w:ascii="Times New Roman" w:hAnsi="Times New Roman"/>
          <w:b/>
          <w:bCs/>
          <w:i/>
          <w:iCs/>
        </w:rPr>
      </w:pPr>
      <w:r w:rsidRPr="00B47582">
        <w:rPr>
          <w:rFonts w:ascii="Times New Roman" w:hAnsi="Times New Roman"/>
          <w:b/>
          <w:bCs/>
          <w:iCs/>
        </w:rPr>
        <w:t>Sekundárne právo</w:t>
      </w:r>
      <w:r w:rsidRPr="00B47582">
        <w:rPr>
          <w:rFonts w:ascii="Times New Roman" w:hAnsi="Times New Roman"/>
          <w:b/>
          <w:bCs/>
          <w:i/>
          <w:iCs/>
        </w:rPr>
        <w:t xml:space="preserve">  </w:t>
      </w:r>
      <w:r w:rsidRPr="00B47582">
        <w:rPr>
          <w:rFonts w:ascii="Times New Roman" w:hAnsi="Times New Roman"/>
        </w:rPr>
        <w:t>(prijaté po nadobudnutí platnosti Lisabonskej zmluvy, ktorou sa mení a dopĺňa Zmluva o Európskom spoločenstve a Zmluva o Európskej únii - po 30. novembri 2009):</w:t>
      </w:r>
    </w:p>
    <w:p w:rsidR="00CA1300" w:rsidRPr="00B47582" w:rsidP="00CA1300">
      <w:pPr>
        <w:numPr>
          <w:numId w:val="14"/>
        </w:numPr>
        <w:autoSpaceDE w:val="0"/>
        <w:autoSpaceDN w:val="0"/>
        <w:bidi w:val="0"/>
        <w:adjustRightInd w:val="0"/>
        <w:spacing w:before="120"/>
        <w:ind w:left="782" w:hanging="357"/>
        <w:jc w:val="both"/>
        <w:rPr>
          <w:rFonts w:ascii="Times New Roman" w:hAnsi="Times New Roman"/>
          <w:bCs/>
          <w:iCs/>
          <w:u w:val="single"/>
        </w:rPr>
      </w:pPr>
      <w:r w:rsidRPr="00B47582">
        <w:rPr>
          <w:rFonts w:ascii="Times New Roman" w:hAnsi="Times New Roman"/>
          <w:bCs/>
          <w:iCs/>
          <w:u w:val="single"/>
        </w:rPr>
        <w:t>legislatívne akty:</w:t>
      </w:r>
    </w:p>
    <w:p w:rsidR="00CA1300" w:rsidRPr="00B47582" w:rsidP="00CA1300">
      <w:pPr>
        <w:numPr>
          <w:numId w:val="5"/>
        </w:numPr>
        <w:autoSpaceDE w:val="0"/>
        <w:autoSpaceDN w:val="0"/>
        <w:bidi w:val="0"/>
        <w:adjustRightInd w:val="0"/>
        <w:spacing w:before="120"/>
        <w:jc w:val="both"/>
        <w:rPr>
          <w:rFonts w:ascii="Times New Roman" w:hAnsi="Times New Roman"/>
          <w:bCs/>
          <w:i/>
          <w:iCs/>
          <w:u w:val="single"/>
        </w:rPr>
      </w:pPr>
      <w:r w:rsidRPr="00B47582">
        <w:rPr>
          <w:rFonts w:ascii="Times New Roman" w:hAnsi="Times New Roman"/>
          <w:bCs/>
          <w:iCs/>
        </w:rPr>
        <w:t xml:space="preserve">smernica </w:t>
      </w:r>
      <w:r w:rsidRPr="00B47582">
        <w:rPr>
          <w:rFonts w:ascii="Times New Roman" w:hAnsi="Times New Roman"/>
          <w:bCs/>
        </w:rPr>
        <w:t xml:space="preserve">Rady </w:t>
      </w:r>
      <w:r w:rsidRPr="00B47582">
        <w:rPr>
          <w:rFonts w:ascii="Times New Roman" w:hAnsi="Times New Roman"/>
          <w:bCs/>
          <w:u w:val="single"/>
        </w:rPr>
        <w:t>2011/96/EÚ</w:t>
      </w:r>
      <w:r w:rsidRPr="00B47582">
        <w:rPr>
          <w:rFonts w:ascii="Times New Roman" w:hAnsi="Times New Roman"/>
          <w:bCs/>
        </w:rPr>
        <w:t xml:space="preserve"> z 30. novembra 2011 o spoločnom systéme zdaňovania uplatňovanom v prípade materských spoločností a dcérskych spoločností v rozličných členských štátoch   (prepracované znenie) (</w:t>
      </w:r>
      <w:r w:rsidRPr="00B47582">
        <w:rPr>
          <w:rStyle w:val="Emphasis"/>
          <w:rFonts w:ascii="Times New Roman" w:hAnsi="Times New Roman"/>
          <w:i w:val="0"/>
          <w:iCs/>
        </w:rPr>
        <w:t>Ú. v. EÚ L 345, 29.12.2011).</w:t>
      </w:r>
    </w:p>
    <w:p w:rsidR="00CA1300" w:rsidRPr="00B47582" w:rsidP="00CA1300">
      <w:pPr>
        <w:autoSpaceDE w:val="0"/>
        <w:autoSpaceDN w:val="0"/>
        <w:bidi w:val="0"/>
        <w:adjustRightInd w:val="0"/>
        <w:ind w:left="454"/>
        <w:jc w:val="both"/>
        <w:rPr>
          <w:rFonts w:ascii="Times New Roman" w:hAnsi="Times New Roman"/>
          <w:b/>
          <w:bCs/>
          <w:iCs/>
        </w:rPr>
      </w:pPr>
    </w:p>
    <w:p w:rsidR="00CA1300" w:rsidRPr="00B47582" w:rsidP="00CA1300">
      <w:pPr>
        <w:autoSpaceDE w:val="0"/>
        <w:autoSpaceDN w:val="0"/>
        <w:bidi w:val="0"/>
        <w:adjustRightInd w:val="0"/>
        <w:ind w:left="454"/>
        <w:jc w:val="both"/>
        <w:rPr>
          <w:rFonts w:ascii="Times New Roman" w:hAnsi="Times New Roman"/>
        </w:rPr>
      </w:pPr>
      <w:r w:rsidRPr="00B47582">
        <w:rPr>
          <w:rFonts w:ascii="Times New Roman" w:hAnsi="Times New Roman"/>
          <w:b/>
          <w:bCs/>
          <w:iCs/>
        </w:rPr>
        <w:t xml:space="preserve">Sekundárne právo </w:t>
      </w:r>
      <w:r w:rsidRPr="00B47582">
        <w:rPr>
          <w:rFonts w:ascii="Times New Roman" w:hAnsi="Times New Roman"/>
        </w:rPr>
        <w:t>(prijaté pred nadobudnutím platnosti Lisabonskej zmluvy, ktorou sa mení a dopĺňa Zmluva o Európskom spoločenstve a Zmluva o Európskej únii - do 30. novembra 2009):</w:t>
      </w:r>
    </w:p>
    <w:p w:rsidR="00CA1300" w:rsidRPr="00B47582" w:rsidP="00CA1300">
      <w:pPr>
        <w:autoSpaceDE w:val="0"/>
        <w:autoSpaceDN w:val="0"/>
        <w:bidi w:val="0"/>
        <w:adjustRightInd w:val="0"/>
        <w:ind w:left="454"/>
        <w:rPr>
          <w:rFonts w:ascii="Times New Roman" w:hAnsi="Times New Roman"/>
          <w:b/>
          <w:bCs/>
          <w:iCs/>
        </w:rPr>
      </w:pPr>
    </w:p>
    <w:p w:rsidR="00CA1300" w:rsidRPr="00B47582" w:rsidP="00CA1300">
      <w:pPr>
        <w:numPr>
          <w:numId w:val="6"/>
        </w:numPr>
        <w:bidi w:val="0"/>
        <w:adjustRightInd w:val="0"/>
        <w:spacing w:after="120"/>
        <w:jc w:val="both"/>
        <w:rPr>
          <w:rFonts w:ascii="Times New Roman" w:hAnsi="Times New Roman"/>
        </w:rPr>
      </w:pPr>
      <w:r w:rsidRPr="00B47582">
        <w:rPr>
          <w:rFonts w:ascii="Times New Roman" w:hAnsi="Times New Roman"/>
          <w:bCs/>
        </w:rPr>
        <w:t xml:space="preserve">smernica Rady </w:t>
      </w:r>
      <w:r w:rsidRPr="00B47582">
        <w:rPr>
          <w:rFonts w:ascii="Times New Roman" w:hAnsi="Times New Roman"/>
          <w:bCs/>
          <w:u w:val="single"/>
        </w:rPr>
        <w:t>2003/48/ES</w:t>
      </w:r>
      <w:r w:rsidRPr="00B47582">
        <w:rPr>
          <w:rFonts w:ascii="Times New Roman" w:hAnsi="Times New Roman"/>
          <w:bCs/>
        </w:rPr>
        <w:t xml:space="preserve"> z 3. júna 2003 </w:t>
      </w:r>
      <w:r w:rsidRPr="00B47582">
        <w:rPr>
          <w:rFonts w:ascii="Times New Roman" w:hAnsi="Times New Roman"/>
        </w:rPr>
        <w:t xml:space="preserve">o zdaňovaní príjmu z úspor v podobe výplaty úrokov  </w:t>
      </w:r>
      <w:r w:rsidRPr="00B47582">
        <w:rPr>
          <w:rFonts w:ascii="Times New Roman" w:hAnsi="Times New Roman"/>
          <w:color w:val="000000"/>
        </w:rPr>
        <w:t>(</w:t>
      </w:r>
      <w:r w:rsidRPr="00B47582">
        <w:rPr>
          <w:rFonts w:ascii="Times New Roman" w:hAnsi="Times New Roman"/>
        </w:rPr>
        <w:t xml:space="preserve">Mimoriadne vydanie </w:t>
      </w:r>
      <w:r w:rsidRPr="00B47582">
        <w:rPr>
          <w:rFonts w:ascii="Times New Roman" w:hAnsi="Times New Roman"/>
          <w:color w:val="000000"/>
        </w:rPr>
        <w:t>Ú.v.</w:t>
      </w:r>
      <w:r w:rsidRPr="00B47582">
        <w:rPr>
          <w:rFonts w:ascii="Times New Roman" w:hAnsi="Times New Roman"/>
          <w:i/>
          <w:iCs/>
          <w:color w:val="000000"/>
        </w:rPr>
        <w:t xml:space="preserve"> </w:t>
      </w:r>
      <w:r w:rsidRPr="00B47582">
        <w:rPr>
          <w:rFonts w:ascii="Times New Roman" w:hAnsi="Times New Roman"/>
        </w:rPr>
        <w:t>EÚ, kap.  9/ zv. 1) v platnom znení,</w:t>
      </w:r>
    </w:p>
    <w:p w:rsidR="00CA1300" w:rsidRPr="00B47582" w:rsidP="00CA1300">
      <w:pPr>
        <w:numPr>
          <w:numId w:val="7"/>
        </w:numPr>
        <w:bidi w:val="0"/>
        <w:adjustRightInd w:val="0"/>
        <w:spacing w:after="120"/>
        <w:jc w:val="both"/>
        <w:rPr>
          <w:rFonts w:ascii="Times New Roman" w:hAnsi="Times New Roman"/>
        </w:rPr>
      </w:pPr>
      <w:r w:rsidRPr="00B47582">
        <w:rPr>
          <w:rFonts w:ascii="Times New Roman" w:hAnsi="Times New Roman"/>
          <w:bCs/>
        </w:rPr>
        <w:t xml:space="preserve">smernica Rady </w:t>
      </w:r>
      <w:r w:rsidRPr="00B47582">
        <w:rPr>
          <w:rFonts w:ascii="Times New Roman" w:hAnsi="Times New Roman"/>
          <w:bCs/>
          <w:u w:val="single"/>
        </w:rPr>
        <w:t>2003/49/ES</w:t>
      </w:r>
      <w:r w:rsidRPr="00B47582">
        <w:rPr>
          <w:rFonts w:ascii="Times New Roman" w:hAnsi="Times New Roman"/>
          <w:bCs/>
        </w:rPr>
        <w:t xml:space="preserve"> z 3. júna 2003 o spoločnom systéme zdaňovania uplatňovanom na výplaty úrokov a licenčných poplatkov medzi združenými spoločnosťami rôznych členských štátov  </w:t>
      </w:r>
      <w:r w:rsidRPr="00B47582">
        <w:rPr>
          <w:rFonts w:ascii="Times New Roman" w:hAnsi="Times New Roman"/>
          <w:color w:val="000000"/>
        </w:rPr>
        <w:t>(</w:t>
      </w:r>
      <w:r w:rsidRPr="00B47582">
        <w:rPr>
          <w:rFonts w:ascii="Times New Roman" w:hAnsi="Times New Roman"/>
        </w:rPr>
        <w:t xml:space="preserve">Mimoriadne vydanie </w:t>
      </w:r>
      <w:r w:rsidRPr="00B47582">
        <w:rPr>
          <w:rFonts w:ascii="Times New Roman" w:hAnsi="Times New Roman"/>
          <w:color w:val="000000"/>
        </w:rPr>
        <w:t>Ú.v.</w:t>
      </w:r>
      <w:r w:rsidRPr="00B47582">
        <w:rPr>
          <w:rFonts w:ascii="Times New Roman" w:hAnsi="Times New Roman"/>
          <w:i/>
          <w:iCs/>
          <w:color w:val="000000"/>
        </w:rPr>
        <w:t xml:space="preserve"> </w:t>
      </w:r>
      <w:r w:rsidRPr="00B47582">
        <w:rPr>
          <w:rFonts w:ascii="Times New Roman" w:hAnsi="Times New Roman"/>
        </w:rPr>
        <w:t>EÚ, kap. 9/ zv. 1) v platnom znení,</w:t>
      </w:r>
    </w:p>
    <w:p w:rsidR="00CA1300" w:rsidRPr="00B47582" w:rsidP="00CA1300">
      <w:pPr>
        <w:numPr>
          <w:numId w:val="7"/>
        </w:numPr>
        <w:bidi w:val="0"/>
        <w:adjustRightInd w:val="0"/>
        <w:spacing w:after="120"/>
        <w:jc w:val="both"/>
        <w:rPr>
          <w:rFonts w:ascii="Times New Roman" w:hAnsi="Times New Roman"/>
        </w:rPr>
      </w:pPr>
      <w:r w:rsidRPr="00B47582">
        <w:rPr>
          <w:rFonts w:ascii="Times New Roman" w:hAnsi="Times New Roman"/>
        </w:rPr>
        <w:t xml:space="preserve">smernica Rady </w:t>
      </w:r>
      <w:r w:rsidRPr="00B47582">
        <w:rPr>
          <w:rFonts w:ascii="Times New Roman" w:hAnsi="Times New Roman"/>
          <w:u w:val="single"/>
        </w:rPr>
        <w:t>2008/7/ES</w:t>
      </w:r>
      <w:r w:rsidRPr="00B47582">
        <w:rPr>
          <w:rFonts w:ascii="Times New Roman" w:hAnsi="Times New Roman"/>
        </w:rPr>
        <w:t xml:space="preserve"> z 12. februára 2008 o nepriamych daniach z navyšovania kapitálu ( Ú. v. EÚ L 46, 21.2. 2008),</w:t>
      </w:r>
    </w:p>
    <w:p w:rsidR="00CA1300" w:rsidRPr="00B47582" w:rsidP="00CA1300">
      <w:pPr>
        <w:numPr>
          <w:numId w:val="13"/>
        </w:numPr>
        <w:tabs>
          <w:tab w:val="clear" w:pos="360"/>
          <w:tab w:val="num" w:pos="851"/>
        </w:tabs>
        <w:bidi w:val="0"/>
        <w:spacing w:before="150" w:after="150"/>
        <w:ind w:left="851" w:hanging="284"/>
        <w:jc w:val="both"/>
        <w:rPr>
          <w:rFonts w:ascii="Times New Roman" w:hAnsi="Times New Roman"/>
        </w:rPr>
      </w:pPr>
      <w:r w:rsidRPr="00B47582">
        <w:rPr>
          <w:rFonts w:ascii="Times New Roman" w:hAnsi="Times New Roman"/>
        </w:rPr>
        <w:t xml:space="preserve">smernica Rady </w:t>
      </w:r>
      <w:r w:rsidRPr="00B47582">
        <w:rPr>
          <w:rFonts w:ascii="Times New Roman" w:hAnsi="Times New Roman"/>
          <w:u w:val="single"/>
        </w:rPr>
        <w:t>2009/133/ES</w:t>
      </w:r>
      <w:r w:rsidRPr="00B47582">
        <w:rPr>
          <w:rFonts w:ascii="Times New Roman" w:hAnsi="Times New Roman"/>
        </w:rPr>
        <w:t xml:space="preserve"> z  19. októbra 2009 o spoločnom systéme zdaňovania, uplatniteľnom pri zlučovaní, rozdeľovaní, čiastočnom rozdeľovaní, prevode aktív a výmene akcií spoločností rôznych členských štátov a pri premiestnení sídla SE alebo SCE medzi členskými štátmi (Ú. v. EÚ L 310, 25.11. 2009). </w:t>
      </w:r>
    </w:p>
    <w:p w:rsidR="00CA1300" w:rsidRPr="00B47582" w:rsidP="00CA1300">
      <w:pPr>
        <w:bidi w:val="0"/>
        <w:adjustRightInd w:val="0"/>
        <w:spacing w:after="120"/>
        <w:ind w:left="870"/>
        <w:jc w:val="both"/>
        <w:rPr>
          <w:rFonts w:ascii="Times New Roman" w:hAnsi="Times New Roman"/>
        </w:rPr>
      </w:pPr>
    </w:p>
    <w:p w:rsidR="00CA1300" w:rsidRPr="00B47582" w:rsidP="00CA1300">
      <w:pPr>
        <w:numPr>
          <w:ilvl w:val="1"/>
          <w:numId w:val="4"/>
        </w:numPr>
        <w:bidi w:val="0"/>
        <w:spacing w:after="120"/>
        <w:rPr>
          <w:rFonts w:ascii="Times New Roman" w:hAnsi="Times New Roman"/>
          <w:lang w:eastAsia="cs-CZ"/>
        </w:rPr>
      </w:pPr>
      <w:r w:rsidRPr="00B47582">
        <w:rPr>
          <w:rFonts w:ascii="Times New Roman" w:hAnsi="Times New Roman"/>
          <w:lang w:eastAsia="cs-CZ"/>
        </w:rPr>
        <w:t>je obsiahnutá v judikatúre Súdneho dvora Európskej únie:</w:t>
      </w:r>
    </w:p>
    <w:p w:rsidR="00CA1300" w:rsidRPr="00B47582" w:rsidP="00CA1300">
      <w:pPr>
        <w:numPr>
          <w:numId w:val="8"/>
        </w:numPr>
        <w:bidi w:val="0"/>
        <w:spacing w:after="120"/>
        <w:jc w:val="both"/>
        <w:rPr>
          <w:rFonts w:ascii="Times New Roman" w:hAnsi="Times New Roman"/>
          <w:color w:val="000000"/>
        </w:rPr>
      </w:pPr>
      <w:r w:rsidRPr="00B47582">
        <w:rPr>
          <w:rFonts w:ascii="Times New Roman" w:hAnsi="Times New Roman"/>
          <w:color w:val="000000"/>
        </w:rPr>
        <w:t xml:space="preserve">rozhodnutie Súdneho dvora vo veci C - 28/95, </w:t>
      </w:r>
      <w:r w:rsidRPr="00B47582">
        <w:rPr>
          <w:rFonts w:ascii="Times New Roman" w:hAnsi="Times New Roman"/>
          <w:bCs/>
          <w:color w:val="000000"/>
        </w:rPr>
        <w:t>A.Leur-Bloem v. Inspecteur der Belastingdienst/Ondernemingen Amsterdam 2</w:t>
      </w:r>
      <w:r w:rsidRPr="00B47582">
        <w:rPr>
          <w:rFonts w:ascii="Times New Roman" w:hAnsi="Times New Roman"/>
          <w:color w:val="000000"/>
        </w:rPr>
        <w:t>, rok 1997,</w:t>
      </w:r>
    </w:p>
    <w:p w:rsidR="00CA1300" w:rsidRPr="00B47582" w:rsidP="00CA1300">
      <w:pPr>
        <w:numPr>
          <w:numId w:val="9"/>
        </w:numPr>
        <w:bidi w:val="0"/>
        <w:spacing w:after="120"/>
        <w:jc w:val="both"/>
        <w:rPr>
          <w:rFonts w:ascii="Times New Roman" w:hAnsi="Times New Roman"/>
          <w:color w:val="000000"/>
        </w:rPr>
      </w:pPr>
      <w:r w:rsidRPr="00B47582">
        <w:rPr>
          <w:rFonts w:ascii="Times New Roman" w:hAnsi="Times New Roman"/>
          <w:color w:val="000000"/>
        </w:rPr>
        <w:t xml:space="preserve">rozhodnutie Súdneho dvora vo veci C - 43/2000, Andersen og Jensen ApS v. Skatteministeriet, rok 2002, </w:t>
      </w:r>
    </w:p>
    <w:p w:rsidR="00CA1300" w:rsidRPr="00B47582" w:rsidP="00CA1300">
      <w:pPr>
        <w:numPr>
          <w:numId w:val="10"/>
        </w:numPr>
        <w:bidi w:val="0"/>
        <w:spacing w:after="120"/>
        <w:jc w:val="both"/>
        <w:rPr>
          <w:rFonts w:ascii="Times New Roman" w:hAnsi="Times New Roman"/>
          <w:color w:val="000000"/>
        </w:rPr>
      </w:pPr>
      <w:r w:rsidRPr="00B47582">
        <w:rPr>
          <w:rFonts w:ascii="Times New Roman" w:hAnsi="Times New Roman"/>
          <w:color w:val="000000"/>
        </w:rPr>
        <w:t>rozhodnutie Súdneho dvora vo veci C - 522/04, Európska komisia v. Belgické kráľovstvo, rok  2007,</w:t>
      </w:r>
    </w:p>
    <w:p w:rsidR="00CA1300" w:rsidRPr="00B47582" w:rsidP="00CA1300">
      <w:pPr>
        <w:numPr>
          <w:numId w:val="11"/>
        </w:numPr>
        <w:bidi w:val="0"/>
        <w:spacing w:after="120"/>
        <w:jc w:val="both"/>
        <w:rPr>
          <w:rFonts w:ascii="Times New Roman" w:hAnsi="Times New Roman"/>
          <w:color w:val="000000"/>
          <w:lang w:val="cs-CZ"/>
        </w:rPr>
      </w:pPr>
      <w:r w:rsidRPr="00B47582">
        <w:rPr>
          <w:rFonts w:ascii="Times New Roman" w:hAnsi="Times New Roman"/>
          <w:color w:val="000000"/>
        </w:rPr>
        <w:t>rozhodnutie Súdneho dvora vo veci C - 294/99, Athinaïki Zythopoiia AE v. Elliniko Dimosio, rok  2001</w:t>
      </w:r>
      <w:r w:rsidRPr="00B47582">
        <w:rPr>
          <w:rFonts w:ascii="Times New Roman" w:hAnsi="Times New Roman"/>
          <w:color w:val="000000"/>
          <w:lang w:val="cs-CZ"/>
        </w:rPr>
        <w:t>.</w:t>
      </w:r>
    </w:p>
    <w:p w:rsidR="00CA1300" w:rsidRPr="00B47582" w:rsidP="00CA1300">
      <w:pPr>
        <w:bidi w:val="0"/>
        <w:ind w:left="425"/>
        <w:rPr>
          <w:rFonts w:ascii="Times New Roman" w:hAnsi="Times New Roman"/>
          <w:lang w:eastAsia="cs-CZ"/>
        </w:rPr>
      </w:pPr>
    </w:p>
    <w:p w:rsidR="00CA1300" w:rsidRPr="00B47582" w:rsidP="00CA1300">
      <w:pPr>
        <w:numPr>
          <w:numId w:val="4"/>
        </w:numPr>
        <w:bidi w:val="0"/>
        <w:spacing w:after="120"/>
        <w:jc w:val="both"/>
        <w:rPr>
          <w:rFonts w:ascii="Times New Roman" w:hAnsi="Times New Roman"/>
          <w:b/>
          <w:bCs/>
        </w:rPr>
      </w:pPr>
      <w:r w:rsidRPr="00B47582">
        <w:rPr>
          <w:rFonts w:ascii="Times New Roman" w:hAnsi="Times New Roman"/>
          <w:b/>
          <w:bCs/>
        </w:rPr>
        <w:t>Záväzky Slovenskej republiky vo vzťahu k Európskej únii:</w:t>
      </w:r>
    </w:p>
    <w:p w:rsidR="00CA1300" w:rsidRPr="00B47582" w:rsidP="00CA1300">
      <w:pPr>
        <w:numPr>
          <w:numId w:val="12"/>
        </w:numPr>
        <w:tabs>
          <w:tab w:val="left" w:pos="425"/>
          <w:tab w:val="clear" w:pos="720"/>
        </w:tabs>
        <w:bidi w:val="0"/>
        <w:spacing w:after="120"/>
        <w:ind w:left="425" w:hanging="425"/>
        <w:jc w:val="both"/>
        <w:rPr>
          <w:rFonts w:ascii="Times New Roman" w:hAnsi="Times New Roman"/>
          <w:lang w:eastAsia="cs-CZ"/>
        </w:rPr>
      </w:pPr>
      <w:r w:rsidRPr="00B47582">
        <w:rPr>
          <w:rFonts w:ascii="Times New Roman" w:hAnsi="Times New Roman"/>
          <w:lang w:eastAsia="cs-CZ"/>
        </w:rPr>
        <w:t>Lehota na prebratie smernice 2011/96/EÚ je do 18.1. 2012.</w:t>
      </w:r>
    </w:p>
    <w:p w:rsidR="00CA1300" w:rsidRPr="00B47582" w:rsidP="00CA1300">
      <w:pPr>
        <w:numPr>
          <w:numId w:val="12"/>
        </w:numPr>
        <w:tabs>
          <w:tab w:val="left" w:pos="425"/>
          <w:tab w:val="clear" w:pos="720"/>
        </w:tabs>
        <w:bidi w:val="0"/>
        <w:spacing w:after="120"/>
        <w:ind w:left="425" w:hanging="425"/>
        <w:jc w:val="both"/>
        <w:rPr>
          <w:rFonts w:ascii="Times New Roman" w:hAnsi="Times New Roman"/>
          <w:lang w:eastAsia="cs-CZ"/>
        </w:rPr>
      </w:pPr>
      <w:r w:rsidRPr="00B47582">
        <w:rPr>
          <w:rFonts w:ascii="Times New Roman" w:hAnsi="Times New Roman"/>
          <w:lang w:eastAsia="cs-CZ"/>
        </w:rPr>
        <w:t>Lehota na predloženie návrhu právneho predpisu na rokovanie vlády podľa určenia gestorských ústredných orgánov štátnej správy zodpovedných za transpozíciu smerníc a vypracovanie tabuliek zhody k návrhom všeobecne záväzných právnych predpisov je pre smernicu 2011/96/EÚ určená bezodkladne.</w:t>
      </w:r>
    </w:p>
    <w:p w:rsidR="00CA1300" w:rsidRPr="00B47582" w:rsidP="00CA1300">
      <w:pPr>
        <w:numPr>
          <w:numId w:val="12"/>
        </w:numPr>
        <w:tabs>
          <w:tab w:val="left" w:pos="425"/>
          <w:tab w:val="clear" w:pos="720"/>
        </w:tabs>
        <w:bidi w:val="0"/>
        <w:spacing w:after="120"/>
        <w:ind w:left="425" w:hanging="425"/>
        <w:jc w:val="both"/>
        <w:rPr>
          <w:rFonts w:ascii="Times New Roman" w:hAnsi="Times New Roman"/>
          <w:lang w:eastAsia="cs-CZ"/>
        </w:rPr>
      </w:pPr>
      <w:r w:rsidRPr="00B47582">
        <w:rPr>
          <w:rFonts w:ascii="Times New Roman" w:hAnsi="Times New Roman"/>
          <w:lang w:eastAsia="cs-CZ"/>
        </w:rPr>
        <w:t>Proti SR nebolo začaté konanie o porušení Zmluvy o fungovaní Európskej únie podľa čl. 258 až 260 Zmluvy o fungovaní Európskej únie.</w:t>
      </w:r>
    </w:p>
    <w:p w:rsidR="00CA1300" w:rsidRPr="00B47582" w:rsidP="00CA1300">
      <w:pPr>
        <w:numPr>
          <w:numId w:val="12"/>
        </w:numPr>
        <w:tabs>
          <w:tab w:val="left" w:pos="425"/>
          <w:tab w:val="clear" w:pos="720"/>
        </w:tabs>
        <w:bidi w:val="0"/>
        <w:ind w:left="425" w:hanging="425"/>
        <w:jc w:val="both"/>
        <w:rPr>
          <w:rFonts w:ascii="Times New Roman" w:hAnsi="Times New Roman"/>
          <w:lang w:eastAsia="cs-CZ"/>
        </w:rPr>
      </w:pPr>
      <w:r w:rsidRPr="00B47582">
        <w:rPr>
          <w:rFonts w:ascii="Times New Roman" w:hAnsi="Times New Roman"/>
          <w:lang w:eastAsia="cs-CZ"/>
        </w:rPr>
        <w:t>Bezpredmetné.</w:t>
      </w:r>
    </w:p>
    <w:p w:rsidR="00CA1300" w:rsidRPr="00B47582" w:rsidP="00CA1300">
      <w:pPr>
        <w:tabs>
          <w:tab w:val="left" w:pos="425"/>
        </w:tabs>
        <w:bidi w:val="0"/>
        <w:ind w:left="425"/>
        <w:jc w:val="both"/>
        <w:rPr>
          <w:rFonts w:ascii="Times New Roman" w:hAnsi="Times New Roman"/>
          <w:lang w:eastAsia="cs-CZ"/>
        </w:rPr>
      </w:pPr>
    </w:p>
    <w:p w:rsidR="00CA1300" w:rsidRPr="00B47582" w:rsidP="00CA1300">
      <w:pPr>
        <w:numPr>
          <w:numId w:val="4"/>
        </w:numPr>
        <w:bidi w:val="0"/>
        <w:spacing w:after="120"/>
        <w:jc w:val="both"/>
        <w:rPr>
          <w:rFonts w:ascii="Times New Roman" w:hAnsi="Times New Roman"/>
          <w:b/>
          <w:bCs/>
        </w:rPr>
      </w:pPr>
      <w:r w:rsidRPr="00B47582">
        <w:rPr>
          <w:rFonts w:ascii="Times New Roman" w:hAnsi="Times New Roman"/>
          <w:b/>
          <w:bCs/>
        </w:rPr>
        <w:t>Stupeň zlučiteľnosti návrhu zákona s právom Európskej únie:</w:t>
      </w:r>
    </w:p>
    <w:p w:rsidR="00CA1300" w:rsidRPr="00B47582" w:rsidP="00CA1300">
      <w:pPr>
        <w:bidi w:val="0"/>
        <w:spacing w:after="120"/>
        <w:ind w:left="425" w:hanging="425"/>
        <w:jc w:val="both"/>
        <w:rPr>
          <w:rFonts w:ascii="Times New Roman" w:hAnsi="Times New Roman"/>
        </w:rPr>
      </w:pPr>
      <w:r w:rsidRPr="00B47582">
        <w:rPr>
          <w:rFonts w:ascii="Times New Roman" w:hAnsi="Times New Roman"/>
        </w:rPr>
        <w:tab/>
        <w:t>Úplný.</w:t>
      </w:r>
    </w:p>
    <w:p w:rsidR="00CA1300" w:rsidRPr="00B47582" w:rsidP="00CA1300">
      <w:pPr>
        <w:numPr>
          <w:numId w:val="4"/>
        </w:numPr>
        <w:bidi w:val="0"/>
        <w:spacing w:after="120"/>
        <w:jc w:val="both"/>
        <w:rPr>
          <w:rFonts w:ascii="Times New Roman" w:hAnsi="Times New Roman"/>
          <w:b/>
          <w:bCs/>
        </w:rPr>
      </w:pPr>
      <w:r w:rsidRPr="00B47582">
        <w:rPr>
          <w:rFonts w:ascii="Times New Roman" w:hAnsi="Times New Roman"/>
          <w:b/>
          <w:bCs/>
        </w:rPr>
        <w:t xml:space="preserve">Gestor a spolupracujúce rezorty: </w:t>
      </w:r>
    </w:p>
    <w:p w:rsidR="00CA1300" w:rsidRPr="00B47582" w:rsidP="00CA1300">
      <w:pPr>
        <w:bidi w:val="0"/>
        <w:spacing w:after="120"/>
        <w:ind w:left="360"/>
        <w:jc w:val="both"/>
        <w:rPr>
          <w:rFonts w:ascii="Times New Roman" w:hAnsi="Times New Roman"/>
          <w:b/>
          <w:bCs/>
        </w:rPr>
      </w:pPr>
      <w:r w:rsidRPr="00B47582">
        <w:rPr>
          <w:rFonts w:ascii="Times New Roman" w:hAnsi="Times New Roman"/>
        </w:rPr>
        <w:t xml:space="preserve"> Ministerstvo financií Slovenskej republiky.</w:t>
      </w:r>
    </w:p>
    <w:p w:rsidR="00CA1300" w:rsidRPr="00B47582" w:rsidP="00CA1300">
      <w:pPr>
        <w:bidi w:val="0"/>
        <w:jc w:val="both"/>
        <w:rPr>
          <w:rFonts w:ascii="Times New Roman" w:hAnsi="Times New Roman"/>
        </w:rPr>
      </w:pPr>
    </w:p>
    <w:p w:rsidR="00CA1300">
      <w:pPr>
        <w:bidi w:val="0"/>
        <w:rPr>
          <w:rFonts w:ascii="Times New Roman" w:hAnsi="Times New Roman"/>
        </w:rPr>
      </w:pPr>
    </w:p>
    <w:p w:rsidR="00CA1300">
      <w:pPr>
        <w:bidi w:val="0"/>
        <w:rPr>
          <w:rFonts w:ascii="Times New Roman" w:hAnsi="Times New Roman"/>
        </w:rPr>
      </w:pPr>
    </w:p>
    <w:p w:rsidR="00CA1300">
      <w:pPr>
        <w:bidi w:val="0"/>
        <w:rPr>
          <w:rFonts w:ascii="Times New Roman" w:hAnsi="Times New Roman"/>
        </w:rPr>
      </w:pPr>
    </w:p>
    <w:p w:rsidR="00CA1300">
      <w:pPr>
        <w:bidi w:val="0"/>
        <w:rPr>
          <w:rFonts w:ascii="Times New Roman" w:hAnsi="Times New Roman"/>
        </w:rPr>
      </w:pPr>
    </w:p>
    <w:p w:rsidR="00CA1300">
      <w:pPr>
        <w:bidi w:val="0"/>
        <w:rPr>
          <w:rFonts w:ascii="Times New Roman" w:hAnsi="Times New Roman"/>
        </w:rPr>
      </w:pPr>
    </w:p>
    <w:p w:rsidR="00CA1300">
      <w:pPr>
        <w:bidi w:val="0"/>
        <w:rPr>
          <w:rFonts w:ascii="Times New Roman" w:hAnsi="Times New Roman"/>
        </w:rPr>
      </w:pPr>
    </w:p>
    <w:p w:rsidR="00CA1300">
      <w:pPr>
        <w:bidi w:val="0"/>
        <w:rPr>
          <w:rFonts w:ascii="Times New Roman" w:hAnsi="Times New Roman"/>
        </w:rPr>
      </w:pPr>
    </w:p>
    <w:p w:rsidR="00CA1300">
      <w:pPr>
        <w:bidi w:val="0"/>
        <w:rPr>
          <w:rFonts w:ascii="Times New Roman" w:hAnsi="Times New Roman"/>
        </w:rPr>
      </w:pPr>
    </w:p>
    <w:p w:rsidR="00CA1300">
      <w:pPr>
        <w:bidi w:val="0"/>
        <w:rPr>
          <w:rFonts w:ascii="Times New Roman" w:hAnsi="Times New Roman"/>
        </w:rPr>
      </w:pPr>
    </w:p>
    <w:p w:rsidR="00CA1300">
      <w:pPr>
        <w:bidi w:val="0"/>
        <w:rPr>
          <w:rFonts w:ascii="Times New Roman" w:hAnsi="Times New Roman"/>
        </w:rPr>
      </w:pPr>
    </w:p>
    <w:p w:rsidR="00CA1300">
      <w:pPr>
        <w:bidi w:val="0"/>
        <w:rPr>
          <w:rFonts w:ascii="Times New Roman" w:hAnsi="Times New Roman"/>
        </w:rPr>
      </w:pPr>
    </w:p>
    <w:p w:rsidR="00CA1300">
      <w:pPr>
        <w:bidi w:val="0"/>
        <w:rPr>
          <w:rFonts w:ascii="Times New Roman" w:hAnsi="Times New Roman"/>
        </w:rPr>
      </w:pPr>
    </w:p>
    <w:p w:rsidR="00CA1300">
      <w:pPr>
        <w:bidi w:val="0"/>
        <w:rPr>
          <w:rFonts w:ascii="Times New Roman" w:hAnsi="Times New Roman"/>
        </w:rPr>
      </w:pPr>
    </w:p>
    <w:p w:rsidR="00CA1300">
      <w:pPr>
        <w:bidi w:val="0"/>
        <w:rPr>
          <w:rFonts w:ascii="Times New Roman" w:hAnsi="Times New Roman"/>
        </w:rPr>
      </w:pPr>
    </w:p>
    <w:p w:rsidR="00CA1300">
      <w:pPr>
        <w:bidi w:val="0"/>
        <w:rPr>
          <w:rFonts w:ascii="Times New Roman" w:hAnsi="Times New Roman"/>
        </w:rPr>
        <w:sectPr w:rsidSect="00CA1300">
          <w:pgSz w:w="11906" w:h="16838"/>
          <w:pgMar w:top="1417" w:right="1417" w:bottom="1417" w:left="1417" w:header="709" w:footer="709" w:gutter="0"/>
          <w:lnNumType w:distance="0"/>
          <w:cols w:space="708"/>
          <w:noEndnote w:val="0"/>
          <w:bidi w:val="0"/>
          <w:docGrid w:linePitch="360"/>
        </w:sectPr>
      </w:pPr>
    </w:p>
    <w:tbl>
      <w:tblPr>
        <w:tblStyle w:val="TableNormal"/>
        <w:tblW w:w="15884" w:type="dxa"/>
        <w:tblInd w:w="-1382"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299"/>
        <w:gridCol w:w="567"/>
        <w:gridCol w:w="851"/>
        <w:gridCol w:w="708"/>
        <w:gridCol w:w="5387"/>
        <w:gridCol w:w="709"/>
        <w:gridCol w:w="743"/>
      </w:tblGrid>
      <w:tr>
        <w:tblPrEx>
          <w:tblW w:w="15884" w:type="dxa"/>
          <w:tblInd w:w="-1382"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5884" w:type="dxa"/>
            <w:gridSpan w:val="9"/>
            <w:tcBorders>
              <w:top w:val="single" w:sz="12" w:space="0" w:color="auto"/>
              <w:left w:val="single" w:sz="12" w:space="0" w:color="auto"/>
              <w:bottom w:val="single" w:sz="4" w:space="0" w:color="auto"/>
              <w:right w:val="single" w:sz="12" w:space="0" w:color="auto"/>
            </w:tcBorders>
            <w:textDirection w:val="lrTb"/>
            <w:vAlign w:val="top"/>
          </w:tcPr>
          <w:p w:rsidR="00CA1300" w:rsidRPr="007D0941" w:rsidP="00B322CC">
            <w:pPr>
              <w:pStyle w:val="Heading1"/>
              <w:tabs>
                <w:tab w:val="left" w:pos="1382"/>
              </w:tabs>
              <w:bidi w:val="0"/>
              <w:ind w:left="1098"/>
              <w:rPr>
                <w:rFonts w:ascii="Arial Narrow" w:hAnsi="Arial Narrow"/>
                <w:kern w:val="0"/>
                <w:sz w:val="22"/>
                <w:szCs w:val="22"/>
              </w:rPr>
            </w:pPr>
            <w:r w:rsidRPr="007D0941">
              <w:rPr>
                <w:rFonts w:ascii="Arial Narrow" w:hAnsi="Arial Narrow"/>
                <w:kern w:val="0"/>
                <w:sz w:val="22"/>
                <w:szCs w:val="22"/>
              </w:rPr>
              <w:t>TABUĽKA  ZHODY</w:t>
            </w:r>
          </w:p>
          <w:p w:rsidR="00CA1300" w:rsidRPr="007D0941" w:rsidP="00CA1300">
            <w:pPr>
              <w:pStyle w:val="Heading1"/>
              <w:bidi w:val="0"/>
              <w:spacing w:after="120"/>
              <w:rPr>
                <w:rFonts w:ascii="Arial Narrow" w:hAnsi="Arial Narrow"/>
                <w:bCs w:val="0"/>
                <w:kern w:val="0"/>
                <w:sz w:val="22"/>
                <w:szCs w:val="22"/>
              </w:rPr>
            </w:pPr>
            <w:r w:rsidRPr="007D0941">
              <w:rPr>
                <w:rFonts w:ascii="Arial Narrow" w:hAnsi="Arial Narrow"/>
                <w:bCs w:val="0"/>
                <w:kern w:val="0"/>
                <w:sz w:val="22"/>
                <w:szCs w:val="22"/>
              </w:rPr>
              <w:t xml:space="preserve">k návrhu zákona, </w:t>
            </w:r>
            <w:r w:rsidRPr="007D0941">
              <w:rPr>
                <w:rFonts w:ascii="Arial Narrow" w:hAnsi="Arial Narrow"/>
                <w:kern w:val="0"/>
                <w:sz w:val="22"/>
                <w:szCs w:val="22"/>
              </w:rPr>
              <w:t>ktorým sa mení a dopĺňa zákon č. 595/2003 Z.z. o dani z príjmov v znení neskorších predpisov</w:t>
            </w:r>
            <w:r>
              <w:rPr>
                <w:rFonts w:ascii="Arial Narrow" w:hAnsi="Arial Narrow"/>
                <w:kern w:val="0"/>
                <w:sz w:val="22"/>
                <w:szCs w:val="22"/>
              </w:rPr>
              <w:t xml:space="preserve"> a ktorým sa menia niektoré zákony</w:t>
            </w:r>
            <w:r w:rsidRPr="007D0941">
              <w:rPr>
                <w:rFonts w:ascii="Arial Narrow" w:hAnsi="Arial Narrow"/>
                <w:kern w:val="0"/>
                <w:sz w:val="22"/>
                <w:szCs w:val="22"/>
              </w:rPr>
              <w:t xml:space="preserve"> s právom Európskej únie</w:t>
            </w:r>
          </w:p>
        </w:tc>
      </w:tr>
      <w:tr>
        <w:tblPrEx>
          <w:tblW w:w="15884" w:type="dxa"/>
          <w:tblInd w:w="-1382"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CA1300" w:rsidRPr="007D0941" w:rsidP="00CA1300">
            <w:pPr>
              <w:pStyle w:val="Heading4"/>
              <w:bidi w:val="0"/>
              <w:jc w:val="both"/>
              <w:rPr>
                <w:rFonts w:ascii="Arial Narrow" w:hAnsi="Arial Narrow"/>
                <w:sz w:val="20"/>
                <w:szCs w:val="20"/>
              </w:rPr>
            </w:pPr>
            <w:r w:rsidRPr="007D0941">
              <w:rPr>
                <w:rFonts w:ascii="Arial Narrow" w:hAnsi="Arial Narrow"/>
                <w:sz w:val="20"/>
                <w:szCs w:val="20"/>
              </w:rPr>
              <w:t>Názov smernice:</w:t>
            </w:r>
          </w:p>
        </w:tc>
        <w:tc>
          <w:tcPr>
            <w:tcW w:w="14264" w:type="dxa"/>
            <w:gridSpan w:val="7"/>
            <w:tcBorders>
              <w:top w:val="single" w:sz="4" w:space="0" w:color="auto"/>
              <w:left w:val="nil"/>
              <w:bottom w:val="single" w:sz="4" w:space="0" w:color="auto"/>
              <w:right w:val="single" w:sz="12" w:space="0" w:color="auto"/>
            </w:tcBorders>
            <w:textDirection w:val="lrTb"/>
            <w:vAlign w:val="top"/>
          </w:tcPr>
          <w:p w:rsidR="00CA1300" w:rsidRPr="00FE7347" w:rsidP="00CA1300">
            <w:pPr>
              <w:pStyle w:val="Default"/>
              <w:bidi w:val="0"/>
              <w:jc w:val="both"/>
              <w:rPr>
                <w:rFonts w:ascii="Arial Narrow" w:hAnsi="Arial Narrow"/>
                <w:b/>
                <w:bCs/>
                <w:sz w:val="22"/>
                <w:szCs w:val="22"/>
              </w:rPr>
            </w:pPr>
            <w:r w:rsidRPr="00FE7347">
              <w:rPr>
                <w:rFonts w:ascii="Arial Narrow" w:hAnsi="Arial Narrow"/>
                <w:sz w:val="22"/>
                <w:szCs w:val="22"/>
              </w:rPr>
              <w:t xml:space="preserve"> </w:t>
            </w:r>
            <w:r w:rsidRPr="00FE7347">
              <w:rPr>
                <w:rFonts w:ascii="Arial Narrow" w:hAnsi="Arial Narrow"/>
                <w:b/>
                <w:bCs/>
                <w:sz w:val="22"/>
                <w:szCs w:val="22"/>
              </w:rPr>
              <w:t xml:space="preserve">SMERNICA RADY </w:t>
            </w:r>
            <w:r w:rsidRPr="00FE7347">
              <w:rPr>
                <w:rFonts w:ascii="Arial Narrow" w:hAnsi="Arial Narrow"/>
                <w:b/>
                <w:bCs/>
                <w:sz w:val="22"/>
                <w:szCs w:val="22"/>
                <w:u w:val="single"/>
              </w:rPr>
              <w:t>2011/96/EÚ</w:t>
            </w:r>
            <w:r w:rsidRPr="00FE7347">
              <w:rPr>
                <w:rFonts w:ascii="Arial Narrow" w:hAnsi="Arial Narrow"/>
                <w:b/>
                <w:bCs/>
                <w:sz w:val="22"/>
                <w:szCs w:val="22"/>
              </w:rPr>
              <w:t xml:space="preserve"> z 30. novembra 2011 o spoločnom systéme zdaňovania uplatňovanom v prípade materských spoločností a dcérskych spoločností v rozličných členských štátoch (prepracované znenie)</w:t>
            </w:r>
          </w:p>
        </w:tc>
      </w:tr>
      <w:tr>
        <w:tblPrEx>
          <w:tblW w:w="15884" w:type="dxa"/>
          <w:tblInd w:w="-1382" w:type="dxa"/>
          <w:tblLayout w:type="fixed"/>
          <w:tblCellMar>
            <w:left w:w="43" w:type="dxa"/>
            <w:right w:w="43" w:type="dxa"/>
          </w:tblCellMar>
        </w:tblPrEx>
        <w:trPr>
          <w:trHeight w:val="567"/>
        </w:trPr>
        <w:tc>
          <w:tcPr>
            <w:tcW w:w="7486" w:type="dxa"/>
            <w:gridSpan w:val="4"/>
            <w:tcBorders>
              <w:top w:val="single" w:sz="4" w:space="0" w:color="auto"/>
              <w:left w:val="single" w:sz="12" w:space="0" w:color="auto"/>
              <w:bottom w:val="single" w:sz="4" w:space="0" w:color="auto"/>
              <w:right w:val="single" w:sz="12" w:space="0" w:color="auto"/>
            </w:tcBorders>
            <w:textDirection w:val="lrTb"/>
            <w:vAlign w:val="top"/>
          </w:tcPr>
          <w:p w:rsidR="00CA1300" w:rsidRPr="007D0941" w:rsidP="00CA1300">
            <w:pPr>
              <w:pStyle w:val="Heading4"/>
              <w:bidi w:val="0"/>
              <w:spacing w:before="120"/>
              <w:jc w:val="both"/>
              <w:rPr>
                <w:rFonts w:ascii="Arial Narrow" w:hAnsi="Arial Narrow"/>
                <w:sz w:val="22"/>
                <w:szCs w:val="22"/>
              </w:rPr>
            </w:pPr>
            <w:r w:rsidRPr="007D0941">
              <w:rPr>
                <w:rFonts w:ascii="Arial Narrow" w:hAnsi="Arial Narrow"/>
                <w:sz w:val="22"/>
                <w:szCs w:val="22"/>
              </w:rPr>
              <w:t>Smernica EÚ</w:t>
            </w:r>
          </w:p>
          <w:p w:rsidR="00CA1300" w:rsidRPr="00FE7347" w:rsidP="00CA1300">
            <w:pPr>
              <w:pStyle w:val="CM4"/>
              <w:bidi w:val="0"/>
              <w:spacing w:before="60" w:after="60"/>
              <w:jc w:val="both"/>
              <w:rPr>
                <w:rFonts w:ascii="Arial Narrow" w:hAnsi="Arial Narrow"/>
                <w:sz w:val="22"/>
                <w:szCs w:val="22"/>
              </w:rPr>
            </w:pPr>
            <w:r w:rsidRPr="00FE7347">
              <w:rPr>
                <w:rFonts w:ascii="Arial Narrow" w:hAnsi="Arial Narrow" w:cs="EUAlbertina"/>
                <w:b/>
                <w:bCs/>
                <w:color w:val="000000"/>
                <w:sz w:val="22"/>
                <w:szCs w:val="22"/>
              </w:rPr>
              <w:t xml:space="preserve">SMERNICA RADY </w:t>
            </w:r>
            <w:r w:rsidRPr="00FE7347">
              <w:rPr>
                <w:rFonts w:ascii="Arial Narrow" w:hAnsi="Arial Narrow" w:cs="EUAlbertina"/>
                <w:b/>
                <w:bCs/>
                <w:color w:val="000000"/>
                <w:sz w:val="22"/>
                <w:szCs w:val="22"/>
                <w:u w:val="single"/>
              </w:rPr>
              <w:t>2011/96/EÚ</w:t>
            </w:r>
            <w:r w:rsidRPr="00FE7347">
              <w:rPr>
                <w:rFonts w:ascii="Arial Narrow" w:hAnsi="Arial Narrow" w:cs="EUAlbertina"/>
                <w:b/>
                <w:bCs/>
                <w:color w:val="000000"/>
                <w:sz w:val="22"/>
                <w:szCs w:val="22"/>
              </w:rPr>
              <w:t xml:space="preserve"> z 30. novembra 2011 o spoločnom systéme zdaňovania uplatňovanom v prípade materských spoločností a dcérskych spoločností v rozličných členských štátoch (prepracované znenie)</w:t>
            </w:r>
          </w:p>
        </w:tc>
        <w:tc>
          <w:tcPr>
            <w:tcW w:w="8398" w:type="dxa"/>
            <w:gridSpan w:val="5"/>
            <w:tcBorders>
              <w:top w:val="single" w:sz="4" w:space="0" w:color="auto"/>
              <w:left w:val="nil"/>
              <w:bottom w:val="single" w:sz="4" w:space="0" w:color="auto"/>
              <w:right w:val="single" w:sz="12" w:space="0" w:color="auto"/>
            </w:tcBorders>
            <w:textDirection w:val="lrTb"/>
            <w:vAlign w:val="top"/>
          </w:tcPr>
          <w:p w:rsidR="00CA1300" w:rsidRPr="007D0941" w:rsidP="00CA1300">
            <w:pPr>
              <w:pStyle w:val="Heading4"/>
              <w:bidi w:val="0"/>
              <w:spacing w:before="120"/>
              <w:jc w:val="both"/>
              <w:rPr>
                <w:rFonts w:ascii="Arial Narrow" w:hAnsi="Arial Narrow"/>
                <w:sz w:val="22"/>
                <w:szCs w:val="22"/>
              </w:rPr>
            </w:pPr>
            <w:r w:rsidRPr="007D0941">
              <w:rPr>
                <w:rFonts w:ascii="Arial Narrow" w:hAnsi="Arial Narrow"/>
                <w:sz w:val="22"/>
                <w:szCs w:val="22"/>
              </w:rPr>
              <w:t>Všeobecne záväzné právne predpisy Slovenskej republiky</w:t>
            </w:r>
          </w:p>
          <w:p w:rsidR="00CA1300" w:rsidRPr="007D0941" w:rsidP="00CA1300">
            <w:pPr>
              <w:pStyle w:val="Heading4"/>
              <w:bidi w:val="0"/>
              <w:spacing w:before="120"/>
              <w:jc w:val="both"/>
              <w:rPr>
                <w:rFonts w:ascii="Arial Narrow" w:hAnsi="Arial Narrow" w:cs="Arial"/>
                <w:b w:val="0"/>
                <w:sz w:val="22"/>
                <w:szCs w:val="22"/>
              </w:rPr>
            </w:pPr>
            <w:r w:rsidRPr="007D0941">
              <w:rPr>
                <w:rFonts w:ascii="Arial Narrow" w:hAnsi="Arial Narrow"/>
                <w:b w:val="0"/>
                <w:bCs w:val="0"/>
                <w:sz w:val="22"/>
                <w:szCs w:val="22"/>
              </w:rPr>
              <w:t xml:space="preserve">Zákon č. </w:t>
            </w:r>
            <w:r w:rsidRPr="007D0941">
              <w:rPr>
                <w:rFonts w:ascii="Arial Narrow" w:hAnsi="Arial Narrow" w:cs="Arial"/>
                <w:b w:val="0"/>
                <w:sz w:val="22"/>
                <w:szCs w:val="22"/>
              </w:rPr>
              <w:t>595/2003 Z.z. o dani z príjmov v znení neskorších predpisov (ďalej „595/2003“)</w:t>
            </w:r>
          </w:p>
          <w:p w:rsidR="00CA1300" w:rsidRPr="002C6113" w:rsidP="00CA1300">
            <w:pPr>
              <w:bidi w:val="0"/>
              <w:rPr>
                <w:rFonts w:ascii="Arial Narrow" w:hAnsi="Arial Narrow"/>
              </w:rPr>
            </w:pPr>
          </w:p>
          <w:p w:rsidR="00CA1300" w:rsidRPr="002C6113" w:rsidP="00CA1300">
            <w:pPr>
              <w:pStyle w:val="Zkladntext"/>
              <w:bidi w:val="0"/>
              <w:jc w:val="both"/>
              <w:rPr>
                <w:rFonts w:ascii="Arial Narrow" w:hAnsi="Arial Narrow"/>
                <w:b/>
                <w:sz w:val="22"/>
                <w:szCs w:val="22"/>
              </w:rPr>
            </w:pPr>
            <w:r w:rsidRPr="002C6113">
              <w:rPr>
                <w:rFonts w:ascii="Arial Narrow" w:hAnsi="Arial Narrow"/>
                <w:b/>
                <w:bCs/>
                <w:sz w:val="22"/>
                <w:szCs w:val="22"/>
              </w:rPr>
              <w:t xml:space="preserve">Návrh zákona, </w:t>
            </w:r>
            <w:r w:rsidRPr="002C6113">
              <w:rPr>
                <w:rFonts w:ascii="Arial Narrow" w:hAnsi="Arial Narrow"/>
                <w:b/>
                <w:sz w:val="22"/>
                <w:szCs w:val="22"/>
              </w:rPr>
              <w:t>ktorým sa mení a dopĺňa č. 595/2003 Z.z. o dani z príjmov v znení neskorších predpisov (ďalej len „návrh zákona“)</w:t>
            </w:r>
          </w:p>
          <w:p w:rsidR="00CA1300" w:rsidRPr="007D0941" w:rsidP="00CA1300">
            <w:pPr>
              <w:pStyle w:val="Header"/>
              <w:tabs>
                <w:tab w:val="left" w:pos="709"/>
              </w:tabs>
              <w:bidi w:val="0"/>
              <w:jc w:val="both"/>
              <w:rPr>
                <w:rFonts w:ascii="Arial Narrow" w:hAnsi="Arial Narrow"/>
                <w:sz w:val="22"/>
                <w:szCs w:val="22"/>
              </w:rPr>
            </w:pPr>
          </w:p>
        </w:tc>
      </w:tr>
      <w:tr>
        <w:tblPrEx>
          <w:tblW w:w="15884" w:type="dxa"/>
          <w:tblInd w:w="-1382"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r w:rsidRPr="0024166E">
              <w:rPr>
                <w:rFonts w:ascii="Arial Narrow" w:hAnsi="Arial Narrow"/>
                <w:sz w:val="20"/>
                <w:szCs w:val="20"/>
              </w:rPr>
              <w:t>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r w:rsidRPr="0024166E">
              <w:rPr>
                <w:rFonts w:ascii="Arial Narrow" w:hAnsi="Arial Narrow"/>
                <w:sz w:val="20"/>
                <w:szCs w:val="20"/>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A1300" w:rsidRPr="0024166E" w:rsidP="00CA1300">
            <w:pPr>
              <w:bidi w:val="0"/>
              <w:jc w:val="both"/>
              <w:rPr>
                <w:rFonts w:ascii="Arial Narrow" w:hAnsi="Arial Narrow"/>
                <w:sz w:val="20"/>
                <w:szCs w:val="20"/>
              </w:rPr>
            </w:pPr>
            <w:r w:rsidRPr="0024166E">
              <w:rPr>
                <w:rFonts w:ascii="Arial Narrow" w:hAnsi="Arial Narrow"/>
                <w:sz w:val="20"/>
                <w:szCs w:val="20"/>
              </w:rPr>
              <w:t>3</w:t>
            </w:r>
          </w:p>
        </w:tc>
        <w:tc>
          <w:tcPr>
            <w:tcW w:w="851" w:type="dxa"/>
            <w:tcBorders>
              <w:top w:val="single" w:sz="4" w:space="0" w:color="auto"/>
              <w:left w:val="nil"/>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r w:rsidRPr="0024166E">
              <w:rPr>
                <w:rFonts w:ascii="Arial Narrow" w:hAnsi="Arial Narrow"/>
                <w:sz w:val="20"/>
                <w:szCs w:val="20"/>
              </w:rPr>
              <w:t>4</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A1300" w:rsidRPr="007D0941" w:rsidP="00CA1300">
            <w:pPr>
              <w:pStyle w:val="BodyText2"/>
              <w:bidi w:val="0"/>
              <w:spacing w:line="240" w:lineRule="exact"/>
              <w:jc w:val="both"/>
              <w:rPr>
                <w:rFonts w:ascii="Arial Narrow" w:hAnsi="Arial Narrow"/>
                <w:sz w:val="20"/>
                <w:szCs w:val="20"/>
              </w:rPr>
            </w:pPr>
            <w:r w:rsidRPr="007D0941">
              <w:rPr>
                <w:rFonts w:ascii="Arial Narrow" w:hAnsi="Arial Narrow"/>
                <w:sz w:val="20"/>
                <w:szCs w:val="20"/>
              </w:rPr>
              <w:t>5</w:t>
            </w:r>
          </w:p>
        </w:tc>
        <w:tc>
          <w:tcPr>
            <w:tcW w:w="5387" w:type="dxa"/>
            <w:tcBorders>
              <w:top w:val="single" w:sz="4" w:space="0" w:color="auto"/>
              <w:left w:val="single" w:sz="4" w:space="0" w:color="auto"/>
              <w:bottom w:val="single" w:sz="4" w:space="0" w:color="auto"/>
              <w:right w:val="single" w:sz="4" w:space="0" w:color="auto"/>
            </w:tcBorders>
            <w:textDirection w:val="lrTb"/>
            <w:vAlign w:val="top"/>
          </w:tcPr>
          <w:p w:rsidR="00CA1300" w:rsidRPr="007D0941" w:rsidP="00CA1300">
            <w:pPr>
              <w:pStyle w:val="BodyText2"/>
              <w:bidi w:val="0"/>
              <w:spacing w:line="240" w:lineRule="exact"/>
              <w:jc w:val="both"/>
              <w:rPr>
                <w:rFonts w:ascii="Arial Narrow" w:hAnsi="Arial Narrow"/>
                <w:sz w:val="20"/>
                <w:szCs w:val="20"/>
              </w:rPr>
            </w:pPr>
            <w:r w:rsidRPr="007D0941">
              <w:rPr>
                <w:rFonts w:ascii="Arial Narrow" w:hAnsi="Arial Narrow"/>
                <w:sz w:val="20"/>
                <w:szCs w:val="20"/>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r w:rsidRPr="0024166E">
              <w:rPr>
                <w:rFonts w:ascii="Arial Narrow" w:hAnsi="Arial Narrow"/>
                <w:sz w:val="20"/>
                <w:szCs w:val="20"/>
              </w:rPr>
              <w:t>7</w:t>
            </w:r>
          </w:p>
        </w:tc>
        <w:tc>
          <w:tcPr>
            <w:tcW w:w="743" w:type="dxa"/>
            <w:tcBorders>
              <w:top w:val="single" w:sz="4" w:space="0" w:color="auto"/>
              <w:left w:val="single" w:sz="4" w:space="0" w:color="auto"/>
              <w:bottom w:val="single" w:sz="4" w:space="0" w:color="auto"/>
              <w:right w:val="single" w:sz="12" w:space="0" w:color="auto"/>
            </w:tcBorders>
            <w:textDirection w:val="lrTb"/>
            <w:vAlign w:val="top"/>
          </w:tcPr>
          <w:p w:rsidR="00CA1300" w:rsidRPr="0024166E" w:rsidP="00CA1300">
            <w:pPr>
              <w:bidi w:val="0"/>
              <w:jc w:val="both"/>
              <w:rPr>
                <w:rFonts w:ascii="Arial Narrow" w:hAnsi="Arial Narrow"/>
                <w:sz w:val="20"/>
                <w:szCs w:val="20"/>
              </w:rPr>
            </w:pPr>
            <w:r w:rsidRPr="0024166E">
              <w:rPr>
                <w:rFonts w:ascii="Arial Narrow" w:hAnsi="Arial Narrow"/>
                <w:sz w:val="20"/>
                <w:szCs w:val="20"/>
              </w:rPr>
              <w:t>8</w:t>
            </w:r>
          </w:p>
        </w:tc>
      </w:tr>
      <w:tr>
        <w:tblPrEx>
          <w:tblW w:w="15884" w:type="dxa"/>
          <w:tblInd w:w="-1382"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A1300" w:rsidRPr="0024166E" w:rsidP="00CA1300">
            <w:pPr>
              <w:pStyle w:val="Normlny"/>
              <w:bidi w:val="0"/>
              <w:jc w:val="both"/>
              <w:rPr>
                <w:rFonts w:ascii="Arial Narrow" w:hAnsi="Arial Narrow"/>
              </w:rPr>
            </w:pPr>
            <w:r w:rsidRPr="0024166E">
              <w:rPr>
                <w:rFonts w:ascii="Arial Narrow" w:hAnsi="Arial Narrow"/>
              </w:rPr>
              <w:t>Článok</w:t>
            </w:r>
          </w:p>
          <w:p w:rsidR="00CA1300" w:rsidRPr="0024166E" w:rsidP="00CA1300">
            <w:pPr>
              <w:pStyle w:val="Normlny"/>
              <w:bidi w:val="0"/>
              <w:jc w:val="both"/>
              <w:rPr>
                <w:rFonts w:ascii="Arial Narrow" w:hAnsi="Arial Narrow"/>
              </w:rPr>
            </w:pPr>
            <w:r w:rsidRPr="0024166E">
              <w:rPr>
                <w:rFonts w:ascii="Arial Narrow" w:hAnsi="Arial Narrow"/>
              </w:rPr>
              <w:t>(Č, O,</w:t>
            </w:r>
          </w:p>
          <w:p w:rsidR="00CA1300" w:rsidRPr="0024166E" w:rsidP="00CA1300">
            <w:pPr>
              <w:pStyle w:val="Normlny"/>
              <w:bidi w:val="0"/>
              <w:jc w:val="both"/>
              <w:rPr>
                <w:rFonts w:ascii="Arial Narrow" w:hAnsi="Arial Narrow"/>
              </w:rPr>
            </w:pPr>
            <w:r w:rsidRPr="0024166E">
              <w:rPr>
                <w:rFonts w:ascii="Arial Narrow" w:hAnsi="Arial Narrow"/>
              </w:rPr>
              <w:t>V, P)</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Normlny"/>
              <w:bidi w:val="0"/>
              <w:jc w:val="both"/>
              <w:rPr>
                <w:rFonts w:ascii="Arial Narrow" w:hAnsi="Arial Narrow"/>
              </w:rPr>
            </w:pPr>
            <w:r w:rsidRPr="0024166E">
              <w:rPr>
                <w:rFonts w:ascii="Arial Narrow" w:hAnsi="Arial Narrow"/>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A1300" w:rsidRPr="0024166E" w:rsidP="00CA1300">
            <w:pPr>
              <w:pStyle w:val="Normlny"/>
              <w:bidi w:val="0"/>
              <w:ind w:right="-43"/>
              <w:jc w:val="both"/>
              <w:rPr>
                <w:rFonts w:ascii="Arial Narrow" w:hAnsi="Arial Narrow"/>
              </w:rPr>
            </w:pPr>
            <w:r w:rsidRPr="0024166E">
              <w:rPr>
                <w:rFonts w:ascii="Arial Narrow" w:hAnsi="Arial Narrow"/>
              </w:rPr>
              <w:t xml:space="preserve">Spôsob </w:t>
            </w:r>
            <w:r w:rsidRPr="0024166E">
              <w:rPr>
                <w:rFonts w:ascii="Arial Narrow" w:hAnsi="Arial Narrow"/>
                <w:noProof/>
              </w:rPr>
              <w:t>transp</w:t>
            </w:r>
            <w:r w:rsidRPr="0024166E">
              <w:rPr>
                <w:rFonts w:ascii="Arial Narrow" w:hAnsi="Arial Narrow"/>
              </w:rPr>
              <w:t>.</w:t>
            </w:r>
          </w:p>
          <w:p w:rsidR="00CA1300" w:rsidRPr="0024166E" w:rsidP="00CA1300">
            <w:pPr>
              <w:pStyle w:val="Normlny"/>
              <w:bidi w:val="0"/>
              <w:jc w:val="both"/>
              <w:rPr>
                <w:rFonts w:ascii="Arial Narrow" w:hAnsi="Arial Narrow"/>
              </w:rPr>
            </w:pPr>
            <w:r w:rsidRPr="0024166E">
              <w:rPr>
                <w:rFonts w:ascii="Arial Narrow" w:hAnsi="Arial Narrow"/>
              </w:rPr>
              <w:t>(N, O, D, n.a.)</w:t>
            </w:r>
          </w:p>
        </w:tc>
        <w:tc>
          <w:tcPr>
            <w:tcW w:w="851" w:type="dxa"/>
            <w:tcBorders>
              <w:top w:val="single" w:sz="4" w:space="0" w:color="auto"/>
              <w:left w:val="nil"/>
              <w:bottom w:val="single" w:sz="4" w:space="0" w:color="auto"/>
              <w:right w:val="single" w:sz="4" w:space="0" w:color="auto"/>
            </w:tcBorders>
            <w:textDirection w:val="lrTb"/>
            <w:vAlign w:val="top"/>
          </w:tcPr>
          <w:p w:rsidR="00CA1300" w:rsidRPr="0024166E" w:rsidP="00CA1300">
            <w:pPr>
              <w:pStyle w:val="Normlny"/>
              <w:bidi w:val="0"/>
              <w:jc w:val="both"/>
              <w:rPr>
                <w:rFonts w:ascii="Arial Narrow" w:hAnsi="Arial Narrow"/>
              </w:rPr>
            </w:pPr>
            <w:r w:rsidRPr="0024166E">
              <w:rPr>
                <w:rFonts w:ascii="Arial Narrow" w:hAnsi="Arial Narrow"/>
              </w:rPr>
              <w:t>Číslo</w:t>
            </w:r>
          </w:p>
          <w:p w:rsidR="00CA1300" w:rsidRPr="0024166E" w:rsidP="00CA1300">
            <w:pPr>
              <w:pStyle w:val="Normlny"/>
              <w:bidi w:val="0"/>
              <w:jc w:val="both"/>
              <w:rPr>
                <w:rFonts w:ascii="Arial Narrow" w:hAnsi="Arial Narrow"/>
              </w:rPr>
            </w:pPr>
            <w:r w:rsidRPr="0024166E">
              <w:rPr>
                <w:rFonts w:ascii="Arial Narrow" w:hAnsi="Arial Narrow"/>
              </w:rPr>
              <w:t>predpisu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Normlny"/>
              <w:bidi w:val="0"/>
              <w:jc w:val="both"/>
              <w:rPr>
                <w:rFonts w:ascii="Arial Narrow" w:hAnsi="Arial Narrow"/>
              </w:rPr>
            </w:pPr>
            <w:r w:rsidRPr="0024166E">
              <w:rPr>
                <w:rFonts w:ascii="Arial Narrow" w:hAnsi="Arial Narrow"/>
              </w:rPr>
              <w:t>Článok (Č, §, O, V, P)</w:t>
            </w:r>
          </w:p>
        </w:tc>
        <w:tc>
          <w:tcPr>
            <w:tcW w:w="5387" w:type="dxa"/>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Normlny"/>
              <w:bidi w:val="0"/>
              <w:jc w:val="both"/>
              <w:rPr>
                <w:rFonts w:ascii="Arial Narrow" w:hAnsi="Arial Narrow"/>
              </w:rPr>
            </w:pPr>
            <w:r w:rsidRPr="0024166E">
              <w:rPr>
                <w:rFonts w:ascii="Arial Narrow" w:hAnsi="Arial Narrow"/>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Normlny"/>
              <w:bidi w:val="0"/>
              <w:jc w:val="both"/>
              <w:rPr>
                <w:rFonts w:ascii="Arial Narrow" w:hAnsi="Arial Narrow"/>
              </w:rPr>
            </w:pPr>
            <w:r w:rsidRPr="0024166E">
              <w:rPr>
                <w:rFonts w:ascii="Arial Narrow" w:hAnsi="Arial Narrow"/>
              </w:rPr>
              <w:t>Zhoda</w:t>
            </w:r>
          </w:p>
        </w:tc>
        <w:tc>
          <w:tcPr>
            <w:tcW w:w="743" w:type="dxa"/>
            <w:tcBorders>
              <w:top w:val="single" w:sz="4" w:space="0" w:color="auto"/>
              <w:left w:val="single" w:sz="4" w:space="0" w:color="auto"/>
              <w:bottom w:val="single" w:sz="4" w:space="0" w:color="auto"/>
              <w:right w:val="single" w:sz="12" w:space="0" w:color="auto"/>
            </w:tcBorders>
            <w:textDirection w:val="lrTb"/>
            <w:vAlign w:val="top"/>
          </w:tcPr>
          <w:p w:rsidR="00CA1300" w:rsidRPr="0024166E" w:rsidP="00CA1300">
            <w:pPr>
              <w:pStyle w:val="Normlny"/>
              <w:bidi w:val="0"/>
              <w:jc w:val="both"/>
              <w:rPr>
                <w:rFonts w:ascii="Arial Narrow" w:hAnsi="Arial Narrow"/>
              </w:rPr>
            </w:pPr>
            <w:r w:rsidRPr="0024166E">
              <w:rPr>
                <w:rFonts w:ascii="Arial Narrow" w:hAnsi="Arial Narrow"/>
              </w:rPr>
              <w:t>Poznámky</w:t>
            </w:r>
          </w:p>
        </w:tc>
      </w:tr>
      <w:tr>
        <w:tblPrEx>
          <w:tblW w:w="15884" w:type="dxa"/>
          <w:tblInd w:w="-1382"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r w:rsidRPr="0024166E">
              <w:rPr>
                <w:rFonts w:ascii="Arial Narrow" w:hAnsi="Arial Narrow"/>
                <w:sz w:val="20"/>
                <w:szCs w:val="20"/>
              </w:rPr>
              <w:t>Čl. 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CM4"/>
              <w:bidi w:val="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1. Každý členský štát uplatňuje túto smernicu: </w:t>
            </w:r>
          </w:p>
          <w:p w:rsidR="00CA1300" w:rsidRPr="0024166E" w:rsidP="00CA1300">
            <w:pPr>
              <w:pStyle w:val="Normlny"/>
              <w:bidi w:val="0"/>
              <w:jc w:val="both"/>
              <w:rPr>
                <w:rFonts w:ascii="Arial Narrow" w:hAnsi="Arial Narrow" w:cs="EUAlbertina"/>
                <w:color w:val="000000"/>
              </w:rPr>
            </w:pPr>
            <w:r w:rsidRPr="0024166E">
              <w:rPr>
                <w:rFonts w:ascii="Arial Narrow" w:hAnsi="Arial Narrow" w:cs="EUAlbertina"/>
                <w:color w:val="000000"/>
              </w:rPr>
              <w:t>a) na rozdeľovanie zisku prijatého spoločnosťami tohto členského štátu, ktorý pochádza od dcérskych spoločností iných členských štátov;</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b) na rozdeľovanie zisku dcérskymi spoločnosťami z tohto členského štátu svojim materským spoločnostiam v iných členských štátoch;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c) na rozdeľovanie zisku prijatého stálymi prevádzkarňami, ktoré sa nachádzajú v tomto členskom štáte, spoločností iných členských štátov, ktorý pochádza z ich dcérskych spoločností členského štátu, iného ako ten, kde sa nachádza stála prevádzkareň;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d) na rozdeľovanie zisku spoločnosťami tohto členského štátu stálym prevádzkarňam, ktoré sa nachádzajú v inom členskom štáte, spoločností toho istého členského štátu, ktorého sú dcérskymi spoločnosťami. </w:t>
            </w:r>
          </w:p>
          <w:p w:rsidR="00CA1300" w:rsidRPr="0024166E" w:rsidP="00CA1300">
            <w:pPr>
              <w:pStyle w:val="Normlny"/>
              <w:bidi w:val="0"/>
              <w:jc w:val="both"/>
              <w:rPr>
                <w:rFonts w:ascii="Arial Narrow" w:hAnsi="Arial Narrow"/>
              </w:rPr>
            </w:pPr>
            <w:r w:rsidRPr="0024166E">
              <w:rPr>
                <w:rFonts w:ascii="Arial Narrow" w:hAnsi="Arial Narrow" w:cs="EUAlbertina"/>
                <w:color w:val="000000"/>
              </w:rPr>
              <w:t>2. Táto smernica nebráni uplatňovaniu vnútroštátnych alebo z dohôd vyplývajúcich ustanovení nevyhnutných k zamedzeniu daňových únikov a zneužívaniu daňového režimu.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A1300" w:rsidRPr="0024166E" w:rsidP="00CA1300">
            <w:pPr>
              <w:bidi w:val="0"/>
              <w:jc w:val="both"/>
              <w:rPr>
                <w:rFonts w:ascii="Arial Narrow" w:hAnsi="Arial Narrow"/>
                <w:sz w:val="20"/>
                <w:szCs w:val="20"/>
              </w:rPr>
            </w:pPr>
            <w:r>
              <w:rPr>
                <w:rFonts w:ascii="Arial Narrow" w:hAnsi="Arial Narrow"/>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CA1300" w:rsidRPr="00177E75" w:rsidP="00CA1300">
            <w:pPr>
              <w:bidi w:val="0"/>
              <w:jc w:val="both"/>
              <w:rPr>
                <w:rFonts w:ascii="Arial Narrow" w:hAnsi="Arial Narrow"/>
                <w:sz w:val="20"/>
                <w:szCs w:val="20"/>
              </w:rPr>
            </w:pPr>
            <w:r w:rsidRPr="00177E75">
              <w:rPr>
                <w:rFonts w:ascii="Arial Narrow" w:hAnsi="Arial Narrow"/>
                <w:sz w:val="20"/>
                <w:szCs w:val="20"/>
              </w:rPr>
              <w:t>595/2003</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A1300" w:rsidP="00CA1300">
            <w:pPr>
              <w:pStyle w:val="Normlny"/>
              <w:bidi w:val="0"/>
              <w:rPr>
                <w:rFonts w:ascii="Arial Narrow" w:hAnsi="Arial Narrow"/>
              </w:rPr>
            </w:pPr>
            <w:r>
              <w:rPr>
                <w:rFonts w:ascii="Arial Narrow" w:hAnsi="Arial Narrow"/>
              </w:rPr>
              <w:t xml:space="preserve">§ 1 ods.1 </w:t>
            </w:r>
          </w:p>
          <w:p w:rsidR="00CA1300" w:rsidP="00CA1300">
            <w:pPr>
              <w:pStyle w:val="Normlny"/>
              <w:bidi w:val="0"/>
              <w:jc w:val="both"/>
              <w:rPr>
                <w:rFonts w:ascii="Arial Narrow" w:hAnsi="Arial Narrow"/>
              </w:rPr>
            </w:pPr>
            <w:r>
              <w:rPr>
                <w:rFonts w:ascii="Arial Narrow" w:hAnsi="Arial Narrow"/>
              </w:rPr>
              <w:t>pís.a) pís.b)</w:t>
            </w: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r>
              <w:rPr>
                <w:rFonts w:ascii="Arial Narrow" w:hAnsi="Arial Narrow"/>
              </w:rPr>
              <w:t>ods.2</w:t>
            </w:r>
          </w:p>
          <w:p w:rsidR="00CA1300" w:rsidRPr="0024166E" w:rsidP="00CA1300">
            <w:pPr>
              <w:pStyle w:val="Normlny"/>
              <w:bidi w:val="0"/>
              <w:jc w:val="both"/>
              <w:rPr>
                <w:rFonts w:ascii="Arial Narrow" w:hAnsi="Arial Narrow"/>
              </w:rPr>
            </w:pPr>
          </w:p>
        </w:tc>
        <w:tc>
          <w:tcPr>
            <w:tcW w:w="5387" w:type="dxa"/>
            <w:tcBorders>
              <w:top w:val="single" w:sz="4" w:space="0" w:color="auto"/>
              <w:left w:val="single" w:sz="4" w:space="0" w:color="auto"/>
              <w:bottom w:val="single" w:sz="4" w:space="0" w:color="auto"/>
              <w:right w:val="single" w:sz="4" w:space="0" w:color="auto"/>
            </w:tcBorders>
            <w:textDirection w:val="lrTb"/>
            <w:vAlign w:val="top"/>
          </w:tcPr>
          <w:p w:rsidR="00CA1300" w:rsidP="00CA1300">
            <w:pPr>
              <w:pStyle w:val="Normlny"/>
              <w:bidi w:val="0"/>
              <w:jc w:val="both"/>
              <w:rPr>
                <w:rFonts w:ascii="Arial Narrow" w:hAnsi="Arial Narrow"/>
              </w:rPr>
            </w:pPr>
            <w:r w:rsidRPr="00FE7347">
              <w:rPr>
                <w:rFonts w:ascii="Arial Narrow" w:hAnsi="Arial Narrow"/>
              </w:rPr>
              <w:t>Tento zákon upravuje</w:t>
            </w:r>
          </w:p>
          <w:p w:rsidR="00CA1300" w:rsidP="00CA1300">
            <w:pPr>
              <w:pStyle w:val="Normlny"/>
              <w:bidi w:val="0"/>
              <w:jc w:val="both"/>
              <w:rPr>
                <w:rFonts w:ascii="Arial Narrow" w:hAnsi="Arial Narrow"/>
              </w:rPr>
            </w:pPr>
          </w:p>
          <w:p w:rsidR="00CA1300" w:rsidRPr="00FE7347" w:rsidP="00CA1300">
            <w:pPr>
              <w:pStyle w:val="Normlny"/>
              <w:bidi w:val="0"/>
              <w:jc w:val="both"/>
              <w:rPr>
                <w:rFonts w:ascii="Arial Narrow" w:hAnsi="Arial Narrow"/>
              </w:rPr>
            </w:pPr>
            <w:r w:rsidRPr="00FE7347">
              <w:rPr>
                <w:rFonts w:ascii="Arial Narrow" w:hAnsi="Arial Narrow"/>
              </w:rPr>
              <w:t>daň z príjmov fyzickej osoby alebo právnickej osoby (ďalej len "daň"),</w:t>
            </w:r>
          </w:p>
          <w:p w:rsidR="00CA1300" w:rsidP="00CA1300">
            <w:pPr>
              <w:pStyle w:val="Normlny"/>
              <w:bidi w:val="0"/>
              <w:jc w:val="both"/>
              <w:rPr>
                <w:rFonts w:ascii="Arial Narrow" w:hAnsi="Arial Narrow"/>
              </w:rPr>
            </w:pPr>
            <w:r w:rsidRPr="00FE7347">
              <w:rPr>
                <w:rFonts w:ascii="Arial Narrow" w:hAnsi="Arial Narrow"/>
              </w:rPr>
              <w:t>spôsob platenia a vyberania dane,</w:t>
            </w: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RPr="0024166E" w:rsidP="00CA1300">
            <w:pPr>
              <w:pStyle w:val="Normlny"/>
              <w:bidi w:val="0"/>
              <w:jc w:val="both"/>
              <w:rPr>
                <w:rFonts w:ascii="Arial Narrow" w:hAnsi="Arial Narrow"/>
              </w:rPr>
            </w:pPr>
            <w:r w:rsidRPr="00FE7347">
              <w:rPr>
                <w:rFonts w:ascii="Arial Narrow" w:hAnsi="Arial Narrow"/>
              </w:rPr>
              <w:t>Medzinárodná zmluva, ktorá bola schválená, ratifikovaná a vyhlásená spôsobom ustanoveným zákonom, alebo dohoda, ktorá bola uzatvorená alebo schválená vládou Slovenskej republiky a ktorá upravuje zdanenie a s tým súvisiace právne vzťahy vo vzťahu k nesamosprávnym územiam, ktoré v medzinárodných vzťahoch vystupujú samostatne (ďalej len "medzinárodná zmluva"), má prednosť pred týmto zákonom.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r>
              <w:rPr>
                <w:rFonts w:ascii="Arial Narrow" w:hAnsi="Arial Narrow"/>
                <w:sz w:val="20"/>
                <w:szCs w:val="20"/>
              </w:rPr>
              <w:t>Ú</w:t>
            </w:r>
          </w:p>
        </w:tc>
        <w:tc>
          <w:tcPr>
            <w:tcW w:w="743" w:type="dxa"/>
            <w:tcBorders>
              <w:top w:val="single" w:sz="4" w:space="0" w:color="auto"/>
              <w:left w:val="single" w:sz="4" w:space="0" w:color="auto"/>
              <w:bottom w:val="single" w:sz="4" w:space="0" w:color="auto"/>
              <w:right w:val="single" w:sz="12" w:space="0" w:color="auto"/>
            </w:tcBorders>
            <w:textDirection w:val="lrTb"/>
            <w:vAlign w:val="top"/>
          </w:tcPr>
          <w:p w:rsidR="00CA1300" w:rsidRPr="007D0941" w:rsidP="00CA1300">
            <w:pPr>
              <w:pStyle w:val="Heading1"/>
              <w:bidi w:val="0"/>
              <w:jc w:val="both"/>
              <w:rPr>
                <w:rFonts w:ascii="Arial Narrow" w:hAnsi="Arial Narrow"/>
                <w:b w:val="0"/>
                <w:bCs w:val="0"/>
                <w:kern w:val="0"/>
                <w:sz w:val="20"/>
                <w:szCs w:val="20"/>
              </w:rPr>
            </w:pPr>
          </w:p>
        </w:tc>
      </w:tr>
      <w:tr>
        <w:tblPrEx>
          <w:tblW w:w="15884" w:type="dxa"/>
          <w:tblInd w:w="-1382"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r w:rsidRPr="0024166E">
              <w:rPr>
                <w:rFonts w:ascii="Arial Narrow" w:hAnsi="Arial Narrow"/>
                <w:sz w:val="20"/>
                <w:szCs w:val="20"/>
              </w:rPr>
              <w:t>Čl.2</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Na účely tejto smernice sa uplatňujú tieto definície: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a) „spoločnosť členského štátu“ znamená každú spoločnosť, ktorá: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i) má jednu z foriem vymenovaných v časti A prílohy I; </w:t>
            </w:r>
          </w:p>
          <w:p w:rsidR="00CA1300" w:rsidRPr="0024166E" w:rsidP="00CA1300">
            <w:pPr>
              <w:pStyle w:val="Normlny"/>
              <w:bidi w:val="0"/>
              <w:jc w:val="both"/>
              <w:rPr>
                <w:rFonts w:ascii="Arial Narrow" w:hAnsi="Arial Narrow" w:cs="EUAlbertina"/>
                <w:color w:val="000000"/>
              </w:rPr>
            </w:pPr>
            <w:r w:rsidRPr="0024166E">
              <w:rPr>
                <w:rFonts w:ascii="Arial Narrow" w:hAnsi="Arial Narrow" w:cs="EUAlbertina"/>
                <w:color w:val="000000"/>
              </w:rPr>
              <w:t>ii) podľa daňového práva členského štátu sa považuje na daňové účely za sídliacu v tomto členskom štáte a podľa podmienok dohody o dvojitom zdanení uzavretej s tretím štátom sa na daňové účely nepovažuje za sídliacu  mimo Únie;</w:t>
            </w:r>
          </w:p>
          <w:p w:rsidR="00CA1300"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iii) okrem toho podlieha jednej z daní vymenovaných v časti B prílohy I bez možnosti voľby alebo vyňatia, alebo akejkoľvek inej dani, ktorá môže ktorúkoľvek z uvedených daní nahradiť; </w:t>
            </w:r>
          </w:p>
          <w:p w:rsidR="00CA1300" w:rsidP="00CA1300">
            <w:pPr>
              <w:pStyle w:val="Default"/>
              <w:bidi w:val="0"/>
            </w:pPr>
          </w:p>
          <w:p w:rsidR="00CA1300" w:rsidP="00CA1300">
            <w:pPr>
              <w:pStyle w:val="Default"/>
              <w:bidi w:val="0"/>
            </w:pPr>
          </w:p>
          <w:p w:rsidR="00CA1300" w:rsidP="00CA1300">
            <w:pPr>
              <w:pStyle w:val="Default"/>
              <w:bidi w:val="0"/>
            </w:pPr>
          </w:p>
          <w:p w:rsidR="00CA1300" w:rsidP="00CA1300">
            <w:pPr>
              <w:pStyle w:val="Default"/>
              <w:bidi w:val="0"/>
            </w:pPr>
          </w:p>
          <w:p w:rsidR="00CA1300" w:rsidP="00CA1300">
            <w:pPr>
              <w:pStyle w:val="Default"/>
              <w:bidi w:val="0"/>
            </w:pPr>
          </w:p>
          <w:p w:rsidR="00CA1300" w:rsidP="00CA1300">
            <w:pPr>
              <w:pStyle w:val="Default"/>
              <w:bidi w:val="0"/>
            </w:pPr>
          </w:p>
          <w:p w:rsidR="00CA1300" w:rsidP="00CA1300">
            <w:pPr>
              <w:pStyle w:val="Default"/>
              <w:bidi w:val="0"/>
            </w:pPr>
          </w:p>
          <w:p w:rsidR="00CA1300" w:rsidRPr="00DE3E93" w:rsidP="00CA1300">
            <w:pPr>
              <w:pStyle w:val="Default"/>
              <w:bidi w:val="0"/>
            </w:pPr>
          </w:p>
          <w:p w:rsidR="00CA1300" w:rsidRPr="0024166E" w:rsidP="00CA1300">
            <w:pPr>
              <w:pStyle w:val="Normlny"/>
              <w:bidi w:val="0"/>
              <w:jc w:val="both"/>
              <w:rPr>
                <w:rFonts w:ascii="Arial Narrow" w:hAnsi="Arial Narrow"/>
              </w:rPr>
            </w:pPr>
            <w:r w:rsidRPr="0024166E">
              <w:rPr>
                <w:rFonts w:ascii="Arial Narrow" w:hAnsi="Arial Narrow" w:cs="EUAlbertina"/>
                <w:color w:val="000000"/>
              </w:rPr>
              <w:t>b) „stála prevádzkareň“ znamená trvalé miesto na podnikanie, ktoré sa nachádza v členskom štáte, v ktorom sa úplne alebo čiastočne vykonáva činnosť spoločnosti z iného členského štátu, pričom zisky tohto miesta na podnikanie sú predmetom dane v členskom štáte, v ktorom sa miesto nachádza na základe príslušnej bilaterálnej daňovej zmluvy, alebo pri absencii takejto zmluvy na základe vnútroštátneho práva.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A1300" w:rsidRPr="0024166E" w:rsidP="00CA1300">
            <w:pPr>
              <w:bidi w:val="0"/>
              <w:jc w:val="both"/>
              <w:rPr>
                <w:rFonts w:ascii="Arial Narrow" w:hAnsi="Arial Narrow"/>
                <w:sz w:val="20"/>
                <w:szCs w:val="20"/>
              </w:rPr>
            </w:pPr>
            <w:r>
              <w:rPr>
                <w:rFonts w:ascii="Arial Narrow" w:hAnsi="Arial Narrow"/>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CA1300" w:rsidRPr="00177E75" w:rsidP="00CA1300">
            <w:pPr>
              <w:bidi w:val="0"/>
              <w:jc w:val="both"/>
              <w:rPr>
                <w:rFonts w:ascii="Arial Narrow" w:hAnsi="Arial Narrow"/>
                <w:sz w:val="20"/>
                <w:szCs w:val="20"/>
              </w:rPr>
            </w:pPr>
            <w:r w:rsidRPr="00177E75">
              <w:rPr>
                <w:rFonts w:ascii="Arial Narrow" w:hAnsi="Arial Narrow"/>
                <w:sz w:val="20"/>
                <w:szCs w:val="20"/>
              </w:rPr>
              <w:t>595/2003</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A1300" w:rsidP="00CA1300">
            <w:pPr>
              <w:bidi w:val="0"/>
              <w:rPr>
                <w:rFonts w:ascii="Arial Narrow" w:hAnsi="Arial Narrow"/>
                <w:sz w:val="20"/>
                <w:szCs w:val="20"/>
              </w:rPr>
            </w:pPr>
            <w:r>
              <w:rPr>
                <w:rFonts w:ascii="Arial Narrow" w:hAnsi="Arial Narrow"/>
                <w:sz w:val="20"/>
                <w:szCs w:val="20"/>
              </w:rPr>
              <w:t xml:space="preserve">§ 2 pís.a) </w:t>
            </w:r>
          </w:p>
          <w:p w:rsidR="00CA1300" w:rsidP="00CA1300">
            <w:pPr>
              <w:bidi w:val="0"/>
              <w:rPr>
                <w:rFonts w:ascii="Arial Narrow" w:hAnsi="Arial Narrow"/>
                <w:sz w:val="20"/>
                <w:szCs w:val="20"/>
              </w:rPr>
            </w:pPr>
          </w:p>
          <w:p w:rsidR="00CA1300" w:rsidP="00CA1300">
            <w:pPr>
              <w:bidi w:val="0"/>
              <w:rPr>
                <w:rFonts w:ascii="Arial Narrow" w:hAnsi="Arial Narrow"/>
                <w:sz w:val="20"/>
                <w:szCs w:val="20"/>
              </w:rPr>
            </w:pPr>
            <w:r>
              <w:rPr>
                <w:rFonts w:ascii="Arial Narrow" w:hAnsi="Arial Narrow"/>
                <w:sz w:val="20"/>
                <w:szCs w:val="20"/>
              </w:rPr>
              <w:t>pís.d) bod. 2</w:t>
            </w:r>
          </w:p>
          <w:p w:rsidR="00CA1300" w:rsidP="00CA1300">
            <w:pPr>
              <w:bidi w:val="0"/>
              <w:rPr>
                <w:rFonts w:ascii="Arial Narrow" w:hAnsi="Arial Narrow"/>
                <w:sz w:val="20"/>
                <w:szCs w:val="20"/>
              </w:rPr>
            </w:pPr>
          </w:p>
          <w:p w:rsidR="00CA1300" w:rsidP="00CA1300">
            <w:pPr>
              <w:bidi w:val="0"/>
              <w:rPr>
                <w:rFonts w:ascii="Arial Narrow" w:hAnsi="Arial Narrow"/>
                <w:sz w:val="20"/>
                <w:szCs w:val="20"/>
              </w:rPr>
            </w:pPr>
          </w:p>
          <w:p w:rsidR="00CA1300" w:rsidP="00CA1300">
            <w:pPr>
              <w:bidi w:val="0"/>
              <w:rPr>
                <w:rFonts w:ascii="Arial Narrow" w:hAnsi="Arial Narrow"/>
                <w:sz w:val="20"/>
                <w:szCs w:val="20"/>
              </w:rPr>
            </w:pPr>
          </w:p>
          <w:p w:rsidR="00CA1300" w:rsidP="00CA1300">
            <w:pPr>
              <w:bidi w:val="0"/>
              <w:rPr>
                <w:rFonts w:ascii="Arial Narrow" w:hAnsi="Arial Narrow"/>
                <w:sz w:val="20"/>
                <w:szCs w:val="20"/>
              </w:rPr>
            </w:pPr>
          </w:p>
          <w:p w:rsidR="00CA1300" w:rsidP="00CA1300">
            <w:pPr>
              <w:bidi w:val="0"/>
              <w:rPr>
                <w:rFonts w:ascii="Arial Narrow" w:hAnsi="Arial Narrow"/>
                <w:sz w:val="20"/>
                <w:szCs w:val="20"/>
              </w:rPr>
            </w:pPr>
          </w:p>
          <w:p w:rsidR="00CA1300" w:rsidP="00CA1300">
            <w:pPr>
              <w:bidi w:val="0"/>
              <w:rPr>
                <w:rFonts w:ascii="Arial Narrow" w:hAnsi="Arial Narrow"/>
                <w:sz w:val="20"/>
                <w:szCs w:val="20"/>
              </w:rPr>
            </w:pPr>
            <w:r>
              <w:rPr>
                <w:rFonts w:ascii="Arial Narrow" w:hAnsi="Arial Narrow"/>
                <w:sz w:val="20"/>
                <w:szCs w:val="20"/>
              </w:rPr>
              <w:t xml:space="preserve">pís.e) </w:t>
            </w:r>
          </w:p>
          <w:p w:rsidR="00CA1300" w:rsidP="00CA1300">
            <w:pPr>
              <w:bidi w:val="0"/>
              <w:rPr>
                <w:rFonts w:ascii="Arial Narrow" w:hAnsi="Arial Narrow"/>
                <w:sz w:val="20"/>
                <w:szCs w:val="20"/>
              </w:rPr>
            </w:pPr>
            <w:r>
              <w:rPr>
                <w:rFonts w:ascii="Arial Narrow" w:hAnsi="Arial Narrow"/>
                <w:sz w:val="20"/>
                <w:szCs w:val="20"/>
              </w:rPr>
              <w:t>bod.3</w:t>
            </w:r>
          </w:p>
          <w:p w:rsidR="00CA1300" w:rsidP="00CA1300">
            <w:pPr>
              <w:bidi w:val="0"/>
              <w:rPr>
                <w:rFonts w:ascii="Arial Narrow" w:hAnsi="Arial Narrow"/>
                <w:sz w:val="20"/>
                <w:szCs w:val="20"/>
              </w:rPr>
            </w:pPr>
          </w:p>
          <w:p w:rsidR="00CA1300" w:rsidP="00CA1300">
            <w:pPr>
              <w:bidi w:val="0"/>
              <w:rPr>
                <w:rFonts w:ascii="Arial Narrow" w:hAnsi="Arial Narrow"/>
                <w:sz w:val="20"/>
                <w:szCs w:val="20"/>
              </w:rPr>
            </w:pPr>
            <w:r>
              <w:rPr>
                <w:rFonts w:ascii="Arial Narrow" w:hAnsi="Arial Narrow"/>
                <w:sz w:val="20"/>
                <w:szCs w:val="20"/>
              </w:rPr>
              <w:t>pís.t)</w:t>
            </w:r>
          </w:p>
          <w:p w:rsidR="00CA1300" w:rsidP="00CA1300">
            <w:pPr>
              <w:bidi w:val="0"/>
              <w:rPr>
                <w:rFonts w:ascii="Arial Narrow" w:hAnsi="Arial Narrow"/>
                <w:sz w:val="20"/>
                <w:szCs w:val="20"/>
              </w:rPr>
            </w:pPr>
          </w:p>
          <w:p w:rsidR="00CA1300" w:rsidP="00CA1300">
            <w:pPr>
              <w:bidi w:val="0"/>
              <w:rPr>
                <w:rFonts w:ascii="Arial Narrow" w:hAnsi="Arial Narrow"/>
                <w:sz w:val="20"/>
                <w:szCs w:val="20"/>
              </w:rPr>
            </w:pPr>
          </w:p>
          <w:p w:rsidR="00CA1300" w:rsidP="00CA1300">
            <w:pPr>
              <w:bidi w:val="0"/>
              <w:rPr>
                <w:rFonts w:ascii="Arial Narrow" w:hAnsi="Arial Narrow"/>
                <w:sz w:val="20"/>
                <w:szCs w:val="20"/>
              </w:rPr>
            </w:pPr>
          </w:p>
          <w:p w:rsidR="00CA1300" w:rsidP="00CA1300">
            <w:pPr>
              <w:bidi w:val="0"/>
              <w:rPr>
                <w:rFonts w:ascii="Arial Narrow" w:hAnsi="Arial Narrow"/>
                <w:sz w:val="20"/>
                <w:szCs w:val="20"/>
              </w:rPr>
            </w:pPr>
          </w:p>
          <w:p w:rsidR="00CA1300" w:rsidP="00CA1300">
            <w:pPr>
              <w:bidi w:val="0"/>
              <w:rPr>
                <w:rFonts w:ascii="Arial Narrow" w:hAnsi="Arial Narrow"/>
                <w:sz w:val="20"/>
                <w:szCs w:val="20"/>
              </w:rPr>
            </w:pPr>
          </w:p>
          <w:p w:rsidR="00CA1300" w:rsidP="00CA1300">
            <w:pPr>
              <w:bidi w:val="0"/>
              <w:rPr>
                <w:rFonts w:ascii="Arial Narrow" w:hAnsi="Arial Narrow"/>
                <w:sz w:val="20"/>
                <w:szCs w:val="20"/>
              </w:rPr>
            </w:pPr>
          </w:p>
          <w:p w:rsidR="00CA1300" w:rsidP="00CA1300">
            <w:pPr>
              <w:bidi w:val="0"/>
              <w:rPr>
                <w:rFonts w:ascii="Arial Narrow" w:hAnsi="Arial Narrow"/>
                <w:sz w:val="20"/>
                <w:szCs w:val="20"/>
              </w:rPr>
            </w:pPr>
            <w:r>
              <w:rPr>
                <w:rFonts w:ascii="Arial Narrow" w:hAnsi="Arial Narrow"/>
                <w:sz w:val="20"/>
                <w:szCs w:val="20"/>
              </w:rPr>
              <w:t>§ 16 ods.2</w:t>
            </w:r>
          </w:p>
          <w:p w:rsidR="00CA1300" w:rsidP="00CA1300">
            <w:pPr>
              <w:bidi w:val="0"/>
              <w:rPr>
                <w:rFonts w:ascii="Arial Narrow" w:hAnsi="Arial Narrow"/>
                <w:sz w:val="20"/>
                <w:szCs w:val="20"/>
              </w:rPr>
            </w:pPr>
          </w:p>
          <w:p w:rsidR="00CA1300" w:rsidP="00CA1300">
            <w:pPr>
              <w:bidi w:val="0"/>
              <w:rPr>
                <w:rFonts w:ascii="Arial Narrow" w:hAnsi="Arial Narrow"/>
                <w:sz w:val="20"/>
                <w:szCs w:val="20"/>
              </w:rPr>
            </w:pPr>
          </w:p>
          <w:p w:rsidR="00CA1300" w:rsidP="00CA1300">
            <w:pPr>
              <w:bidi w:val="0"/>
              <w:rPr>
                <w:rFonts w:ascii="Arial Narrow" w:hAnsi="Arial Narrow"/>
                <w:sz w:val="20"/>
                <w:szCs w:val="20"/>
              </w:rPr>
            </w:pPr>
          </w:p>
          <w:p w:rsidR="00CA1300" w:rsidRPr="0024166E" w:rsidP="00CA1300">
            <w:pPr>
              <w:bidi w:val="0"/>
              <w:rPr>
                <w:rFonts w:ascii="Arial Narrow" w:hAnsi="Arial Narrow"/>
                <w:sz w:val="20"/>
                <w:szCs w:val="20"/>
              </w:rPr>
            </w:pPr>
          </w:p>
        </w:tc>
        <w:tc>
          <w:tcPr>
            <w:tcW w:w="5387" w:type="dxa"/>
            <w:tcBorders>
              <w:top w:val="single" w:sz="4" w:space="0" w:color="auto"/>
              <w:left w:val="single" w:sz="4" w:space="0" w:color="auto"/>
              <w:bottom w:val="single" w:sz="4" w:space="0" w:color="auto"/>
              <w:right w:val="single" w:sz="4" w:space="0" w:color="auto"/>
            </w:tcBorders>
            <w:textDirection w:val="lrTb"/>
            <w:vAlign w:val="top"/>
          </w:tcPr>
          <w:p w:rsidR="00CA1300" w:rsidRPr="00EB5033" w:rsidP="00CA1300">
            <w:pPr>
              <w:bidi w:val="0"/>
              <w:rPr>
                <w:rFonts w:ascii="Arial Narrow" w:hAnsi="Arial Narrow"/>
                <w:sz w:val="20"/>
                <w:szCs w:val="20"/>
              </w:rPr>
            </w:pPr>
            <w:r w:rsidRPr="00EB5033">
              <w:rPr>
                <w:rFonts w:ascii="Arial Narrow" w:hAnsi="Arial Narrow"/>
                <w:sz w:val="20"/>
                <w:szCs w:val="20"/>
              </w:rPr>
              <w:t>Na účely tohto zákona sa rozumie</w:t>
            </w:r>
          </w:p>
          <w:p w:rsidR="00CA1300" w:rsidRPr="00EB5033" w:rsidP="00CA1300">
            <w:pPr>
              <w:bidi w:val="0"/>
              <w:rPr>
                <w:rFonts w:ascii="Arial Narrow" w:hAnsi="Arial Narrow"/>
                <w:sz w:val="20"/>
                <w:szCs w:val="20"/>
              </w:rPr>
            </w:pPr>
            <w:r w:rsidRPr="00EB5033">
              <w:rPr>
                <w:rFonts w:ascii="Arial Narrow" w:hAnsi="Arial Narrow"/>
                <w:sz w:val="20"/>
                <w:szCs w:val="20"/>
              </w:rPr>
              <w:t>daňovníkom fyzická osoba alebo právnická osoba,</w:t>
            </w:r>
          </w:p>
          <w:p w:rsidR="00CA1300" w:rsidP="00CA1300">
            <w:pPr>
              <w:bidi w:val="0"/>
              <w:rPr>
                <w:rFonts w:ascii="Arial Narrow" w:hAnsi="Arial Narrow"/>
                <w:sz w:val="20"/>
                <w:szCs w:val="20"/>
              </w:rPr>
            </w:pPr>
          </w:p>
          <w:p w:rsidR="00CA1300" w:rsidRPr="00EB5033" w:rsidP="00CA1300">
            <w:pPr>
              <w:bidi w:val="0"/>
              <w:rPr>
                <w:rFonts w:ascii="Arial Narrow" w:hAnsi="Arial Narrow"/>
                <w:sz w:val="20"/>
                <w:szCs w:val="20"/>
              </w:rPr>
            </w:pPr>
            <w:r w:rsidRPr="00EB5033">
              <w:rPr>
                <w:rFonts w:ascii="Arial Narrow" w:hAnsi="Arial Narrow"/>
                <w:sz w:val="20"/>
                <w:szCs w:val="20"/>
              </w:rPr>
              <w:t>daňovníkom s neobmedzenou daňovou povinnosťou</w:t>
            </w:r>
          </w:p>
          <w:p w:rsidR="00CA1300" w:rsidP="00CA1300">
            <w:pPr>
              <w:bidi w:val="0"/>
              <w:rPr>
                <w:rFonts w:ascii="Arial Narrow" w:hAnsi="Arial Narrow"/>
                <w:sz w:val="20"/>
                <w:szCs w:val="20"/>
              </w:rPr>
            </w:pPr>
            <w:r w:rsidRPr="00EB5033">
              <w:rPr>
                <w:rFonts w:ascii="Arial Narrow" w:hAnsi="Arial Narrow"/>
                <w:sz w:val="20"/>
                <w:szCs w:val="20"/>
              </w:rPr>
              <w:t>2. právnická osoba, ktorá má na území Slovenskej republiky sídlo alebo miesto skutočného vedenia; miestom skutočného vedenia je miesto, kde sa prijímajú riadiace a obchodné rozhodnutia štatutárnych orgánov a dozorných orgánov právnickej osoby, aj ak adresa tohto miesta nie je zapísaná v obchodnom registri,</w:t>
            </w:r>
          </w:p>
          <w:p w:rsidR="00CA1300" w:rsidP="00CA1300">
            <w:pPr>
              <w:bidi w:val="0"/>
              <w:rPr>
                <w:rFonts w:ascii="Arial Narrow" w:hAnsi="Arial Narrow"/>
                <w:sz w:val="20"/>
                <w:szCs w:val="20"/>
              </w:rPr>
            </w:pPr>
          </w:p>
          <w:p w:rsidR="00CA1300" w:rsidRPr="00EB5033" w:rsidP="00CA1300">
            <w:pPr>
              <w:bidi w:val="0"/>
              <w:rPr>
                <w:rFonts w:ascii="Arial Narrow" w:hAnsi="Arial Narrow"/>
                <w:sz w:val="20"/>
                <w:szCs w:val="20"/>
              </w:rPr>
            </w:pPr>
            <w:r w:rsidRPr="00EB5033">
              <w:rPr>
                <w:rFonts w:ascii="Arial Narrow" w:hAnsi="Arial Narrow"/>
                <w:sz w:val="20"/>
                <w:szCs w:val="20"/>
              </w:rPr>
              <w:t>daňovníkom s obmedzenou daňovou povinnosťou</w:t>
            </w:r>
          </w:p>
          <w:p w:rsidR="00CA1300" w:rsidP="00CA1300">
            <w:pPr>
              <w:bidi w:val="0"/>
              <w:rPr>
                <w:rFonts w:ascii="Arial Narrow" w:hAnsi="Arial Narrow"/>
                <w:sz w:val="20"/>
                <w:szCs w:val="20"/>
              </w:rPr>
            </w:pPr>
            <w:r w:rsidRPr="00EB5033">
              <w:rPr>
                <w:rFonts w:ascii="Arial Narrow" w:hAnsi="Arial Narrow"/>
                <w:sz w:val="20"/>
                <w:szCs w:val="20"/>
              </w:rPr>
              <w:t>3. právnická osoba neuvedená v písmene d) druhom bode,</w:t>
            </w:r>
          </w:p>
          <w:p w:rsidR="00CA1300" w:rsidP="00CA1300">
            <w:pPr>
              <w:bidi w:val="0"/>
              <w:rPr>
                <w:rFonts w:ascii="Arial Narrow" w:hAnsi="Arial Narrow"/>
                <w:sz w:val="20"/>
                <w:szCs w:val="20"/>
              </w:rPr>
            </w:pPr>
          </w:p>
          <w:p w:rsidR="00CA1300" w:rsidP="00CA1300">
            <w:pPr>
              <w:bidi w:val="0"/>
              <w:rPr>
                <w:rFonts w:ascii="Arial Narrow" w:hAnsi="Arial Narrow"/>
                <w:sz w:val="20"/>
                <w:szCs w:val="20"/>
              </w:rPr>
            </w:pPr>
            <w:r w:rsidRPr="00EB5033">
              <w:rPr>
                <w:rFonts w:ascii="Arial Narrow" w:hAnsi="Arial Narrow"/>
                <w:sz w:val="20"/>
                <w:szCs w:val="20"/>
              </w:rPr>
              <w:t>daňovníkom členského štátu Európskej únie fyzická osoba alebo právnická osoba, ktorá podlieha zdaneniu na území tohto členského štátu Európskej únie z príjmov plynúcich zo zdrojov na území tohto členského štátu Európskej únie, ako aj zo zdrojov mimo územia tohto členského štátu Európskej únie a ktorá na území Slovenskej republiky nie je daňovníkom s neobmedzenou daňovou povinnosťou,</w:t>
            </w:r>
          </w:p>
          <w:p w:rsidR="00CA1300" w:rsidP="00CA1300">
            <w:pPr>
              <w:bidi w:val="0"/>
              <w:rPr>
                <w:rFonts w:ascii="Arial Narrow" w:hAnsi="Arial Narrow"/>
                <w:sz w:val="20"/>
                <w:szCs w:val="20"/>
              </w:rPr>
            </w:pPr>
          </w:p>
          <w:p w:rsidR="00CA1300" w:rsidRPr="00DE3E93" w:rsidP="00CA1300">
            <w:pPr>
              <w:bidi w:val="0"/>
              <w:rPr>
                <w:rFonts w:ascii="Arial Narrow" w:hAnsi="Arial Narrow"/>
                <w:sz w:val="20"/>
                <w:szCs w:val="20"/>
              </w:rPr>
            </w:pPr>
            <w:r w:rsidRPr="00DE3E93">
              <w:rPr>
                <w:rFonts w:ascii="Arial Narrow" w:hAnsi="Arial Narrow"/>
                <w:color w:val="000000"/>
                <w:sz w:val="20"/>
                <w:szCs w:val="20"/>
              </w:rPr>
              <w:t>Stálou prevádzkarňou sa na účely tohto zákona rozumie trvalé miesto alebo zariadenie na výkon činností, ktorého prostredníctvom daňovníci s obmedzenou daňovou povinnosťou vykonávajú úplne alebo sčasti svoju činnosť na území Slovenskej republiky, a to najmä miesto, z ktorého je činnosť daňovníka organizovaná, pobočka, kancelária, dielňa, pracovisko, miesto predaja, technické zariadenie alebo miesto prieskumu a ťažby prírodných zdrojov. Miesto alebo zariadenie na výkon činností je považované za trvalé, ak sa na výkon činnosti využíva sústavne alebo opakovane. Ak ide o jednorazovo vykonávanú činnosť, miesto alebo zariadenie, v ktorom je činnosť vykonávaná, sa považuje za trvalé, ak doba výkonu činnosti presiahne šesť mesiacov, a to súvisle alebo v niekoľkých obdobiach v akomkoľvek období dvanástich po sebe nasledujúcich mesiacov. Stavenisko, miesto vykonávania stavebných projektov a montážnych projektov sa považuje za stálu prevádzkareň, len ak výkon činnosti na nich presiahne šesť mesiacov. Stálou prevádzkarňou je aj osoba, ktorá koná v mene daňovníka s obmedzenou daňovou povinnosťou a sústavne alebo opakovane prerokováva alebo uzatvára v jeho mene zmluvy na základe splnomocnenia. Osoba koná v mene daňovníka, ak koná na základe jeho pokynov, pričom daňovník výsledky jej činnosti kontroluje a nesie za ne podnikateľské riziko.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r>
              <w:rPr>
                <w:rFonts w:ascii="Arial Narrow" w:hAnsi="Arial Narrow"/>
                <w:sz w:val="20"/>
                <w:szCs w:val="20"/>
              </w:rPr>
              <w:t>Ú</w:t>
            </w:r>
          </w:p>
        </w:tc>
        <w:tc>
          <w:tcPr>
            <w:tcW w:w="743" w:type="dxa"/>
            <w:tcBorders>
              <w:top w:val="single" w:sz="4" w:space="0" w:color="auto"/>
              <w:left w:val="single" w:sz="4" w:space="0" w:color="auto"/>
              <w:bottom w:val="single" w:sz="4" w:space="0" w:color="auto"/>
              <w:right w:val="single" w:sz="12" w:space="0" w:color="auto"/>
            </w:tcBorders>
            <w:textDirection w:val="lrTb"/>
            <w:vAlign w:val="top"/>
          </w:tcPr>
          <w:p w:rsidR="00CA1300" w:rsidRPr="007D0941" w:rsidP="00CA1300">
            <w:pPr>
              <w:pStyle w:val="Heading1"/>
              <w:bidi w:val="0"/>
              <w:jc w:val="both"/>
              <w:rPr>
                <w:rFonts w:ascii="Arial Narrow" w:hAnsi="Arial Narrow"/>
                <w:b w:val="0"/>
                <w:bCs w:val="0"/>
                <w:kern w:val="0"/>
                <w:sz w:val="20"/>
                <w:szCs w:val="20"/>
              </w:rPr>
            </w:pPr>
          </w:p>
        </w:tc>
      </w:tr>
      <w:tr>
        <w:tblPrEx>
          <w:tblW w:w="15884" w:type="dxa"/>
          <w:tblInd w:w="-1382"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r w:rsidRPr="0024166E">
              <w:rPr>
                <w:rFonts w:ascii="Arial Narrow" w:hAnsi="Arial Narrow"/>
                <w:sz w:val="20"/>
                <w:szCs w:val="20"/>
              </w:rPr>
              <w:t>Čl.3</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1. Na účely uplatňovania tejto smernice: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a) štatút materskej spoločnosti sa prizná: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i) aspoň spoločnosti členského štátu, ktorá spĺňa podmienky stanovené v článku 2 a ktorá má minimálne 10 % podiel kapitálu spoločnosti iného členského štátu, ktorá spĺňa rovnaké podmienky;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ii) za rovnakých podmienok spoločnosti členského štátu, ktorá má minimálne 10 % podiel kapitálu spoločnosti toho istého členského štátu vlastnený ako celok alebo čiastkovo stálou prevádzkarňou prvej spoločnosti, ktoré sa nachádza v inom členskom štáte;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b) „dcérska spoločnosť“ znamená spoločnosť, ktorej kapitál zahŕňa podiel uvedený v písmene a).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2. Odlišne od odseku 1, členské štáty majú možnosť: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a) nahradiť prostredníctvom dvojstrannej dohody kritérium podielu na kapitále kritériom podielu na hlasovacích právach; </w:t>
            </w:r>
          </w:p>
          <w:p w:rsidR="00CA1300" w:rsidRPr="0024166E" w:rsidP="00CA1300">
            <w:pPr>
              <w:pStyle w:val="Normlny"/>
              <w:bidi w:val="0"/>
              <w:jc w:val="both"/>
              <w:rPr>
                <w:rFonts w:ascii="Arial Narrow" w:hAnsi="Arial Narrow"/>
              </w:rPr>
            </w:pPr>
            <w:r w:rsidRPr="0024166E">
              <w:rPr>
                <w:rFonts w:ascii="Arial Narrow" w:hAnsi="Arial Narrow" w:cs="EUAlbertina"/>
                <w:color w:val="000000"/>
              </w:rPr>
              <w:t>b) neuplatňovať túto smernicu na spoločnosti členského štátu, ktoré neudržiavajú počas súvislého obdobia aspoň dvoch rokov podiely kvalifikujúce ich za materské spoločnosti, alebo na tie zo svojich spoločností, v ktorých spoločnosť iného členského štátu neudržiava takýto podiel počas súvislého obdobia aspoň dvoch rokov.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A1300" w:rsidP="00CA1300">
            <w:pPr>
              <w:bidi w:val="0"/>
              <w:jc w:val="both"/>
              <w:rPr>
                <w:rFonts w:ascii="Arial Narrow" w:hAnsi="Arial Narrow"/>
                <w:sz w:val="20"/>
                <w:szCs w:val="20"/>
              </w:rPr>
            </w:pPr>
            <w:r>
              <w:rPr>
                <w:rFonts w:ascii="Arial Narrow" w:hAnsi="Arial Narrow"/>
                <w:sz w:val="20"/>
                <w:szCs w:val="20"/>
              </w:rPr>
              <w:t>D</w:t>
            </w:r>
          </w:p>
          <w:p w:rsidR="00CA1300" w:rsidRPr="00EB5033" w:rsidP="00CA1300">
            <w:pPr>
              <w:bidi w:val="0"/>
              <w:rPr>
                <w:rFonts w:ascii="Arial Narrow" w:hAnsi="Arial Narrow"/>
                <w:sz w:val="20"/>
                <w:szCs w:val="20"/>
              </w:rPr>
            </w:pPr>
          </w:p>
        </w:tc>
        <w:tc>
          <w:tcPr>
            <w:tcW w:w="851" w:type="dxa"/>
            <w:tcBorders>
              <w:top w:val="single" w:sz="4" w:space="0" w:color="auto"/>
              <w:left w:val="nil"/>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Normlny"/>
              <w:bidi w:val="0"/>
              <w:jc w:val="both"/>
              <w:rPr>
                <w:rFonts w:ascii="Arial Narrow" w:hAnsi="Arial Narrow"/>
              </w:rPr>
            </w:pPr>
          </w:p>
        </w:tc>
        <w:tc>
          <w:tcPr>
            <w:tcW w:w="5387" w:type="dxa"/>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Normlny"/>
              <w:bidi w:val="0"/>
              <w:jc w:val="both"/>
              <w:rPr>
                <w:rFonts w:ascii="Arial Narrow" w:hAnsi="Arial Narrow"/>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r>
              <w:rPr>
                <w:rFonts w:ascii="Arial Narrow" w:hAnsi="Arial Narrow"/>
                <w:sz w:val="20"/>
                <w:szCs w:val="20"/>
              </w:rPr>
              <w:t>n.a.</w:t>
            </w:r>
          </w:p>
        </w:tc>
        <w:tc>
          <w:tcPr>
            <w:tcW w:w="743" w:type="dxa"/>
            <w:tcBorders>
              <w:top w:val="single" w:sz="4" w:space="0" w:color="auto"/>
              <w:left w:val="single" w:sz="4" w:space="0" w:color="auto"/>
              <w:bottom w:val="single" w:sz="4" w:space="0" w:color="auto"/>
              <w:right w:val="single" w:sz="12" w:space="0" w:color="auto"/>
            </w:tcBorders>
            <w:textDirection w:val="lrTb"/>
            <w:vAlign w:val="top"/>
          </w:tcPr>
          <w:p w:rsidR="00CA1300" w:rsidRPr="007D0941" w:rsidP="00CA1300">
            <w:pPr>
              <w:pStyle w:val="Heading1"/>
              <w:bidi w:val="0"/>
              <w:jc w:val="both"/>
              <w:rPr>
                <w:rFonts w:ascii="Arial Narrow" w:hAnsi="Arial Narrow"/>
                <w:b w:val="0"/>
                <w:bCs w:val="0"/>
                <w:kern w:val="0"/>
                <w:sz w:val="20"/>
                <w:szCs w:val="20"/>
              </w:rPr>
            </w:pPr>
          </w:p>
        </w:tc>
      </w:tr>
      <w:tr>
        <w:tblPrEx>
          <w:tblW w:w="15884" w:type="dxa"/>
          <w:tblInd w:w="-1382"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r w:rsidRPr="0024166E">
              <w:rPr>
                <w:rFonts w:ascii="Arial Narrow" w:hAnsi="Arial Narrow"/>
                <w:sz w:val="20"/>
                <w:szCs w:val="20"/>
              </w:rPr>
              <w:t>Čl.4</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1. Keď materská spoločnosť alebo jej stála prevádzkareň na základe združenia materskej spoločnosti s jej dcérskou spoločnosťou dostáva prerozdelené zisky, štát materskej spoločnosti a členský štát jej stálej prevádzkarne, okrem prípadu likvidácie dcérskej spoločnosti buď: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a) upustí od zdanenia takýchto ziskov, alebo </w:t>
            </w:r>
          </w:p>
          <w:p w:rsidR="00CA1300" w:rsidRPr="0024166E" w:rsidP="00CA1300">
            <w:pPr>
              <w:pStyle w:val="CM1"/>
              <w:bidi w:val="0"/>
              <w:spacing w:before="200" w:after="20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b) zdaní tieto zisky, pričom oprávni materskú spoločnosť a stálu prevádzkareň odrátať si od dane zlomok dane z príjmu právnických osôb spojenú s týmito ziskami a platenú dcérskymi spoločnosťami a všetkými úrovňami, ktoré sú pod nimi, za podmienky, že všetky úrovne spadajú pod definície stanovené v článku 2 a že sa na všetkých úrovniach splnia požiadavky stanovené v článku 3, do výšky limitu zodpovedajúcej dane.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2. Nič v tejto smernici nezabraňuje členskému štátu materskej spoločnosti, aby považoval dcérsku spoločnosť za fiškálne transparentnú na základe hodnotenia, ktoré vypracuje členský štát, právnych charakteristík dcérskej spoločnosti vyplývajúcich z práva, na základe ktorého bola spoločnosť založená, a aby preto zdanil materskú spoločnosť pri podiele zo ziskov jej dcérskej spoločnosti, keď sa tieto zisky objavia. V tomto prípade členský štát materskej spoločnosti upustí od zdanenia prerozdelených ziskov dcérskej spoločnosti.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Pri hodnotení podielu materskej spoločnosti na ziskoch dcérskej spoločnosti v prípade, že sa objavia, členský štát materskej spoločnosti buď oslobodí tieto zisky od zdanenia, alebo povolí materskej spoločnosti odrátať si od dane zlomok dane z príjmu právnických osôb spojenú s podielom materskej spoločnosti na ziskoch a platenú dcérskymi spoločnosťami a všetkými úrovňami, ktoré sú pod nimi, za podmienky, že všetky úrovne spadajú pod definície stanovené v článku 2 a že sa na všetkých úrovniach splnia požiadavky stanovené v článku 3, do výšky limitu zodpovedajúcej dane.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3. Každému členskému štátu sa ponecháva možnosť stanoviť, že akékoľvek poplatky vzťahujúce sa na vlastníctvo a akékoľvek straty pochádzajúce z rozdelenia ziskov dcérskej spoločnosti nemožno odrátať zo zdaniteľných ziskov materskej spoločnosti.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Tam, kde sú náklady na riadenie týkajúce sa vlastníctva v takomto prípade určené paušálne, určené množstvo nemôže presiahnuť 5 % ziskov rozdelených dcérskou spoločnosťou.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4. Odseky 1 a 2 sa uplatňujú do dátumu, kedy nadobudne účinnosť jednotný systém zdaňovania spoločností. </w:t>
            </w:r>
          </w:p>
          <w:p w:rsidR="00CA1300" w:rsidRPr="0024166E" w:rsidP="00CA1300">
            <w:pPr>
              <w:pStyle w:val="Normlny"/>
              <w:bidi w:val="0"/>
              <w:jc w:val="both"/>
              <w:rPr>
                <w:rFonts w:ascii="Arial Narrow" w:hAnsi="Arial Narrow" w:cs="EUAlbertina"/>
                <w:color w:val="000000"/>
              </w:rPr>
            </w:pPr>
            <w:r w:rsidRPr="0024166E">
              <w:rPr>
                <w:rFonts w:ascii="Arial Narrow" w:hAnsi="Arial Narrow" w:cs="EUAlbertina"/>
                <w:color w:val="000000"/>
              </w:rPr>
              <w:t>5. Rada konajúc jednomyseľne v súlade s mimoriadnym legislatívnym postupom a po porade s Európskym parlamentom a Hospodárskym a sociálnym výborom v primeranom čase prijme pravidlá, ktoré sa budú uplatňovať od dátumu skutočného nadobudnutia účinnosti jednotného systému zdaňovania spoločností.</w:t>
            </w:r>
          </w:p>
          <w:p w:rsidR="00CA1300" w:rsidRPr="0024166E" w:rsidP="00CA1300">
            <w:pPr>
              <w:pStyle w:val="Normlny"/>
              <w:bidi w:val="0"/>
              <w:jc w:val="both"/>
              <w:rPr>
                <w:rFonts w:ascii="Arial Narrow" w:hAnsi="Arial Narrow"/>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A1300" w:rsidP="00CA1300">
            <w:pPr>
              <w:bidi w:val="0"/>
              <w:jc w:val="both"/>
              <w:rPr>
                <w:rFonts w:ascii="Arial Narrow" w:hAnsi="Arial Narrow"/>
                <w:sz w:val="20"/>
                <w:szCs w:val="20"/>
              </w:rPr>
            </w:pPr>
            <w:r>
              <w:rPr>
                <w:rFonts w:ascii="Arial Narrow" w:hAnsi="Arial Narrow"/>
                <w:sz w:val="20"/>
                <w:szCs w:val="20"/>
              </w:rPr>
              <w:t>O</w:t>
            </w: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RPr="0024166E" w:rsidP="00CA1300">
            <w:pPr>
              <w:bidi w:val="0"/>
              <w:jc w:val="both"/>
              <w:rPr>
                <w:rFonts w:ascii="Arial Narrow" w:hAnsi="Arial Narrow"/>
                <w:sz w:val="20"/>
                <w:szCs w:val="20"/>
              </w:rPr>
            </w:pPr>
            <w:r>
              <w:rPr>
                <w:rFonts w:ascii="Arial Narrow" w:hAnsi="Arial Narrow"/>
                <w:sz w:val="20"/>
                <w:szCs w:val="20"/>
              </w:rPr>
              <w:t>n.a.</w:t>
            </w:r>
          </w:p>
        </w:tc>
        <w:tc>
          <w:tcPr>
            <w:tcW w:w="851" w:type="dxa"/>
            <w:tcBorders>
              <w:top w:val="single" w:sz="4" w:space="0" w:color="auto"/>
              <w:left w:val="nil"/>
              <w:bottom w:val="single" w:sz="4" w:space="0" w:color="auto"/>
              <w:right w:val="single" w:sz="4" w:space="0" w:color="auto"/>
            </w:tcBorders>
            <w:textDirection w:val="lrTb"/>
            <w:vAlign w:val="top"/>
          </w:tcPr>
          <w:p w:rsidR="00CA1300" w:rsidRPr="00177E75" w:rsidP="00CA1300">
            <w:pPr>
              <w:bidi w:val="0"/>
              <w:jc w:val="both"/>
              <w:rPr>
                <w:rFonts w:ascii="Arial Narrow" w:hAnsi="Arial Narrow"/>
                <w:sz w:val="20"/>
                <w:szCs w:val="20"/>
              </w:rPr>
            </w:pPr>
            <w:r w:rsidRPr="00177E75">
              <w:rPr>
                <w:rFonts w:ascii="Arial Narrow" w:hAnsi="Arial Narrow"/>
                <w:sz w:val="20"/>
                <w:szCs w:val="20"/>
              </w:rPr>
              <w:t>595/2003</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A1300" w:rsidP="00CA1300">
            <w:pPr>
              <w:pStyle w:val="Normlny"/>
              <w:bidi w:val="0"/>
              <w:rPr>
                <w:rFonts w:ascii="Arial Narrow" w:hAnsi="Arial Narrow"/>
              </w:rPr>
            </w:pPr>
            <w:r>
              <w:rPr>
                <w:rFonts w:ascii="Arial Narrow" w:hAnsi="Arial Narrow"/>
              </w:rPr>
              <w:t>§ 3 ods.2 pís.c)</w:t>
            </w:r>
          </w:p>
          <w:p w:rsidR="00CA1300" w:rsidP="00CA1300">
            <w:pPr>
              <w:pStyle w:val="Normlny"/>
              <w:bidi w:val="0"/>
              <w:rPr>
                <w:rFonts w:ascii="Arial Narrow" w:hAnsi="Arial Narrow"/>
              </w:rPr>
            </w:pPr>
          </w:p>
          <w:p w:rsidR="00CA1300" w:rsidP="00CA1300">
            <w:pPr>
              <w:pStyle w:val="Normlny"/>
              <w:bidi w:val="0"/>
              <w:rPr>
                <w:rFonts w:ascii="Arial Narrow" w:hAnsi="Arial Narrow"/>
              </w:rPr>
            </w:pPr>
          </w:p>
          <w:p w:rsidR="00CA1300" w:rsidP="00CA1300">
            <w:pPr>
              <w:pStyle w:val="Normlny"/>
              <w:bidi w:val="0"/>
              <w:rPr>
                <w:rFonts w:ascii="Arial Narrow" w:hAnsi="Arial Narrow"/>
              </w:rPr>
            </w:pPr>
          </w:p>
          <w:p w:rsidR="00CA1300" w:rsidP="00CA1300">
            <w:pPr>
              <w:pStyle w:val="Normlny"/>
              <w:bidi w:val="0"/>
              <w:rPr>
                <w:rFonts w:ascii="Arial Narrow" w:hAnsi="Arial Narrow"/>
              </w:rPr>
            </w:pPr>
          </w:p>
          <w:p w:rsidR="00CA1300" w:rsidP="00CA1300">
            <w:pPr>
              <w:pStyle w:val="Normlny"/>
              <w:bidi w:val="0"/>
              <w:rPr>
                <w:rFonts w:ascii="Arial Narrow" w:hAnsi="Arial Narrow"/>
              </w:rPr>
            </w:pPr>
          </w:p>
          <w:p w:rsidR="00CA1300" w:rsidP="00CA1300">
            <w:pPr>
              <w:pStyle w:val="Normlny"/>
              <w:bidi w:val="0"/>
              <w:rPr>
                <w:rFonts w:ascii="Arial Narrow" w:hAnsi="Arial Narrow"/>
              </w:rPr>
            </w:pPr>
          </w:p>
          <w:p w:rsidR="00CA1300" w:rsidP="00CA1300">
            <w:pPr>
              <w:pStyle w:val="Normlny"/>
              <w:bidi w:val="0"/>
              <w:rPr>
                <w:rFonts w:ascii="Arial Narrow" w:hAnsi="Arial Narrow"/>
              </w:rPr>
            </w:pPr>
          </w:p>
          <w:p w:rsidR="00CA1300" w:rsidP="00CA1300">
            <w:pPr>
              <w:pStyle w:val="Normlny"/>
              <w:bidi w:val="0"/>
              <w:rPr>
                <w:rFonts w:ascii="Arial Narrow" w:hAnsi="Arial Narrow"/>
              </w:rPr>
            </w:pPr>
          </w:p>
          <w:p w:rsidR="00CA1300" w:rsidP="00CA1300">
            <w:pPr>
              <w:pStyle w:val="Normlny"/>
              <w:bidi w:val="0"/>
              <w:rPr>
                <w:rFonts w:ascii="Arial Narrow" w:hAnsi="Arial Narrow"/>
              </w:rPr>
            </w:pPr>
          </w:p>
          <w:p w:rsidR="00CA1300" w:rsidP="00CA1300">
            <w:pPr>
              <w:pStyle w:val="Normlny"/>
              <w:bidi w:val="0"/>
              <w:rPr>
                <w:rFonts w:ascii="Arial Narrow" w:hAnsi="Arial Narrow"/>
              </w:rPr>
            </w:pPr>
          </w:p>
          <w:p w:rsidR="00CA1300" w:rsidP="00CA1300">
            <w:pPr>
              <w:pStyle w:val="Normlny"/>
              <w:bidi w:val="0"/>
              <w:rPr>
                <w:rFonts w:ascii="Arial Narrow" w:hAnsi="Arial Narrow"/>
              </w:rPr>
            </w:pPr>
          </w:p>
          <w:p w:rsidR="00CA1300" w:rsidP="00CA1300">
            <w:pPr>
              <w:pStyle w:val="Normlny"/>
              <w:bidi w:val="0"/>
              <w:rPr>
                <w:rFonts w:ascii="Arial Narrow" w:hAnsi="Arial Narrow"/>
              </w:rPr>
            </w:pPr>
          </w:p>
          <w:p w:rsidR="00CA1300" w:rsidP="00CA1300">
            <w:pPr>
              <w:pStyle w:val="Normlny"/>
              <w:bidi w:val="0"/>
              <w:rPr>
                <w:rFonts w:ascii="Arial Narrow" w:hAnsi="Arial Narrow"/>
              </w:rPr>
            </w:pPr>
          </w:p>
          <w:p w:rsidR="00CA1300" w:rsidP="00CA1300">
            <w:pPr>
              <w:pStyle w:val="Normlny"/>
              <w:bidi w:val="0"/>
              <w:rPr>
                <w:rFonts w:ascii="Arial Narrow" w:hAnsi="Arial Narrow"/>
              </w:rPr>
            </w:pPr>
          </w:p>
          <w:p w:rsidR="00CA1300" w:rsidP="00CA1300">
            <w:pPr>
              <w:pStyle w:val="Normlny"/>
              <w:bidi w:val="0"/>
              <w:rPr>
                <w:rFonts w:ascii="Arial Narrow" w:hAnsi="Arial Narrow"/>
              </w:rPr>
            </w:pPr>
          </w:p>
          <w:p w:rsidR="00CA1300" w:rsidP="00CA1300">
            <w:pPr>
              <w:pStyle w:val="Normlny"/>
              <w:bidi w:val="0"/>
              <w:rPr>
                <w:rFonts w:ascii="Arial Narrow" w:hAnsi="Arial Narrow"/>
              </w:rPr>
            </w:pPr>
          </w:p>
          <w:p w:rsidR="00CA1300" w:rsidP="00CA1300">
            <w:pPr>
              <w:pStyle w:val="Normlny"/>
              <w:bidi w:val="0"/>
              <w:rPr>
                <w:rFonts w:ascii="Arial Narrow" w:hAnsi="Arial Narrow"/>
              </w:rPr>
            </w:pPr>
          </w:p>
          <w:p w:rsidR="00CA1300" w:rsidP="00CA1300">
            <w:pPr>
              <w:pStyle w:val="Normlny"/>
              <w:bidi w:val="0"/>
              <w:rPr>
                <w:rFonts w:ascii="Arial Narrow" w:hAnsi="Arial Narrow"/>
              </w:rPr>
            </w:pPr>
          </w:p>
          <w:p w:rsidR="00CA1300" w:rsidP="00CA1300">
            <w:pPr>
              <w:pStyle w:val="Normlny"/>
              <w:bidi w:val="0"/>
              <w:rPr>
                <w:rFonts w:ascii="Arial Narrow" w:hAnsi="Arial Narrow"/>
              </w:rPr>
            </w:pPr>
            <w:r>
              <w:rPr>
                <w:rFonts w:ascii="Arial Narrow" w:hAnsi="Arial Narrow"/>
              </w:rPr>
              <w:t>§ 12 ods.1 pís.c)</w:t>
            </w:r>
          </w:p>
          <w:p w:rsidR="00CA1300" w:rsidP="00CA1300">
            <w:pPr>
              <w:pStyle w:val="Normlny"/>
              <w:bidi w:val="0"/>
              <w:rPr>
                <w:rFonts w:ascii="Arial Narrow" w:hAnsi="Arial Narrow"/>
              </w:rPr>
            </w:pPr>
          </w:p>
          <w:p w:rsidR="00CA1300" w:rsidP="00CA1300">
            <w:pPr>
              <w:pStyle w:val="Normlny"/>
              <w:bidi w:val="0"/>
              <w:rPr>
                <w:rFonts w:ascii="Arial Narrow" w:hAnsi="Arial Narrow"/>
              </w:rPr>
            </w:pPr>
          </w:p>
          <w:p w:rsidR="00CA1300" w:rsidP="00CA1300">
            <w:pPr>
              <w:pStyle w:val="Normlny"/>
              <w:bidi w:val="0"/>
              <w:rPr>
                <w:rFonts w:ascii="Arial Narrow" w:hAnsi="Arial Narrow"/>
              </w:rPr>
            </w:pPr>
          </w:p>
          <w:p w:rsidR="00CA1300" w:rsidP="00CA1300">
            <w:pPr>
              <w:pStyle w:val="Normlny"/>
              <w:bidi w:val="0"/>
              <w:rPr>
                <w:rFonts w:ascii="Arial Narrow" w:hAnsi="Arial Narrow"/>
              </w:rPr>
            </w:pPr>
          </w:p>
          <w:p w:rsidR="00CA1300" w:rsidRPr="0024166E" w:rsidP="00CA1300">
            <w:pPr>
              <w:pStyle w:val="Normlny"/>
              <w:bidi w:val="0"/>
              <w:rPr>
                <w:rFonts w:ascii="Arial Narrow" w:hAnsi="Arial Narrow"/>
              </w:rPr>
            </w:pPr>
            <w:r>
              <w:rPr>
                <w:rFonts w:ascii="Arial Narrow" w:hAnsi="Arial Narrow"/>
              </w:rPr>
              <w:t>§ 16 ods.3</w:t>
            </w:r>
          </w:p>
        </w:tc>
        <w:tc>
          <w:tcPr>
            <w:tcW w:w="5387" w:type="dxa"/>
            <w:tcBorders>
              <w:top w:val="single" w:sz="4" w:space="0" w:color="auto"/>
              <w:left w:val="single" w:sz="4" w:space="0" w:color="auto"/>
              <w:bottom w:val="single" w:sz="4" w:space="0" w:color="auto"/>
              <w:right w:val="single" w:sz="4" w:space="0" w:color="auto"/>
            </w:tcBorders>
            <w:textDirection w:val="lrTb"/>
            <w:vAlign w:val="top"/>
          </w:tcPr>
          <w:p w:rsidR="00CA1300" w:rsidP="00CA1300">
            <w:pPr>
              <w:pStyle w:val="Normlny"/>
              <w:bidi w:val="0"/>
              <w:jc w:val="both"/>
              <w:rPr>
                <w:rFonts w:ascii="Arial Narrow" w:hAnsi="Arial Narrow"/>
              </w:rPr>
            </w:pPr>
            <w:r w:rsidRPr="00FB45E2">
              <w:rPr>
                <w:rFonts w:ascii="Arial Narrow" w:hAnsi="Arial Narrow"/>
              </w:rPr>
              <w:t>Predmetom dane nie je</w:t>
            </w:r>
          </w:p>
          <w:p w:rsidR="00CA1300" w:rsidP="00CA1300">
            <w:pPr>
              <w:pStyle w:val="Normlny"/>
              <w:bidi w:val="0"/>
              <w:jc w:val="both"/>
              <w:rPr>
                <w:rFonts w:ascii="Arial Narrow" w:hAnsi="Arial Narrow"/>
              </w:rPr>
            </w:pPr>
            <w:r w:rsidRPr="00FB45E2">
              <w:rPr>
                <w:rFonts w:ascii="Arial Narrow" w:hAnsi="Arial Narrow"/>
              </w:rPr>
              <w:t>podiel na zisku (dividenda) vyplácaný zo zisku obchodnej spoločnosti alebo družstva, určeného na rozdelenie osobám, ktoré sa podieľajú na ich základnom imaní alebo členom štatutárneho a dozorného orgánu tejto obchodnej spoločnosti alebo družstva, aj keď sú zamestnancami tejto obchodnej spoločnosti alebo družstva, vyrovnací podiel, podiel na likvidačnom zostatku obchodnej spoločnosti alebo družstva a podiel na výsledku podnikania vyplácaný tichému spoločníkovi okrem podielu na výsledku podnikania vyplácaného tichému spoločníkovi verejnej obchodnej spoločnosti, podielu na zisku spoločníka verejnej obchodnej spoločnosti a komplementára komanditnej spoločnosti a okrem podielu spoločníka verejnej obchodnej spoločnosti a komplementára komanditnej spoločnosti na likvidačnom zostatku pri likvidácii spoločnosti a vyrovnacieho podielu pri zániku účasti spoločníka vo verejnej obchodnej spoločnosti alebo pri zániku účasti komplementára v komanditnej spoločnosti; za obchodnú spoločnosť alebo družstvo sa považuje aj obdobná obchodná spoločnosť alebo družstvo so sídlom v zahraničí,</w:t>
            </w: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RPr="00FB45E2" w:rsidP="00CA1300">
            <w:pPr>
              <w:pStyle w:val="Normlny"/>
              <w:bidi w:val="0"/>
              <w:jc w:val="both"/>
              <w:rPr>
                <w:rFonts w:ascii="Arial Narrow" w:hAnsi="Arial Narrow"/>
              </w:rPr>
            </w:pPr>
            <w:r>
              <w:rPr>
                <w:rFonts w:ascii="Arial Narrow" w:hAnsi="Arial Narrow"/>
              </w:rPr>
              <w:t>P</w:t>
            </w:r>
            <w:r w:rsidRPr="00FB45E2">
              <w:rPr>
                <w:rFonts w:ascii="Arial Narrow" w:hAnsi="Arial Narrow"/>
              </w:rPr>
              <w:t>redmetom dane daňovníka, ktorý je</w:t>
            </w:r>
          </w:p>
          <w:p w:rsidR="00CA1300" w:rsidP="00CA1300">
            <w:pPr>
              <w:pStyle w:val="Normlny"/>
              <w:bidi w:val="0"/>
              <w:jc w:val="both"/>
              <w:rPr>
                <w:rFonts w:ascii="Arial Narrow" w:hAnsi="Arial Narrow"/>
              </w:rPr>
            </w:pPr>
            <w:r w:rsidRPr="00FB45E2">
              <w:rPr>
                <w:rFonts w:ascii="Arial Narrow" w:hAnsi="Arial Narrow"/>
              </w:rPr>
              <w:t xml:space="preserve">  </w:t>
            </w:r>
          </w:p>
          <w:p w:rsidR="00CA1300" w:rsidP="00CA1300">
            <w:pPr>
              <w:pStyle w:val="Normlny"/>
              <w:bidi w:val="0"/>
              <w:jc w:val="both"/>
              <w:rPr>
                <w:rFonts w:ascii="Arial Narrow" w:hAnsi="Arial Narrow"/>
              </w:rPr>
            </w:pPr>
            <w:r w:rsidRPr="00FB45E2">
              <w:rPr>
                <w:rFonts w:ascii="Arial Narrow" w:hAnsi="Arial Narrow"/>
              </w:rPr>
              <w:t>dôchodkovou správcovskou spoločnosťou a vytvára a spravuje dôchodkové fondy, 40a) sú len príjmy dôchodkovej správcovskej spoločnosti.</w:t>
            </w: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RPr="0024166E" w:rsidP="00CA1300">
            <w:pPr>
              <w:pStyle w:val="Normlny"/>
              <w:bidi w:val="0"/>
              <w:jc w:val="both"/>
              <w:rPr>
                <w:rFonts w:ascii="Arial Narrow" w:hAnsi="Arial Narrow"/>
              </w:rPr>
            </w:pPr>
            <w:r w:rsidRPr="00BE72D1">
              <w:rPr>
                <w:rFonts w:ascii="Arial Narrow" w:hAnsi="Arial Narrow"/>
              </w:rPr>
              <w:t>Príjem dosahovaný v stálej prevádzkarni je aj príjem spoločníkov verejnej obchodnej spoločnosti a komplementárov komanditnej spoločnosti, ktorí sú daňovníkmi s obmedzenou daňovou povinnosťou a ktorý im plynie z účasti v týchto spoločnostiach a z úverov a pôžičiek poskytnutých týmto spoločnostiam. Na zabezpečenie dane z uvedených príjmov sa použije § 44 ods. 2.</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A1300" w:rsidP="00CA1300">
            <w:pPr>
              <w:bidi w:val="0"/>
              <w:jc w:val="both"/>
              <w:rPr>
                <w:rFonts w:ascii="Arial Narrow" w:hAnsi="Arial Narrow"/>
                <w:sz w:val="20"/>
                <w:szCs w:val="20"/>
              </w:rPr>
            </w:pPr>
            <w:r>
              <w:rPr>
                <w:rFonts w:ascii="Arial Narrow" w:hAnsi="Arial Narrow"/>
                <w:sz w:val="20"/>
                <w:szCs w:val="20"/>
              </w:rPr>
              <w:t>Ú</w:t>
            </w: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RPr="0024166E" w:rsidP="00CA1300">
            <w:pPr>
              <w:bidi w:val="0"/>
              <w:jc w:val="both"/>
              <w:rPr>
                <w:rFonts w:ascii="Arial Narrow" w:hAnsi="Arial Narrow"/>
                <w:sz w:val="20"/>
                <w:szCs w:val="20"/>
              </w:rPr>
            </w:pPr>
            <w:r>
              <w:rPr>
                <w:rFonts w:ascii="Arial Narrow" w:hAnsi="Arial Narrow"/>
                <w:sz w:val="20"/>
                <w:szCs w:val="20"/>
              </w:rPr>
              <w:t>n.a.</w:t>
            </w:r>
          </w:p>
        </w:tc>
        <w:tc>
          <w:tcPr>
            <w:tcW w:w="743" w:type="dxa"/>
            <w:tcBorders>
              <w:top w:val="single" w:sz="4" w:space="0" w:color="auto"/>
              <w:left w:val="single" w:sz="4" w:space="0" w:color="auto"/>
              <w:bottom w:val="single" w:sz="4" w:space="0" w:color="auto"/>
              <w:right w:val="single" w:sz="12" w:space="0" w:color="auto"/>
            </w:tcBorders>
            <w:textDirection w:val="lrTb"/>
            <w:vAlign w:val="top"/>
          </w:tcPr>
          <w:p w:rsidR="00CA1300" w:rsidRPr="007D0941" w:rsidP="00CA1300">
            <w:pPr>
              <w:pStyle w:val="Heading1"/>
              <w:bidi w:val="0"/>
              <w:jc w:val="both"/>
              <w:rPr>
                <w:rFonts w:ascii="Arial Narrow" w:hAnsi="Arial Narrow"/>
                <w:b w:val="0"/>
                <w:bCs w:val="0"/>
                <w:kern w:val="0"/>
                <w:sz w:val="20"/>
                <w:szCs w:val="20"/>
              </w:rPr>
            </w:pPr>
          </w:p>
        </w:tc>
      </w:tr>
      <w:tr>
        <w:tblPrEx>
          <w:tblW w:w="15884" w:type="dxa"/>
          <w:tblInd w:w="-1382" w:type="dxa"/>
          <w:tblLayout w:type="fixed"/>
          <w:tblCellMar>
            <w:left w:w="43" w:type="dxa"/>
            <w:right w:w="43" w:type="dxa"/>
          </w:tblCellMar>
        </w:tblPrEx>
        <w:trPr>
          <w:trHeight w:val="494"/>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CA1300" w:rsidRPr="006C4102" w:rsidP="00CA1300">
            <w:pPr>
              <w:bidi w:val="0"/>
              <w:jc w:val="both"/>
              <w:rPr>
                <w:rFonts w:ascii="Arial Narrow" w:hAnsi="Arial Narrow"/>
                <w:sz w:val="20"/>
                <w:szCs w:val="20"/>
              </w:rPr>
            </w:pPr>
            <w:r w:rsidRPr="006C4102">
              <w:rPr>
                <w:rFonts w:ascii="Arial Narrow" w:hAnsi="Arial Narrow"/>
                <w:sz w:val="20"/>
                <w:szCs w:val="20"/>
              </w:rPr>
              <w:t>Čl.5</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CA1300" w:rsidRPr="006C4102" w:rsidP="00CA1300">
            <w:pPr>
              <w:pStyle w:val="Normlny"/>
              <w:bidi w:val="0"/>
              <w:jc w:val="both"/>
              <w:rPr>
                <w:rFonts w:ascii="Arial Narrow" w:hAnsi="Arial Narrow"/>
              </w:rPr>
            </w:pPr>
            <w:r w:rsidRPr="006C4102">
              <w:rPr>
                <w:rFonts w:ascii="Arial Narrow" w:hAnsi="Arial Narrow" w:cs="EUAlbertina"/>
                <w:color w:val="000000"/>
              </w:rPr>
              <w:t>Zisky, ktoré dcérska spoločnosť rozdeľuje svojej materskej spoločnosti, sa oslobodzujú od zrážkovej dane.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A1300" w:rsidRPr="006C4102" w:rsidP="00CA1300">
            <w:pPr>
              <w:bidi w:val="0"/>
              <w:jc w:val="both"/>
              <w:rPr>
                <w:rFonts w:ascii="Arial Narrow" w:hAnsi="Arial Narrow"/>
                <w:sz w:val="20"/>
                <w:szCs w:val="20"/>
              </w:rPr>
            </w:pPr>
            <w:r w:rsidRPr="006C4102">
              <w:rPr>
                <w:rFonts w:ascii="Arial Narrow" w:hAnsi="Arial Narrow"/>
                <w:sz w:val="20"/>
                <w:szCs w:val="20"/>
              </w:rPr>
              <w:t>n.a.</w:t>
            </w:r>
          </w:p>
        </w:tc>
        <w:tc>
          <w:tcPr>
            <w:tcW w:w="851" w:type="dxa"/>
            <w:tcBorders>
              <w:top w:val="single" w:sz="4" w:space="0" w:color="auto"/>
              <w:left w:val="nil"/>
              <w:bottom w:val="single" w:sz="4" w:space="0" w:color="auto"/>
              <w:right w:val="single" w:sz="4" w:space="0" w:color="auto"/>
            </w:tcBorders>
            <w:textDirection w:val="lrTb"/>
            <w:vAlign w:val="top"/>
          </w:tcPr>
          <w:p w:rsidR="00CA1300" w:rsidRPr="006C4102" w:rsidP="00CA1300">
            <w:pPr>
              <w:bidi w:val="0"/>
              <w:jc w:val="both"/>
              <w:rPr>
                <w:rFonts w:ascii="Arial Narrow" w:hAnsi="Arial Narrow"/>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A1300" w:rsidRPr="006C4102" w:rsidP="00CA1300">
            <w:pPr>
              <w:pStyle w:val="Normlny"/>
              <w:bidi w:val="0"/>
              <w:jc w:val="both"/>
              <w:rPr>
                <w:rFonts w:ascii="Arial Narrow" w:hAnsi="Arial Narrow"/>
              </w:rPr>
            </w:pPr>
          </w:p>
        </w:tc>
        <w:tc>
          <w:tcPr>
            <w:tcW w:w="5387" w:type="dxa"/>
            <w:tcBorders>
              <w:top w:val="single" w:sz="4" w:space="0" w:color="auto"/>
              <w:left w:val="single" w:sz="4" w:space="0" w:color="auto"/>
              <w:bottom w:val="single" w:sz="4" w:space="0" w:color="auto"/>
              <w:right w:val="single" w:sz="4" w:space="0" w:color="auto"/>
            </w:tcBorders>
            <w:textDirection w:val="lrTb"/>
            <w:vAlign w:val="top"/>
          </w:tcPr>
          <w:p w:rsidR="00CA1300" w:rsidRPr="006C4102" w:rsidP="00CA1300">
            <w:pPr>
              <w:pStyle w:val="Normlny"/>
              <w:bidi w:val="0"/>
              <w:jc w:val="both"/>
              <w:rPr>
                <w:rFonts w:ascii="Arial Narrow" w:hAnsi="Arial Narrow"/>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A1300" w:rsidRPr="006C4102" w:rsidP="00CA1300">
            <w:pPr>
              <w:bidi w:val="0"/>
              <w:jc w:val="both"/>
              <w:rPr>
                <w:rFonts w:ascii="Arial Narrow" w:hAnsi="Arial Narrow"/>
                <w:sz w:val="20"/>
                <w:szCs w:val="20"/>
              </w:rPr>
            </w:pPr>
            <w:r w:rsidRPr="006C4102">
              <w:rPr>
                <w:rFonts w:ascii="Arial Narrow" w:hAnsi="Arial Narrow"/>
                <w:sz w:val="20"/>
                <w:szCs w:val="20"/>
              </w:rPr>
              <w:t>n.a.</w:t>
            </w:r>
          </w:p>
        </w:tc>
        <w:tc>
          <w:tcPr>
            <w:tcW w:w="743" w:type="dxa"/>
            <w:tcBorders>
              <w:top w:val="single" w:sz="4" w:space="0" w:color="auto"/>
              <w:left w:val="single" w:sz="4" w:space="0" w:color="auto"/>
              <w:bottom w:val="single" w:sz="4" w:space="0" w:color="auto"/>
              <w:right w:val="single" w:sz="12" w:space="0" w:color="auto"/>
            </w:tcBorders>
            <w:textDirection w:val="lrTb"/>
            <w:vAlign w:val="top"/>
          </w:tcPr>
          <w:p w:rsidR="00CA1300" w:rsidRPr="007D0941" w:rsidP="00CA1300">
            <w:pPr>
              <w:pStyle w:val="Heading1"/>
              <w:bidi w:val="0"/>
              <w:jc w:val="both"/>
              <w:rPr>
                <w:rFonts w:ascii="Arial Narrow" w:hAnsi="Arial Narrow"/>
                <w:b w:val="0"/>
                <w:bCs w:val="0"/>
                <w:kern w:val="0"/>
                <w:sz w:val="20"/>
                <w:szCs w:val="20"/>
              </w:rPr>
            </w:pPr>
          </w:p>
        </w:tc>
      </w:tr>
      <w:tr>
        <w:tblPrEx>
          <w:tblW w:w="15884" w:type="dxa"/>
          <w:tblInd w:w="-1382"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A1300" w:rsidRPr="006C4102" w:rsidP="00CA1300">
            <w:pPr>
              <w:bidi w:val="0"/>
              <w:jc w:val="both"/>
              <w:rPr>
                <w:rFonts w:ascii="Arial Narrow" w:hAnsi="Arial Narrow"/>
                <w:sz w:val="20"/>
                <w:szCs w:val="20"/>
              </w:rPr>
            </w:pPr>
            <w:r w:rsidRPr="006C4102">
              <w:rPr>
                <w:rFonts w:ascii="Arial Narrow" w:hAnsi="Arial Narrow"/>
                <w:sz w:val="20"/>
                <w:szCs w:val="20"/>
              </w:rPr>
              <w:t>Čl.6</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CA1300" w:rsidRPr="006C4102" w:rsidP="00CA1300">
            <w:pPr>
              <w:pStyle w:val="Normlny"/>
              <w:bidi w:val="0"/>
              <w:jc w:val="both"/>
              <w:rPr>
                <w:rFonts w:ascii="Arial Narrow" w:hAnsi="Arial Narrow"/>
              </w:rPr>
            </w:pPr>
            <w:r w:rsidRPr="006C4102">
              <w:rPr>
                <w:rFonts w:ascii="Arial Narrow" w:hAnsi="Arial Narrow" w:cs="EUAlbertina"/>
                <w:color w:val="000000"/>
              </w:rPr>
              <w:t>Členský štát materskej spoločnosti nemôže vybrať zrážkovú daň zo zisku, ktorý takáto spoločnosť prijme od svojej dcérskej spoločnosti.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A1300" w:rsidRPr="006C4102" w:rsidP="00CA1300">
            <w:pPr>
              <w:bidi w:val="0"/>
              <w:jc w:val="both"/>
              <w:rPr>
                <w:rFonts w:ascii="Arial Narrow" w:hAnsi="Arial Narrow"/>
                <w:sz w:val="20"/>
                <w:szCs w:val="20"/>
              </w:rPr>
            </w:pPr>
            <w:r w:rsidRPr="006C4102">
              <w:rPr>
                <w:rFonts w:ascii="Arial Narrow" w:hAnsi="Arial Narrow"/>
                <w:sz w:val="20"/>
                <w:szCs w:val="20"/>
              </w:rPr>
              <w:t>n.a.</w:t>
            </w:r>
          </w:p>
        </w:tc>
        <w:tc>
          <w:tcPr>
            <w:tcW w:w="851" w:type="dxa"/>
            <w:tcBorders>
              <w:top w:val="single" w:sz="4" w:space="0" w:color="auto"/>
              <w:left w:val="nil"/>
              <w:bottom w:val="single" w:sz="4" w:space="0" w:color="auto"/>
              <w:right w:val="single" w:sz="4" w:space="0" w:color="auto"/>
            </w:tcBorders>
            <w:textDirection w:val="lrTb"/>
            <w:vAlign w:val="top"/>
          </w:tcPr>
          <w:p w:rsidR="00CA1300" w:rsidRPr="006C4102" w:rsidP="00CA1300">
            <w:pPr>
              <w:bidi w:val="0"/>
              <w:jc w:val="both"/>
              <w:rPr>
                <w:rFonts w:ascii="Arial Narrow" w:hAnsi="Arial Narrow"/>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A1300" w:rsidRPr="006C4102" w:rsidP="00CA1300">
            <w:pPr>
              <w:pStyle w:val="Normlny"/>
              <w:bidi w:val="0"/>
              <w:jc w:val="both"/>
              <w:rPr>
                <w:rFonts w:ascii="Arial Narrow" w:hAnsi="Arial Narrow"/>
              </w:rPr>
            </w:pPr>
          </w:p>
        </w:tc>
        <w:tc>
          <w:tcPr>
            <w:tcW w:w="5387" w:type="dxa"/>
            <w:tcBorders>
              <w:top w:val="single" w:sz="4" w:space="0" w:color="auto"/>
              <w:left w:val="single" w:sz="4" w:space="0" w:color="auto"/>
              <w:bottom w:val="single" w:sz="4" w:space="0" w:color="auto"/>
              <w:right w:val="single" w:sz="4" w:space="0" w:color="auto"/>
            </w:tcBorders>
            <w:textDirection w:val="lrTb"/>
            <w:vAlign w:val="top"/>
          </w:tcPr>
          <w:p w:rsidR="00CA1300" w:rsidRPr="006C4102" w:rsidP="00CA1300">
            <w:pPr>
              <w:pStyle w:val="Normlny"/>
              <w:bidi w:val="0"/>
              <w:jc w:val="both"/>
              <w:rPr>
                <w:rFonts w:ascii="Arial Narrow" w:hAnsi="Arial Narrow"/>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A1300" w:rsidRPr="006C4102" w:rsidP="00CA1300">
            <w:pPr>
              <w:bidi w:val="0"/>
              <w:jc w:val="both"/>
              <w:rPr>
                <w:rFonts w:ascii="Arial Narrow" w:hAnsi="Arial Narrow"/>
                <w:sz w:val="20"/>
                <w:szCs w:val="20"/>
              </w:rPr>
            </w:pPr>
            <w:r w:rsidRPr="006C4102">
              <w:rPr>
                <w:rFonts w:ascii="Arial Narrow" w:hAnsi="Arial Narrow"/>
                <w:sz w:val="20"/>
                <w:szCs w:val="20"/>
              </w:rPr>
              <w:t>n.a.</w:t>
            </w:r>
          </w:p>
        </w:tc>
        <w:tc>
          <w:tcPr>
            <w:tcW w:w="743" w:type="dxa"/>
            <w:tcBorders>
              <w:top w:val="single" w:sz="4" w:space="0" w:color="auto"/>
              <w:left w:val="single" w:sz="4" w:space="0" w:color="auto"/>
              <w:bottom w:val="single" w:sz="4" w:space="0" w:color="auto"/>
              <w:right w:val="single" w:sz="12" w:space="0" w:color="auto"/>
            </w:tcBorders>
            <w:textDirection w:val="lrTb"/>
            <w:vAlign w:val="top"/>
          </w:tcPr>
          <w:p w:rsidR="00CA1300" w:rsidRPr="007D0941" w:rsidP="00CA1300">
            <w:pPr>
              <w:pStyle w:val="Heading1"/>
              <w:bidi w:val="0"/>
              <w:jc w:val="both"/>
              <w:rPr>
                <w:rFonts w:ascii="Arial Narrow" w:hAnsi="Arial Narrow"/>
                <w:b w:val="0"/>
                <w:bCs w:val="0"/>
                <w:kern w:val="0"/>
                <w:sz w:val="20"/>
                <w:szCs w:val="20"/>
              </w:rPr>
            </w:pPr>
          </w:p>
        </w:tc>
      </w:tr>
      <w:tr>
        <w:tblPrEx>
          <w:tblW w:w="15884" w:type="dxa"/>
          <w:tblInd w:w="-1382"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A1300" w:rsidRPr="006C4102" w:rsidP="00CA1300">
            <w:pPr>
              <w:bidi w:val="0"/>
              <w:jc w:val="both"/>
              <w:rPr>
                <w:rFonts w:ascii="Arial Narrow" w:hAnsi="Arial Narrow"/>
                <w:sz w:val="20"/>
                <w:szCs w:val="20"/>
              </w:rPr>
            </w:pPr>
            <w:r w:rsidRPr="006C4102">
              <w:rPr>
                <w:rFonts w:ascii="Arial Narrow" w:hAnsi="Arial Narrow"/>
                <w:sz w:val="20"/>
                <w:szCs w:val="20"/>
              </w:rPr>
              <w:t>Čl.7</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CA1300" w:rsidRPr="006C4102" w:rsidP="00CA1300">
            <w:pPr>
              <w:pStyle w:val="CM4"/>
              <w:bidi w:val="0"/>
              <w:spacing w:before="60" w:after="60"/>
              <w:jc w:val="both"/>
              <w:rPr>
                <w:rFonts w:ascii="Arial Narrow" w:hAnsi="Arial Narrow" w:cs="EUAlbertina"/>
                <w:color w:val="000000"/>
                <w:sz w:val="20"/>
                <w:szCs w:val="20"/>
              </w:rPr>
            </w:pPr>
            <w:r w:rsidRPr="006C4102">
              <w:rPr>
                <w:rFonts w:ascii="Arial Narrow" w:hAnsi="Arial Narrow" w:cs="EUAlbertina"/>
                <w:color w:val="000000"/>
                <w:sz w:val="20"/>
                <w:szCs w:val="20"/>
              </w:rPr>
              <w:t xml:space="preserve">1. Pojem „zrážková daň“ použitý v tejto smernici sa nevzťahuje na preddavky na daň z príjmov právnických osôb členskému štátu dcérskej spoločnosti, ktorá sa uskutočňuje v súvislosti s rozdeľovaním jej zisku materskej spoločnosti. </w:t>
            </w:r>
          </w:p>
          <w:p w:rsidR="00CA1300" w:rsidRPr="006C4102" w:rsidP="00CA1300">
            <w:pPr>
              <w:pStyle w:val="Normlny"/>
              <w:bidi w:val="0"/>
              <w:jc w:val="both"/>
              <w:rPr>
                <w:rFonts w:ascii="Arial Narrow" w:hAnsi="Arial Narrow"/>
              </w:rPr>
            </w:pPr>
            <w:r w:rsidRPr="006C4102">
              <w:rPr>
                <w:rFonts w:ascii="Arial Narrow" w:hAnsi="Arial Narrow" w:cs="EUAlbertina"/>
                <w:color w:val="000000"/>
              </w:rPr>
              <w:t>2. Táto smernica sa nedotýka uplatňovania vnútroštátnych alebo z dohôd vyplývajúcich ustanovení, ktorých účelom je zamedziť alebo obmedziť dvojité hospodárske zdanenie dividend, najmä ustanovení týkajúcich sa preplácania daňových dobropisov príjemcom dividend.</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A1300" w:rsidRPr="006C4102" w:rsidP="00CA1300">
            <w:pPr>
              <w:bidi w:val="0"/>
              <w:jc w:val="both"/>
              <w:rPr>
                <w:rFonts w:ascii="Arial Narrow" w:hAnsi="Arial Narrow"/>
                <w:sz w:val="20"/>
                <w:szCs w:val="20"/>
              </w:rPr>
            </w:pPr>
            <w:r w:rsidRPr="006C4102">
              <w:rPr>
                <w:rFonts w:ascii="Arial Narrow" w:hAnsi="Arial Narrow"/>
                <w:sz w:val="20"/>
                <w:szCs w:val="20"/>
              </w:rPr>
              <w:t>n.a.</w:t>
            </w:r>
          </w:p>
          <w:p w:rsidR="00CA1300" w:rsidRPr="006C4102" w:rsidP="00CA1300">
            <w:pPr>
              <w:bidi w:val="0"/>
              <w:jc w:val="both"/>
              <w:rPr>
                <w:rFonts w:ascii="Arial Narrow" w:hAnsi="Arial Narrow"/>
                <w:sz w:val="20"/>
                <w:szCs w:val="20"/>
              </w:rPr>
            </w:pPr>
          </w:p>
          <w:p w:rsidR="00CA1300" w:rsidRPr="006C4102" w:rsidP="00CA1300">
            <w:pPr>
              <w:bidi w:val="0"/>
              <w:jc w:val="both"/>
              <w:rPr>
                <w:rFonts w:ascii="Arial Narrow" w:hAnsi="Arial Narrow"/>
                <w:sz w:val="20"/>
                <w:szCs w:val="20"/>
              </w:rPr>
            </w:pPr>
          </w:p>
          <w:p w:rsidR="00CA1300" w:rsidRPr="006C4102" w:rsidP="00CA1300">
            <w:pPr>
              <w:bidi w:val="0"/>
              <w:jc w:val="both"/>
              <w:rPr>
                <w:rFonts w:ascii="Arial Narrow" w:hAnsi="Arial Narrow"/>
                <w:sz w:val="20"/>
                <w:szCs w:val="20"/>
              </w:rPr>
            </w:pPr>
          </w:p>
          <w:p w:rsidR="00CA1300" w:rsidRPr="006C4102" w:rsidP="00CA1300">
            <w:pPr>
              <w:bidi w:val="0"/>
              <w:jc w:val="both"/>
              <w:rPr>
                <w:rFonts w:ascii="Arial Narrow" w:hAnsi="Arial Narrow"/>
                <w:sz w:val="20"/>
                <w:szCs w:val="20"/>
              </w:rPr>
            </w:pPr>
            <w:r w:rsidRPr="006C4102">
              <w:rPr>
                <w:rFonts w:ascii="Arial Narrow" w:hAnsi="Arial Narrow"/>
                <w:sz w:val="20"/>
                <w:szCs w:val="20"/>
              </w:rPr>
              <w:t>N</w:t>
            </w:r>
          </w:p>
          <w:p w:rsidR="00CA1300" w:rsidRPr="006C4102" w:rsidP="00CA1300">
            <w:pPr>
              <w:bidi w:val="0"/>
              <w:jc w:val="both"/>
              <w:rPr>
                <w:rFonts w:ascii="Arial Narrow" w:hAnsi="Arial Narrow"/>
                <w:sz w:val="20"/>
                <w:szCs w:val="20"/>
              </w:rPr>
            </w:pPr>
          </w:p>
          <w:p w:rsidR="00CA1300" w:rsidRPr="006C4102" w:rsidP="00CA1300">
            <w:pPr>
              <w:bidi w:val="0"/>
              <w:jc w:val="both"/>
              <w:rPr>
                <w:rFonts w:ascii="Arial Narrow" w:hAnsi="Arial Narrow"/>
                <w:sz w:val="20"/>
                <w:szCs w:val="20"/>
              </w:rPr>
            </w:pPr>
          </w:p>
          <w:p w:rsidR="00CA1300" w:rsidRPr="006C4102" w:rsidP="00CA1300">
            <w:pPr>
              <w:bidi w:val="0"/>
              <w:jc w:val="both"/>
              <w:rPr>
                <w:rFonts w:ascii="Arial Narrow" w:hAnsi="Arial Narrow"/>
                <w:sz w:val="20"/>
                <w:szCs w:val="20"/>
              </w:rPr>
            </w:pPr>
          </w:p>
        </w:tc>
        <w:tc>
          <w:tcPr>
            <w:tcW w:w="851" w:type="dxa"/>
            <w:tcBorders>
              <w:top w:val="single" w:sz="4" w:space="0" w:color="auto"/>
              <w:left w:val="nil"/>
              <w:bottom w:val="single" w:sz="4" w:space="0" w:color="auto"/>
              <w:right w:val="single" w:sz="4" w:space="0" w:color="auto"/>
            </w:tcBorders>
            <w:textDirection w:val="lrTb"/>
            <w:vAlign w:val="top"/>
          </w:tcPr>
          <w:p w:rsidR="00CA1300" w:rsidRPr="006C4102" w:rsidP="00CA1300">
            <w:pPr>
              <w:bidi w:val="0"/>
              <w:jc w:val="both"/>
              <w:rPr>
                <w:rFonts w:ascii="Arial Narrow" w:hAnsi="Arial Narrow"/>
                <w:sz w:val="20"/>
                <w:szCs w:val="20"/>
              </w:rPr>
            </w:pPr>
          </w:p>
          <w:p w:rsidR="00CA1300" w:rsidRPr="006C4102" w:rsidP="00CA1300">
            <w:pPr>
              <w:bidi w:val="0"/>
              <w:jc w:val="both"/>
              <w:rPr>
                <w:rFonts w:ascii="Arial Narrow" w:hAnsi="Arial Narrow"/>
                <w:sz w:val="20"/>
                <w:szCs w:val="20"/>
              </w:rPr>
            </w:pPr>
          </w:p>
          <w:p w:rsidR="00CA1300" w:rsidRPr="006C4102" w:rsidP="00CA1300">
            <w:pPr>
              <w:bidi w:val="0"/>
              <w:jc w:val="both"/>
              <w:rPr>
                <w:rFonts w:ascii="Arial Narrow" w:hAnsi="Arial Narrow"/>
                <w:sz w:val="20"/>
                <w:szCs w:val="20"/>
              </w:rPr>
            </w:pPr>
          </w:p>
          <w:p w:rsidR="00CA1300" w:rsidRPr="006C4102" w:rsidP="00CA1300">
            <w:pPr>
              <w:bidi w:val="0"/>
              <w:jc w:val="both"/>
              <w:rPr>
                <w:rFonts w:ascii="Arial Narrow" w:hAnsi="Arial Narrow"/>
                <w:sz w:val="20"/>
                <w:szCs w:val="20"/>
              </w:rPr>
            </w:pPr>
          </w:p>
          <w:p w:rsidR="00CA1300" w:rsidRPr="006C4102" w:rsidP="00CA1300">
            <w:pPr>
              <w:bidi w:val="0"/>
              <w:jc w:val="both"/>
              <w:rPr>
                <w:rFonts w:ascii="Arial Narrow" w:hAnsi="Arial Narrow"/>
                <w:sz w:val="20"/>
                <w:szCs w:val="20"/>
              </w:rPr>
            </w:pPr>
            <w:r w:rsidRPr="006C4102">
              <w:rPr>
                <w:rFonts w:ascii="Arial Narrow" w:hAnsi="Arial Narrow"/>
                <w:sz w:val="20"/>
                <w:szCs w:val="20"/>
              </w:rPr>
              <w:t>595/2003</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A1300" w:rsidRPr="006C4102" w:rsidP="00CA1300">
            <w:pPr>
              <w:pStyle w:val="Normlny"/>
              <w:bidi w:val="0"/>
              <w:jc w:val="both"/>
              <w:rPr>
                <w:rFonts w:ascii="Arial Narrow" w:hAnsi="Arial Narrow"/>
              </w:rPr>
            </w:pPr>
          </w:p>
          <w:p w:rsidR="00CA1300" w:rsidRPr="006C4102" w:rsidP="00CA1300">
            <w:pPr>
              <w:pStyle w:val="Normlny"/>
              <w:bidi w:val="0"/>
              <w:jc w:val="both"/>
              <w:rPr>
                <w:rFonts w:ascii="Arial Narrow" w:hAnsi="Arial Narrow"/>
              </w:rPr>
            </w:pPr>
          </w:p>
          <w:p w:rsidR="00CA1300" w:rsidRPr="006C4102" w:rsidP="00CA1300">
            <w:pPr>
              <w:pStyle w:val="Normlny"/>
              <w:bidi w:val="0"/>
              <w:jc w:val="both"/>
              <w:rPr>
                <w:rFonts w:ascii="Arial Narrow" w:hAnsi="Arial Narrow"/>
              </w:rPr>
            </w:pPr>
          </w:p>
          <w:p w:rsidR="00CA1300" w:rsidRPr="006C4102" w:rsidP="00CA1300">
            <w:pPr>
              <w:pStyle w:val="Normlny"/>
              <w:bidi w:val="0"/>
              <w:jc w:val="both"/>
              <w:rPr>
                <w:rFonts w:ascii="Arial Narrow" w:hAnsi="Arial Narrow"/>
              </w:rPr>
            </w:pPr>
          </w:p>
          <w:p w:rsidR="00CA1300" w:rsidRPr="006C4102" w:rsidP="00CA1300">
            <w:pPr>
              <w:pStyle w:val="Normlny"/>
              <w:bidi w:val="0"/>
              <w:rPr>
                <w:rFonts w:ascii="Arial Narrow" w:hAnsi="Arial Narrow"/>
              </w:rPr>
            </w:pPr>
            <w:r w:rsidRPr="006C4102">
              <w:rPr>
                <w:rFonts w:ascii="Arial Narrow" w:hAnsi="Arial Narrow"/>
              </w:rPr>
              <w:t>§ 1 ods.2</w:t>
            </w:r>
          </w:p>
          <w:p w:rsidR="00CA1300" w:rsidRPr="006C4102" w:rsidP="00CA1300">
            <w:pPr>
              <w:pStyle w:val="Normlny"/>
              <w:bidi w:val="0"/>
              <w:jc w:val="both"/>
              <w:rPr>
                <w:rFonts w:ascii="Arial Narrow" w:hAnsi="Arial Narrow"/>
              </w:rPr>
            </w:pPr>
          </w:p>
        </w:tc>
        <w:tc>
          <w:tcPr>
            <w:tcW w:w="5387" w:type="dxa"/>
            <w:tcBorders>
              <w:top w:val="single" w:sz="4" w:space="0" w:color="auto"/>
              <w:left w:val="single" w:sz="4" w:space="0" w:color="auto"/>
              <w:bottom w:val="single" w:sz="4" w:space="0" w:color="auto"/>
              <w:right w:val="single" w:sz="4" w:space="0" w:color="auto"/>
            </w:tcBorders>
            <w:textDirection w:val="lrTb"/>
            <w:vAlign w:val="top"/>
          </w:tcPr>
          <w:p w:rsidR="00CA1300" w:rsidRPr="006C4102" w:rsidP="00CA1300">
            <w:pPr>
              <w:pStyle w:val="Normlny"/>
              <w:bidi w:val="0"/>
              <w:jc w:val="both"/>
              <w:rPr>
                <w:rFonts w:ascii="Arial Narrow" w:hAnsi="Arial Narrow"/>
              </w:rPr>
            </w:pPr>
          </w:p>
          <w:p w:rsidR="00CA1300" w:rsidRPr="006C4102" w:rsidP="00CA1300">
            <w:pPr>
              <w:pStyle w:val="Normlny"/>
              <w:bidi w:val="0"/>
              <w:jc w:val="both"/>
              <w:rPr>
                <w:rFonts w:ascii="Arial Narrow" w:hAnsi="Arial Narrow"/>
              </w:rPr>
            </w:pPr>
          </w:p>
          <w:p w:rsidR="00CA1300" w:rsidRPr="006C4102" w:rsidP="00CA1300">
            <w:pPr>
              <w:pStyle w:val="Normlny"/>
              <w:bidi w:val="0"/>
              <w:jc w:val="both"/>
              <w:rPr>
                <w:rFonts w:ascii="Arial Narrow" w:hAnsi="Arial Narrow"/>
              </w:rPr>
            </w:pPr>
          </w:p>
          <w:p w:rsidR="00CA1300" w:rsidRPr="006C4102" w:rsidP="00CA1300">
            <w:pPr>
              <w:pStyle w:val="Normlny"/>
              <w:bidi w:val="0"/>
              <w:jc w:val="both"/>
              <w:rPr>
                <w:rFonts w:ascii="Arial Narrow" w:hAnsi="Arial Narrow"/>
              </w:rPr>
            </w:pPr>
          </w:p>
          <w:p w:rsidR="00CA1300" w:rsidRPr="006C4102" w:rsidP="00CA1300">
            <w:pPr>
              <w:pStyle w:val="Normlny"/>
              <w:bidi w:val="0"/>
              <w:jc w:val="both"/>
              <w:rPr>
                <w:rFonts w:ascii="Arial Narrow" w:hAnsi="Arial Narrow"/>
              </w:rPr>
            </w:pPr>
            <w:r w:rsidRPr="006C4102">
              <w:rPr>
                <w:rFonts w:ascii="Arial Narrow" w:hAnsi="Arial Narrow"/>
              </w:rPr>
              <w:t>Medzinárodná zmluva, ktorá bola schválená, ratifikovaná a vyhlásená spôsobom ustanoveným zákonom, alebo dohoda, ktorá bola uzatvorená alebo schválená vládou Slovenskej republiky a ktorá upravuje zdanenie a s tým súvisiace právne vzťahy vo vzťahu k nesamosprávnym územiam, ktoré v medzinárodných vzťahoch vystupujú samostatne (ďalej len "medzinárodná zmluva"), má prednosť pred týmto zákonom.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A1300" w:rsidRPr="006C4102" w:rsidP="00CA1300">
            <w:pPr>
              <w:bidi w:val="0"/>
              <w:jc w:val="both"/>
              <w:rPr>
                <w:rFonts w:ascii="Arial Narrow" w:hAnsi="Arial Narrow"/>
                <w:sz w:val="20"/>
                <w:szCs w:val="20"/>
              </w:rPr>
            </w:pPr>
            <w:r w:rsidRPr="006C4102">
              <w:rPr>
                <w:rFonts w:ascii="Arial Narrow" w:hAnsi="Arial Narrow"/>
                <w:sz w:val="20"/>
                <w:szCs w:val="20"/>
              </w:rPr>
              <w:t>n.a.</w:t>
            </w:r>
          </w:p>
          <w:p w:rsidR="00CA1300" w:rsidRPr="006C4102" w:rsidP="00CA1300">
            <w:pPr>
              <w:bidi w:val="0"/>
              <w:jc w:val="both"/>
              <w:rPr>
                <w:rFonts w:ascii="Arial Narrow" w:hAnsi="Arial Narrow"/>
                <w:sz w:val="20"/>
                <w:szCs w:val="20"/>
              </w:rPr>
            </w:pPr>
          </w:p>
          <w:p w:rsidR="00CA1300" w:rsidRPr="006C4102" w:rsidP="00CA1300">
            <w:pPr>
              <w:bidi w:val="0"/>
              <w:jc w:val="both"/>
              <w:rPr>
                <w:rFonts w:ascii="Arial Narrow" w:hAnsi="Arial Narrow"/>
                <w:sz w:val="20"/>
                <w:szCs w:val="20"/>
              </w:rPr>
            </w:pPr>
          </w:p>
          <w:p w:rsidR="00CA1300" w:rsidRPr="006C4102" w:rsidP="00CA1300">
            <w:pPr>
              <w:bidi w:val="0"/>
              <w:jc w:val="both"/>
              <w:rPr>
                <w:rFonts w:ascii="Arial Narrow" w:hAnsi="Arial Narrow"/>
                <w:sz w:val="20"/>
                <w:szCs w:val="20"/>
              </w:rPr>
            </w:pPr>
          </w:p>
          <w:p w:rsidR="00CA1300" w:rsidRPr="006C4102" w:rsidP="00CA1300">
            <w:pPr>
              <w:bidi w:val="0"/>
              <w:jc w:val="both"/>
              <w:rPr>
                <w:rFonts w:ascii="Arial Narrow" w:hAnsi="Arial Narrow"/>
                <w:sz w:val="20"/>
                <w:szCs w:val="20"/>
              </w:rPr>
            </w:pPr>
            <w:r w:rsidRPr="006C4102">
              <w:rPr>
                <w:rFonts w:ascii="Arial Narrow" w:hAnsi="Arial Narrow"/>
                <w:sz w:val="20"/>
                <w:szCs w:val="20"/>
              </w:rPr>
              <w:t>Ú</w:t>
            </w:r>
          </w:p>
        </w:tc>
        <w:tc>
          <w:tcPr>
            <w:tcW w:w="743" w:type="dxa"/>
            <w:tcBorders>
              <w:top w:val="single" w:sz="4" w:space="0" w:color="auto"/>
              <w:left w:val="single" w:sz="4" w:space="0" w:color="auto"/>
              <w:bottom w:val="single" w:sz="4" w:space="0" w:color="auto"/>
              <w:right w:val="single" w:sz="12" w:space="0" w:color="auto"/>
            </w:tcBorders>
            <w:textDirection w:val="lrTb"/>
            <w:vAlign w:val="top"/>
          </w:tcPr>
          <w:p w:rsidR="00CA1300" w:rsidRPr="007D0941" w:rsidP="00CA1300">
            <w:pPr>
              <w:pStyle w:val="Heading1"/>
              <w:bidi w:val="0"/>
              <w:jc w:val="both"/>
              <w:rPr>
                <w:rFonts w:ascii="Arial Narrow" w:hAnsi="Arial Narrow"/>
                <w:b w:val="0"/>
                <w:bCs w:val="0"/>
                <w:kern w:val="0"/>
                <w:sz w:val="20"/>
                <w:szCs w:val="20"/>
              </w:rPr>
            </w:pPr>
          </w:p>
        </w:tc>
      </w:tr>
      <w:tr>
        <w:tblPrEx>
          <w:tblW w:w="15884" w:type="dxa"/>
          <w:tblInd w:w="-1382"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r w:rsidRPr="0024166E">
              <w:rPr>
                <w:rFonts w:ascii="Arial Narrow" w:hAnsi="Arial Narrow"/>
                <w:sz w:val="20"/>
                <w:szCs w:val="20"/>
              </w:rPr>
              <w:t>Čl.8</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1. Členské štáty prijmú do 18. januára 2012 zákony, iné právne predpisy a správne opatrenia potrebné na dosiahnutie súladu s touto smernicou. Bezodkladne o tom informujú Komisiu.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Členské štáty uvedú priamo v prijatých ustanoveniach alebo pri ich úradnom uverejnení odkaz na túto smernicu. Podrobnosti o odkaze upravia členské štáty. </w:t>
            </w:r>
          </w:p>
          <w:p w:rsidR="00CA1300" w:rsidRPr="0024166E" w:rsidP="00CA1300">
            <w:pPr>
              <w:pStyle w:val="CM1"/>
              <w:bidi w:val="0"/>
              <w:spacing w:before="200" w:after="200"/>
              <w:jc w:val="both"/>
              <w:rPr>
                <w:rFonts w:ascii="Arial Narrow" w:hAnsi="Arial Narrow"/>
                <w:sz w:val="20"/>
                <w:szCs w:val="20"/>
              </w:rPr>
            </w:pPr>
            <w:r w:rsidRPr="0024166E">
              <w:rPr>
                <w:rFonts w:ascii="Arial Narrow" w:hAnsi="Arial Narrow" w:cs="EUAlbertina"/>
                <w:color w:val="000000"/>
                <w:sz w:val="20"/>
                <w:szCs w:val="20"/>
              </w:rPr>
              <w:t>2. Členské štáty oznámia Komisii znenie hlavných ustanovení vnútroštátnych právnych predpisov, ktoré prijmú v oblasti pôsobnosti tejto smernice, ako aj tabuľku zhody medzi týmito ustanoveniami a touto smernicou.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A1300" w:rsidRPr="0024166E" w:rsidP="00CA1300">
            <w:pPr>
              <w:bidi w:val="0"/>
              <w:jc w:val="both"/>
              <w:rPr>
                <w:rFonts w:ascii="Arial Narrow" w:hAnsi="Arial Narrow"/>
                <w:sz w:val="20"/>
                <w:szCs w:val="20"/>
              </w:rPr>
            </w:pPr>
            <w:r>
              <w:rPr>
                <w:rFonts w:ascii="Arial Narrow" w:hAnsi="Arial Narrow"/>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CA1300" w:rsidRPr="00177E75" w:rsidP="00CA1300">
            <w:pPr>
              <w:bidi w:val="0"/>
              <w:jc w:val="both"/>
              <w:rPr>
                <w:rFonts w:ascii="Arial Narrow" w:hAnsi="Arial Narrow"/>
                <w:b/>
                <w:sz w:val="20"/>
                <w:szCs w:val="20"/>
              </w:rPr>
            </w:pPr>
            <w:r w:rsidRPr="00177E75">
              <w:rPr>
                <w:rFonts w:ascii="Arial Narrow" w:hAnsi="Arial Narrow"/>
                <w:b/>
                <w:sz w:val="20"/>
                <w:szCs w:val="20"/>
              </w:rPr>
              <w:t>Návrh zákona</w:t>
            </w:r>
          </w:p>
          <w:p w:rsidR="00CA1300" w:rsidP="00CA1300">
            <w:pPr>
              <w:bidi w:val="0"/>
              <w:jc w:val="both"/>
              <w:rPr>
                <w:rFonts w:ascii="Arial Narrow" w:hAnsi="Arial Narrow"/>
                <w:sz w:val="20"/>
                <w:szCs w:val="20"/>
              </w:rPr>
            </w:pPr>
          </w:p>
          <w:p w:rsidR="00CA1300" w:rsidRPr="00177E75" w:rsidP="00CA1300">
            <w:pPr>
              <w:bidi w:val="0"/>
              <w:jc w:val="both"/>
              <w:rPr>
                <w:rFonts w:ascii="Arial Narrow" w:hAnsi="Arial Narrow"/>
                <w:sz w:val="20"/>
                <w:szCs w:val="20"/>
              </w:rPr>
            </w:pPr>
            <w:bookmarkStart w:id="0" w:name="OLE_LINK1"/>
            <w:bookmarkStart w:id="1" w:name="OLE_LINK2"/>
            <w:r w:rsidRPr="00177E75">
              <w:rPr>
                <w:rFonts w:ascii="Arial Narrow" w:hAnsi="Arial Narrow"/>
                <w:sz w:val="20"/>
                <w:szCs w:val="20"/>
              </w:rPr>
              <w:t>595/2003</w:t>
            </w:r>
            <w:bookmarkEnd w:id="0"/>
            <w:bookmarkEnd w:id="1"/>
          </w:p>
          <w:p w:rsidR="00CA1300" w:rsidP="00CA1300">
            <w:pPr>
              <w:bidi w:val="0"/>
              <w:jc w:val="both"/>
              <w:rPr>
                <w:rFonts w:ascii="Arial Narrow" w:hAnsi="Arial Narrow"/>
                <w:b/>
                <w:sz w:val="20"/>
                <w:szCs w:val="20"/>
              </w:rPr>
            </w:pPr>
          </w:p>
          <w:p w:rsidR="00CA1300" w:rsidP="00CA1300">
            <w:pPr>
              <w:bidi w:val="0"/>
              <w:jc w:val="both"/>
              <w:rPr>
                <w:rFonts w:ascii="Arial Narrow" w:hAnsi="Arial Narrow"/>
                <w:b/>
                <w:sz w:val="20"/>
                <w:szCs w:val="20"/>
              </w:rPr>
            </w:pPr>
          </w:p>
          <w:p w:rsidR="00CA1300" w:rsidRPr="00177E75" w:rsidP="00CA1300">
            <w:pPr>
              <w:bidi w:val="0"/>
              <w:jc w:val="both"/>
              <w:rPr>
                <w:rFonts w:ascii="Arial Narrow" w:hAnsi="Arial Narrow"/>
                <w:b/>
                <w:sz w:val="20"/>
                <w:szCs w:val="20"/>
              </w:rPr>
            </w:pPr>
            <w:r w:rsidRPr="00177E75">
              <w:rPr>
                <w:rFonts w:ascii="Arial Narrow" w:hAnsi="Arial Narrow"/>
                <w:b/>
                <w:sz w:val="20"/>
                <w:szCs w:val="20"/>
              </w:rPr>
              <w:t>Návrh zákona</w:t>
            </w:r>
          </w:p>
          <w:p w:rsidR="00CA1300" w:rsidRPr="00CC1335" w:rsidP="00CA1300">
            <w:pPr>
              <w:bidi w:val="0"/>
              <w:jc w:val="both"/>
              <w:rPr>
                <w:rFonts w:ascii="Arial Narrow" w:hAnsi="Arial Narrow"/>
                <w:b/>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A1300" w:rsidP="00CA1300">
            <w:pPr>
              <w:pStyle w:val="Normlny"/>
              <w:bidi w:val="0"/>
              <w:rPr>
                <w:rFonts w:ascii="Arial Narrow" w:hAnsi="Arial Narrow"/>
                <w:b/>
              </w:rPr>
            </w:pPr>
            <w:r>
              <w:rPr>
                <w:rFonts w:ascii="Arial Narrow" w:hAnsi="Arial Narrow"/>
                <w:b/>
              </w:rPr>
              <w:t>Ćl.II</w:t>
            </w:r>
          </w:p>
          <w:p w:rsidR="00CA1300" w:rsidP="00CA1300">
            <w:pPr>
              <w:pStyle w:val="Normlny"/>
              <w:bidi w:val="0"/>
              <w:rPr>
                <w:rFonts w:ascii="Arial Narrow" w:hAnsi="Arial Narrow"/>
                <w:b/>
              </w:rPr>
            </w:pPr>
          </w:p>
          <w:p w:rsidR="00CA1300" w:rsidP="00CA1300">
            <w:pPr>
              <w:pStyle w:val="Normlny"/>
              <w:bidi w:val="0"/>
              <w:rPr>
                <w:rFonts w:ascii="Arial Narrow" w:hAnsi="Arial Narrow"/>
                <w:b/>
              </w:rPr>
            </w:pPr>
          </w:p>
          <w:p w:rsidR="00CA1300" w:rsidRPr="00177E75" w:rsidP="00CA1300">
            <w:pPr>
              <w:pStyle w:val="Normlny"/>
              <w:bidi w:val="0"/>
              <w:rPr>
                <w:rFonts w:ascii="Arial Narrow" w:hAnsi="Arial Narrow"/>
              </w:rPr>
            </w:pPr>
            <w:r w:rsidRPr="00177E75">
              <w:rPr>
                <w:rFonts w:ascii="Arial Narrow" w:hAnsi="Arial Narrow"/>
              </w:rPr>
              <w:t>§ 52a</w:t>
            </w:r>
          </w:p>
          <w:p w:rsidR="00CA1300" w:rsidP="00CA1300">
            <w:pPr>
              <w:pStyle w:val="Normlny"/>
              <w:bidi w:val="0"/>
              <w:rPr>
                <w:rFonts w:ascii="Arial Narrow" w:hAnsi="Arial Narrow"/>
                <w:b/>
              </w:rPr>
            </w:pPr>
          </w:p>
          <w:p w:rsidR="00CA1300" w:rsidP="00CA1300">
            <w:pPr>
              <w:pStyle w:val="Normlny"/>
              <w:bidi w:val="0"/>
              <w:rPr>
                <w:rFonts w:ascii="Arial Narrow" w:hAnsi="Arial Narrow"/>
                <w:b/>
              </w:rPr>
            </w:pPr>
          </w:p>
          <w:p w:rsidR="00CA1300" w:rsidP="00CA1300">
            <w:pPr>
              <w:pStyle w:val="Normlny"/>
              <w:bidi w:val="0"/>
              <w:rPr>
                <w:rFonts w:ascii="Arial Narrow" w:hAnsi="Arial Narrow"/>
                <w:b/>
              </w:rPr>
            </w:pPr>
            <w:r>
              <w:rPr>
                <w:rFonts w:ascii="Arial Narrow" w:hAnsi="Arial Narrow"/>
                <w:b/>
              </w:rPr>
              <w:t xml:space="preserve">Príloha č. 2 </w:t>
            </w:r>
          </w:p>
          <w:p w:rsidR="00CA1300" w:rsidRPr="00CC1335" w:rsidP="00CA1300">
            <w:pPr>
              <w:pStyle w:val="Normlny"/>
              <w:bidi w:val="0"/>
              <w:rPr>
                <w:rFonts w:ascii="Arial Narrow" w:hAnsi="Arial Narrow"/>
                <w:b/>
              </w:rPr>
            </w:pPr>
            <w:r>
              <w:rPr>
                <w:rFonts w:ascii="Arial Narrow" w:hAnsi="Arial Narrow"/>
                <w:b/>
              </w:rPr>
              <w:t>bod 3</w:t>
            </w:r>
          </w:p>
        </w:tc>
        <w:tc>
          <w:tcPr>
            <w:tcW w:w="5387" w:type="dxa"/>
            <w:tcBorders>
              <w:top w:val="single" w:sz="4" w:space="0" w:color="auto"/>
              <w:left w:val="single" w:sz="4" w:space="0" w:color="auto"/>
              <w:bottom w:val="single" w:sz="4" w:space="0" w:color="auto"/>
              <w:right w:val="single" w:sz="4" w:space="0" w:color="auto"/>
            </w:tcBorders>
            <w:textDirection w:val="lrTb"/>
            <w:vAlign w:val="top"/>
          </w:tcPr>
          <w:p w:rsidR="00CA1300" w:rsidRPr="00177E75" w:rsidP="00CA1300">
            <w:pPr>
              <w:pStyle w:val="Normlny"/>
              <w:bidi w:val="0"/>
              <w:jc w:val="both"/>
              <w:rPr>
                <w:rFonts w:ascii="Arial Narrow" w:hAnsi="Arial Narrow" w:cs="EUAlbertina"/>
                <w:b/>
                <w:bCs/>
                <w:color w:val="000000"/>
              </w:rPr>
            </w:pPr>
            <w:r w:rsidRPr="00177E75">
              <w:rPr>
                <w:rFonts w:ascii="Arial Narrow" w:hAnsi="Arial Narrow" w:cs="Arial"/>
                <w:b/>
              </w:rPr>
              <w:t xml:space="preserve">Tento zákon nadobúda účinnosť 1. januára 2013.  </w:t>
            </w:r>
          </w:p>
          <w:p w:rsidR="00CA1300" w:rsidRPr="00177E75" w:rsidP="00CA1300">
            <w:pPr>
              <w:pStyle w:val="Normlny"/>
              <w:bidi w:val="0"/>
              <w:jc w:val="both"/>
              <w:rPr>
                <w:rFonts w:ascii="Arial Narrow" w:hAnsi="Arial Narrow"/>
                <w:color w:val="000000"/>
              </w:rPr>
            </w:pPr>
          </w:p>
          <w:p w:rsidR="00CA1300" w:rsidRPr="00177E75" w:rsidP="00CA1300">
            <w:pPr>
              <w:pStyle w:val="Normlny"/>
              <w:bidi w:val="0"/>
              <w:jc w:val="both"/>
              <w:rPr>
                <w:rFonts w:ascii="Arial Narrow" w:hAnsi="Arial Narrow"/>
                <w:color w:val="000000"/>
              </w:rPr>
            </w:pPr>
          </w:p>
          <w:p w:rsidR="00CA1300" w:rsidRPr="00177E75" w:rsidP="00CA1300">
            <w:pPr>
              <w:pStyle w:val="Normlny"/>
              <w:bidi w:val="0"/>
              <w:jc w:val="both"/>
              <w:rPr>
                <w:rFonts w:ascii="Arial Narrow" w:hAnsi="Arial Narrow"/>
                <w:color w:val="000000"/>
              </w:rPr>
            </w:pPr>
            <w:r w:rsidRPr="00177E75">
              <w:rPr>
                <w:rFonts w:ascii="Arial Narrow" w:hAnsi="Arial Narrow"/>
                <w:color w:val="000000"/>
              </w:rPr>
              <w:t>Týmto zákonom sa preberajú právne záväzné akty Európskej únie uvedené v prílohe č. 2.</w:t>
            </w:r>
          </w:p>
          <w:p w:rsidR="00CA1300" w:rsidRPr="00177E75" w:rsidP="00CA1300">
            <w:pPr>
              <w:pStyle w:val="Normlny"/>
              <w:bidi w:val="0"/>
              <w:jc w:val="both"/>
              <w:rPr>
                <w:rFonts w:ascii="Arial Narrow" w:hAnsi="Arial Narrow"/>
                <w:color w:val="000000"/>
              </w:rPr>
            </w:pPr>
          </w:p>
          <w:p w:rsidR="00CA1300" w:rsidRPr="00177E75" w:rsidP="00CA1300">
            <w:pPr>
              <w:pStyle w:val="Normlny"/>
              <w:bidi w:val="0"/>
              <w:jc w:val="both"/>
              <w:rPr>
                <w:rFonts w:ascii="Arial Narrow" w:hAnsi="Arial Narrow"/>
                <w:b/>
              </w:rPr>
            </w:pPr>
            <w:r w:rsidRPr="00177E75">
              <w:rPr>
                <w:rFonts w:ascii="Arial Narrow" w:hAnsi="Arial Narrow" w:cs="Arial"/>
                <w:b/>
              </w:rPr>
              <w:t>3. Smernica Rady 2011/96/EÚ z 30. novembra 2011 o spoločnom systéme zdaňovania uplatňovanom v prípade materských spoločností a dcérskych spoločností v rozličných členských štátoch (prepracované znenie) ( Ú. v. EÚ L 345, 29.12.2011)</w:t>
            </w:r>
            <w:r>
              <w:rPr>
                <w:rFonts w:ascii="Arial Narrow" w:hAnsi="Arial Narrow" w:cs="Arial"/>
                <w:b/>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r>
              <w:rPr>
                <w:rFonts w:ascii="Arial Narrow" w:hAnsi="Arial Narrow"/>
                <w:sz w:val="20"/>
                <w:szCs w:val="20"/>
              </w:rPr>
              <w:t>Ú</w:t>
            </w:r>
          </w:p>
        </w:tc>
        <w:tc>
          <w:tcPr>
            <w:tcW w:w="743" w:type="dxa"/>
            <w:tcBorders>
              <w:top w:val="single" w:sz="4" w:space="0" w:color="auto"/>
              <w:left w:val="single" w:sz="4" w:space="0" w:color="auto"/>
              <w:bottom w:val="single" w:sz="4" w:space="0" w:color="auto"/>
              <w:right w:val="single" w:sz="12" w:space="0" w:color="auto"/>
            </w:tcBorders>
            <w:textDirection w:val="lrTb"/>
            <w:vAlign w:val="top"/>
          </w:tcPr>
          <w:p w:rsidR="00CA1300" w:rsidRPr="007D0941" w:rsidP="00CA1300">
            <w:pPr>
              <w:pStyle w:val="Heading1"/>
              <w:bidi w:val="0"/>
              <w:jc w:val="both"/>
              <w:rPr>
                <w:rFonts w:ascii="Arial Narrow" w:hAnsi="Arial Narrow"/>
                <w:b w:val="0"/>
                <w:bCs w:val="0"/>
                <w:kern w:val="0"/>
                <w:sz w:val="20"/>
                <w:szCs w:val="20"/>
              </w:rPr>
            </w:pPr>
          </w:p>
        </w:tc>
      </w:tr>
      <w:tr>
        <w:tblPrEx>
          <w:tblW w:w="15884" w:type="dxa"/>
          <w:tblInd w:w="-1382"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r w:rsidRPr="0024166E">
              <w:rPr>
                <w:rFonts w:ascii="Arial Narrow" w:hAnsi="Arial Narrow"/>
                <w:sz w:val="20"/>
                <w:szCs w:val="20"/>
              </w:rPr>
              <w:t>Čl.9</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Smernica 90/435/EHS zmenená a doplnená aktmi uvedenými v časti A prílohy II sa zrušuje bez toho, aby boli dotknuté povinnosti členských štátov týkajúce sa lehôt na transpozíciu do vnútroštátneho práva smerníc uvedených v časti B prílohy II. </w:t>
            </w:r>
          </w:p>
          <w:p w:rsidR="00CA1300" w:rsidRPr="0024166E" w:rsidP="00CA1300">
            <w:pPr>
              <w:pStyle w:val="Normlny"/>
              <w:bidi w:val="0"/>
              <w:jc w:val="both"/>
              <w:rPr>
                <w:rFonts w:ascii="Arial Narrow" w:hAnsi="Arial Narrow"/>
              </w:rPr>
            </w:pPr>
            <w:r w:rsidRPr="0024166E">
              <w:rPr>
                <w:rFonts w:ascii="Arial Narrow" w:hAnsi="Arial Narrow" w:cs="EUAlbertina"/>
                <w:color w:val="000000"/>
              </w:rPr>
              <w:t>Odkazy na zrušenú smernicu sa považujú za odkazy na túto smernicu a znejú v súlade s tabuľkou zhody uvedenou v prílohe III.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A1300" w:rsidRPr="0024166E" w:rsidP="00CA1300">
            <w:pPr>
              <w:bidi w:val="0"/>
              <w:jc w:val="both"/>
              <w:rPr>
                <w:rFonts w:ascii="Arial Narrow" w:hAnsi="Arial Narrow"/>
                <w:sz w:val="20"/>
                <w:szCs w:val="20"/>
              </w:rPr>
            </w:pPr>
            <w:r>
              <w:rPr>
                <w:rFonts w:ascii="Arial Narrow" w:hAnsi="Arial Narrow"/>
                <w:sz w:val="20"/>
                <w:szCs w:val="20"/>
              </w:rPr>
              <w:t>n.a.</w:t>
            </w:r>
          </w:p>
        </w:tc>
        <w:tc>
          <w:tcPr>
            <w:tcW w:w="851" w:type="dxa"/>
            <w:tcBorders>
              <w:top w:val="single" w:sz="4" w:space="0" w:color="auto"/>
              <w:left w:val="nil"/>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Normlny"/>
              <w:bidi w:val="0"/>
              <w:jc w:val="both"/>
              <w:rPr>
                <w:rFonts w:ascii="Arial Narrow" w:hAnsi="Arial Narrow"/>
              </w:rPr>
            </w:pPr>
          </w:p>
        </w:tc>
        <w:tc>
          <w:tcPr>
            <w:tcW w:w="5387" w:type="dxa"/>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Normlny"/>
              <w:bidi w:val="0"/>
              <w:jc w:val="both"/>
              <w:rPr>
                <w:rFonts w:ascii="Arial Narrow" w:hAnsi="Arial Narrow"/>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r>
              <w:rPr>
                <w:rFonts w:ascii="Arial Narrow" w:hAnsi="Arial Narrow"/>
                <w:sz w:val="20"/>
                <w:szCs w:val="20"/>
              </w:rPr>
              <w:t>n.a.</w:t>
            </w:r>
          </w:p>
        </w:tc>
        <w:tc>
          <w:tcPr>
            <w:tcW w:w="743" w:type="dxa"/>
            <w:tcBorders>
              <w:top w:val="single" w:sz="4" w:space="0" w:color="auto"/>
              <w:left w:val="single" w:sz="4" w:space="0" w:color="auto"/>
              <w:bottom w:val="single" w:sz="4" w:space="0" w:color="auto"/>
              <w:right w:val="single" w:sz="12" w:space="0" w:color="auto"/>
            </w:tcBorders>
            <w:textDirection w:val="lrTb"/>
            <w:vAlign w:val="top"/>
          </w:tcPr>
          <w:p w:rsidR="00CA1300" w:rsidRPr="007D0941" w:rsidP="00CA1300">
            <w:pPr>
              <w:pStyle w:val="Heading1"/>
              <w:bidi w:val="0"/>
              <w:jc w:val="both"/>
              <w:rPr>
                <w:rFonts w:ascii="Arial Narrow" w:hAnsi="Arial Narrow"/>
                <w:b w:val="0"/>
                <w:bCs w:val="0"/>
                <w:kern w:val="0"/>
                <w:sz w:val="20"/>
                <w:szCs w:val="20"/>
              </w:rPr>
            </w:pPr>
          </w:p>
        </w:tc>
      </w:tr>
      <w:tr>
        <w:tblPrEx>
          <w:tblW w:w="15884" w:type="dxa"/>
          <w:tblInd w:w="-1382"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r w:rsidRPr="0024166E">
              <w:rPr>
                <w:rFonts w:ascii="Arial Narrow" w:hAnsi="Arial Narrow"/>
                <w:sz w:val="20"/>
                <w:szCs w:val="20"/>
              </w:rPr>
              <w:t>Čl.10</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Normlny"/>
              <w:bidi w:val="0"/>
              <w:jc w:val="both"/>
              <w:rPr>
                <w:rFonts w:ascii="Arial Narrow" w:hAnsi="Arial Narrow"/>
              </w:rPr>
            </w:pPr>
            <w:r w:rsidRPr="0024166E">
              <w:rPr>
                <w:rFonts w:ascii="Arial Narrow" w:hAnsi="Arial Narrow" w:cs="EUAlbertina"/>
                <w:color w:val="000000"/>
              </w:rPr>
              <w:t xml:space="preserve">Táto smernica nadobúda účinnosť dvadsiatym dňom po jej uverejnení v </w:t>
            </w:r>
            <w:r w:rsidRPr="0024166E">
              <w:rPr>
                <w:rFonts w:ascii="Arial Narrow" w:hAnsi="Arial Narrow" w:cs="EUAlbertina"/>
                <w:i/>
                <w:iCs/>
                <w:color w:val="000000"/>
              </w:rPr>
              <w:t>Úradnom vestníku Európskej únie</w:t>
            </w:r>
            <w:r w:rsidRPr="0024166E">
              <w:rPr>
                <w:rFonts w:ascii="Arial Narrow" w:hAnsi="Arial Narrow" w:cs="EUAlbertina"/>
                <w:color w:val="000000"/>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A1300" w:rsidRPr="0024166E" w:rsidP="00CA1300">
            <w:pPr>
              <w:bidi w:val="0"/>
              <w:jc w:val="both"/>
              <w:rPr>
                <w:rFonts w:ascii="Arial Narrow" w:hAnsi="Arial Narrow"/>
                <w:sz w:val="20"/>
                <w:szCs w:val="20"/>
              </w:rPr>
            </w:pPr>
            <w:r>
              <w:rPr>
                <w:rFonts w:ascii="Arial Narrow" w:hAnsi="Arial Narrow"/>
                <w:sz w:val="20"/>
                <w:szCs w:val="20"/>
              </w:rPr>
              <w:t>n.a.</w:t>
            </w:r>
          </w:p>
        </w:tc>
        <w:tc>
          <w:tcPr>
            <w:tcW w:w="851" w:type="dxa"/>
            <w:tcBorders>
              <w:top w:val="single" w:sz="4" w:space="0" w:color="auto"/>
              <w:left w:val="nil"/>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Normlny"/>
              <w:bidi w:val="0"/>
              <w:jc w:val="both"/>
              <w:rPr>
                <w:rFonts w:ascii="Arial Narrow" w:hAnsi="Arial Narrow"/>
              </w:rPr>
            </w:pPr>
          </w:p>
        </w:tc>
        <w:tc>
          <w:tcPr>
            <w:tcW w:w="5387" w:type="dxa"/>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Normlny"/>
              <w:bidi w:val="0"/>
              <w:jc w:val="both"/>
              <w:rPr>
                <w:rFonts w:ascii="Arial Narrow" w:hAnsi="Arial Narrow"/>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r>
              <w:rPr>
                <w:rFonts w:ascii="Arial Narrow" w:hAnsi="Arial Narrow"/>
                <w:sz w:val="20"/>
                <w:szCs w:val="20"/>
              </w:rPr>
              <w:t>n.a.</w:t>
            </w:r>
          </w:p>
        </w:tc>
        <w:tc>
          <w:tcPr>
            <w:tcW w:w="743" w:type="dxa"/>
            <w:tcBorders>
              <w:top w:val="single" w:sz="4" w:space="0" w:color="auto"/>
              <w:left w:val="single" w:sz="4" w:space="0" w:color="auto"/>
              <w:bottom w:val="single" w:sz="4" w:space="0" w:color="auto"/>
              <w:right w:val="single" w:sz="12" w:space="0" w:color="auto"/>
            </w:tcBorders>
            <w:textDirection w:val="lrTb"/>
            <w:vAlign w:val="top"/>
          </w:tcPr>
          <w:p w:rsidR="00CA1300" w:rsidRPr="007D0941" w:rsidP="00CA1300">
            <w:pPr>
              <w:pStyle w:val="Heading1"/>
              <w:bidi w:val="0"/>
              <w:jc w:val="both"/>
              <w:rPr>
                <w:rFonts w:ascii="Arial Narrow" w:hAnsi="Arial Narrow"/>
                <w:b w:val="0"/>
                <w:bCs w:val="0"/>
                <w:kern w:val="0"/>
                <w:sz w:val="20"/>
                <w:szCs w:val="20"/>
              </w:rPr>
            </w:pPr>
          </w:p>
        </w:tc>
      </w:tr>
      <w:tr>
        <w:tblPrEx>
          <w:tblW w:w="15884" w:type="dxa"/>
          <w:tblInd w:w="-1382"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r w:rsidRPr="0024166E">
              <w:rPr>
                <w:rFonts w:ascii="Arial Narrow" w:hAnsi="Arial Narrow"/>
                <w:sz w:val="20"/>
                <w:szCs w:val="20"/>
              </w:rPr>
              <w:t>Čl.11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Táto smernica je určená členským štátom.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V Bruseli 30. novembra 2011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i/>
                <w:iCs/>
                <w:color w:val="000000"/>
                <w:sz w:val="20"/>
                <w:szCs w:val="20"/>
              </w:rPr>
              <w:t xml:space="preserve">Za Radu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i/>
                <w:iCs/>
                <w:color w:val="000000"/>
                <w:sz w:val="20"/>
                <w:szCs w:val="20"/>
              </w:rPr>
              <w:t xml:space="preserve">predseda </w:t>
            </w:r>
          </w:p>
          <w:p w:rsidR="00CA1300" w:rsidRPr="0024166E" w:rsidP="00CA1300">
            <w:pPr>
              <w:pStyle w:val="Normlny"/>
              <w:bidi w:val="0"/>
              <w:jc w:val="both"/>
              <w:rPr>
                <w:rFonts w:ascii="Arial Narrow" w:hAnsi="Arial Narrow"/>
              </w:rPr>
            </w:pPr>
            <w:r w:rsidRPr="0024166E">
              <w:rPr>
                <w:rFonts w:ascii="Arial Narrow" w:hAnsi="Arial Narrow" w:cs="EUAlbertina"/>
                <w:color w:val="000000"/>
              </w:rPr>
              <w:t>J. VINCENT-ROSTOWSKISK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A1300" w:rsidRPr="0024166E" w:rsidP="00CA1300">
            <w:pPr>
              <w:bidi w:val="0"/>
              <w:jc w:val="both"/>
              <w:rPr>
                <w:rFonts w:ascii="Arial Narrow" w:hAnsi="Arial Narrow"/>
                <w:sz w:val="20"/>
                <w:szCs w:val="20"/>
              </w:rPr>
            </w:pPr>
            <w:r>
              <w:rPr>
                <w:rFonts w:ascii="Arial Narrow" w:hAnsi="Arial Narrow"/>
                <w:sz w:val="20"/>
                <w:szCs w:val="20"/>
              </w:rPr>
              <w:t>n.a.</w:t>
            </w:r>
          </w:p>
        </w:tc>
        <w:tc>
          <w:tcPr>
            <w:tcW w:w="851" w:type="dxa"/>
            <w:tcBorders>
              <w:top w:val="single" w:sz="4" w:space="0" w:color="auto"/>
              <w:left w:val="nil"/>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Normlny"/>
              <w:bidi w:val="0"/>
              <w:jc w:val="both"/>
              <w:rPr>
                <w:rFonts w:ascii="Arial Narrow" w:hAnsi="Arial Narrow"/>
              </w:rPr>
            </w:pPr>
          </w:p>
        </w:tc>
        <w:tc>
          <w:tcPr>
            <w:tcW w:w="5387" w:type="dxa"/>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Normlny"/>
              <w:bidi w:val="0"/>
              <w:jc w:val="both"/>
              <w:rPr>
                <w:rFonts w:ascii="Arial Narrow" w:hAnsi="Arial Narrow"/>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r>
              <w:rPr>
                <w:rFonts w:ascii="Arial Narrow" w:hAnsi="Arial Narrow"/>
                <w:sz w:val="20"/>
                <w:szCs w:val="20"/>
              </w:rPr>
              <w:t>n.a.</w:t>
            </w:r>
          </w:p>
        </w:tc>
        <w:tc>
          <w:tcPr>
            <w:tcW w:w="743" w:type="dxa"/>
            <w:tcBorders>
              <w:top w:val="single" w:sz="4" w:space="0" w:color="auto"/>
              <w:left w:val="single" w:sz="4" w:space="0" w:color="auto"/>
              <w:bottom w:val="single" w:sz="4" w:space="0" w:color="auto"/>
              <w:right w:val="single" w:sz="12" w:space="0" w:color="auto"/>
            </w:tcBorders>
            <w:textDirection w:val="lrTb"/>
            <w:vAlign w:val="top"/>
          </w:tcPr>
          <w:p w:rsidR="00CA1300" w:rsidRPr="007D0941" w:rsidP="00CA1300">
            <w:pPr>
              <w:pStyle w:val="Heading1"/>
              <w:bidi w:val="0"/>
              <w:jc w:val="both"/>
              <w:rPr>
                <w:rFonts w:ascii="Arial Narrow" w:hAnsi="Arial Narrow"/>
                <w:b w:val="0"/>
                <w:bCs w:val="0"/>
                <w:kern w:val="0"/>
                <w:sz w:val="20"/>
                <w:szCs w:val="20"/>
              </w:rPr>
            </w:pPr>
          </w:p>
        </w:tc>
      </w:tr>
      <w:tr>
        <w:tblPrEx>
          <w:tblW w:w="15884" w:type="dxa"/>
          <w:tblInd w:w="-1382"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A1300" w:rsidRPr="0024166E" w:rsidP="00CA1300">
            <w:pPr>
              <w:bidi w:val="0"/>
              <w:jc w:val="both"/>
              <w:rPr>
                <w:rFonts w:ascii="Arial Narrow" w:hAnsi="Arial Narrow"/>
                <w:sz w:val="20"/>
                <w:szCs w:val="20"/>
              </w:rPr>
            </w:pPr>
            <w:r w:rsidRPr="0024166E">
              <w:rPr>
                <w:rFonts w:ascii="Arial Narrow" w:hAnsi="Arial Narrow"/>
                <w:sz w:val="20"/>
                <w:szCs w:val="20"/>
              </w:rPr>
              <w:t>Prílo</w:t>
            </w:r>
            <w:r>
              <w:rPr>
                <w:rFonts w:ascii="Arial Narrow" w:hAnsi="Arial Narrow"/>
                <w:sz w:val="20"/>
                <w:szCs w:val="20"/>
              </w:rPr>
              <w:t>-</w:t>
            </w:r>
          </w:p>
          <w:p w:rsidR="00CA1300" w:rsidRPr="0024166E" w:rsidP="00CA1300">
            <w:pPr>
              <w:bidi w:val="0"/>
              <w:jc w:val="both"/>
              <w:rPr>
                <w:rFonts w:ascii="Arial Narrow" w:hAnsi="Arial Narrow"/>
                <w:sz w:val="20"/>
                <w:szCs w:val="20"/>
              </w:rPr>
            </w:pPr>
            <w:r>
              <w:rPr>
                <w:rFonts w:ascii="Arial Narrow" w:hAnsi="Arial Narrow"/>
                <w:sz w:val="20"/>
                <w:szCs w:val="20"/>
              </w:rPr>
              <w:t xml:space="preserve">ha   </w:t>
            </w:r>
            <w:r w:rsidRPr="0024166E">
              <w:rPr>
                <w:rFonts w:ascii="Arial Narrow" w:hAnsi="Arial Narrow"/>
                <w:sz w:val="20"/>
                <w:szCs w:val="20"/>
              </w:rPr>
              <w:t>č. 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ČASŤ A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b/>
                <w:bCs/>
                <w:color w:val="000000"/>
                <w:sz w:val="20"/>
                <w:szCs w:val="20"/>
              </w:rPr>
              <w:t xml:space="preserve">Zoznam spoločností podľa článku 2 písm. a) bodu i)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color w:val="000000"/>
                <w:sz w:val="20"/>
                <w:szCs w:val="20"/>
              </w:rPr>
              <w:t xml:space="preserve">a) Spoločnosti zriadené podľa nariadenia Rady (ES) č. 2157/2001 z 8. októbra 2001 o stanovách európskej spoločnosti (SE) ( 1 ) a smernice Rady 2001/86/ES z 8. októbra 2001, ktorou sa dopĺňajú stanovy európskej spoločnosti v súvislosti s účasťou zamestnancov na riadení ( 2 ), a družstvá zriadené podľa nariadenia Rady (ES) č. 1435/2003 z 22. júla 2003 o stanovách Európskeho družstva (SCE) ( 3 ) a smernice Rady 2003/72/ES z 22. júla 2003, ktorou sa dopĺňajú stanovy Európskeho družstva s ohľadom na účasť zamestnancov na riadení ( 4 );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color w:val="000000"/>
                <w:sz w:val="20"/>
                <w:szCs w:val="20"/>
              </w:rPr>
              <w:t>b</w:t>
            </w:r>
            <w:r w:rsidRPr="0024166E">
              <w:rPr>
                <w:rFonts w:ascii="Arial Narrow" w:hAnsi="Arial Narrow" w:cs="EUAlbertina"/>
                <w:noProof/>
                <w:color w:val="000000"/>
                <w:sz w:val="20"/>
                <w:szCs w:val="20"/>
              </w:rPr>
              <w:t xml:space="preserve">) spoločnosti podľa belgického práva označované ako „société anonyme“/„naamloze vennootschap“, „société en commandite par actions“/„commanditaire vennootschap op a. a.ndelen“, „société privée </w:t>
            </w:r>
            <w:r w:rsidRPr="0024166E">
              <w:rPr>
                <w:rFonts w:ascii="Arial Narrow" w:hAnsi="Arial Narrow" w:cs="EUAlbertina"/>
                <w:noProof/>
                <w:color w:val="000000"/>
                <w:sz w:val="20"/>
                <w:szCs w:val="20"/>
              </w:rPr>
              <w:t>à responsabilité limitée“/ „besloten vennootschap met beperkte aansprakelijkheid“, „société coopérative à responsabilité limitée“/„coöperatieve vennootschap met beperkte aansprakelijkheid“, „société coopérative à responsabilité illimitée“/„coöperatieve vennootschap met onbeperkte aansprakelijkheid“, „société en nom collectif“</w:t>
            </w:r>
            <w:r w:rsidRPr="0024166E">
              <w:rPr>
                <w:rFonts w:ascii="Arial Narrow" w:hAnsi="Arial Narrow" w:cs="EUAlbertina"/>
                <w:noProof/>
                <w:color w:val="000000"/>
                <w:sz w:val="20"/>
                <w:szCs w:val="20"/>
              </w:rPr>
              <w:t xml:space="preserve">/„vennootschap onder firma“, „société en commandite simple“/„gewone commanditaire vennootschap“, verejnoprávne podniky, ktoré prijali jednu z uvedených právnych foriem, a ostatné spoločnosti zriadené podľa belgického práva podliehajúce belgickej dani z príjmu právnických osôb;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color w:val="000000"/>
                <w:sz w:val="20"/>
                <w:szCs w:val="20"/>
              </w:rPr>
              <w:t>c</w:t>
            </w:r>
            <w:r w:rsidRPr="0024166E">
              <w:rPr>
                <w:rFonts w:ascii="Arial Narrow" w:hAnsi="Arial Narrow" w:cs="EUAlbertina"/>
                <w:noProof/>
                <w:color w:val="000000"/>
                <w:sz w:val="20"/>
                <w:szCs w:val="20"/>
              </w:rPr>
              <w:t>) spoločnosti podľa bulharského práva označované ako „</w:t>
            </w:r>
            <w:r w:rsidRPr="0024166E">
              <w:rPr>
                <w:rFonts w:ascii="Arial Narrow" w:hAnsi="Arial Narrow" w:cs="EUAlbertina"/>
                <w:noProof/>
                <w:color w:val="000000"/>
                <w:sz w:val="20"/>
                <w:szCs w:val="20"/>
              </w:rPr>
              <w:t>събирателно дружество“, „командитно дружество“, „дружество с ограничена отговорност“, „акционерно дружество“, „командитно дружество с акции“, „неперсонифицирано дружество“, „кооперации“, „кооперативни съюзи“, „държавни предприятия“ zriaden</w:t>
            </w:r>
            <w:r w:rsidRPr="0024166E">
              <w:rPr>
                <w:rFonts w:ascii="Arial Narrow" w:hAnsi="Arial Narrow" w:cs="EUAlbertina"/>
                <w:noProof/>
                <w:color w:val="000000"/>
                <w:sz w:val="20"/>
                <w:szCs w:val="20"/>
              </w:rPr>
              <w:t xml:space="preserve">é podľa bulharského práva a zaoberajúce sa obchodnými aktivitami;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d) spoločnosti podľa českého práva označované ako „akciová společnost“, „společnost s ručením omezeným“;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e) spoločnosti podľa dánskeho práva označované ako „aktieselskab“, „anpartsselskab“. Ostatné spoločnosti, ktoré podliehajú zákonu o dani z príjmu právnických osôb, pokiaľ je ich zdaniteľný príjem vypočítaný a zdanený v súlade so všeobecnými daňovými predpismi, ktoré sa uplatňujú na „aktieselskaber“;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f) spoločnosti podľa nemeckého práva označované ako „Aktiengesellschaft“, „Kommanditgesellschaft auf Aktien“, „Gesellschaft mit beschränkter Haftung“, „Versicherungsverein auf Gegenseitigkeit“, „Erwerbs- und Wirtschaftsgenossenschaft“, „Betriebe gewerblicher Art von juristischen</w:t>
            </w:r>
            <w:r w:rsidRPr="0024166E">
              <w:rPr>
                <w:rFonts w:ascii="Arial Narrow" w:hAnsi="Arial Narrow" w:cs="EUAlbertina"/>
                <w:color w:val="000000"/>
                <w:sz w:val="20"/>
                <w:szCs w:val="20"/>
              </w:rPr>
              <w:t xml:space="preserve"> </w:t>
            </w:r>
            <w:r w:rsidRPr="0024166E">
              <w:rPr>
                <w:rFonts w:ascii="Arial Narrow" w:hAnsi="Arial Narrow" w:cs="EUAlbertina"/>
                <w:noProof/>
                <w:color w:val="000000"/>
                <w:sz w:val="20"/>
                <w:szCs w:val="20"/>
              </w:rPr>
              <w:t xml:space="preserve">Personen des öffentlichen Rechts“ a ostatné spoločnosti zriadené podľa nemeckého práva, ktoré podliehajú nemeckej dani z príjmu právnických osôb;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g) spoločnosti podľa estónskeho práva označované ako „täisühing“, „usaldusühing“, „osaühing“, „aktsiaselts“, „tulundusühistu“;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h) spoločnosti zriadené alebo existujúce podľa írskeho práva, orgány registrované podľa zákona o priemyselných a podporných spoločnostiach, stavebné spoločnosti zriadené podľa zákona o stavebných spoločnostiach a zákona o spravovaných podielnických sporiteľniach v zmysle zákona o spravovaných podielnických sporiteľniach z roku 1989;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i) spoločnosti podľa gréckeho práva označované ako „</w:t>
            </w:r>
            <w:r w:rsidRPr="0024166E">
              <w:rPr>
                <w:rFonts w:ascii="Arial Narrow" w:hAnsi="Arial Narrow" w:cs="EUAlbertina"/>
                <w:noProof/>
                <w:color w:val="000000"/>
                <w:sz w:val="20"/>
                <w:szCs w:val="20"/>
              </w:rPr>
              <w:t>ανώνυμη εταιρεία“, „εταιρεία περιορισμένης ευθύνης (Ε.Π.Ε</w:t>
            </w:r>
            <w:r w:rsidRPr="0024166E">
              <w:rPr>
                <w:rFonts w:ascii="Arial Narrow" w:hAnsi="Arial Narrow" w:cs="EUAlbertina"/>
                <w:noProof/>
                <w:color w:val="000000"/>
                <w:sz w:val="20"/>
                <w:szCs w:val="20"/>
              </w:rPr>
              <w:t xml:space="preserve">.)“ a ostatné spoločnosti zriadené podľa gréckeho práva, ktoré podliehajú gréckej dani z príjmu právnických osôb;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j) spoločnosti podľa španielskeho práva označované ako: „sociedad anónima“, „sociedad comanditaria por acciones“, „sociedad de responsabilidad limitada“, verejnoprávne subjekty, ktoré fungujú podľa súkromného práva. Ostatné subjekty zriadené podľa španielskeho práva, ktoré podliehajú španielskej dani z príjmu právnických osôb („Impuesto sobre Sociedades“);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k) spoločnosti podľa francúzskeho práva označované ako „société anonyme“, „société en commandite par actions“, „société </w:t>
            </w:r>
            <w:r w:rsidRPr="0024166E">
              <w:rPr>
                <w:rFonts w:ascii="Arial Narrow" w:hAnsi="Arial Narrow" w:cs="EUAlbertina"/>
                <w:noProof/>
                <w:color w:val="000000"/>
                <w:sz w:val="20"/>
                <w:szCs w:val="20"/>
              </w:rPr>
              <w:t>à responsabilité limitée“, „sociétés par actions simplifiées“, „sociétés d’assurances mutuelles“, „caisses d’épargne et de prévoyance“, „sociétés civiles“, ktoré automaticky</w:t>
            </w:r>
            <w:r w:rsidRPr="0024166E">
              <w:rPr>
                <w:rFonts w:ascii="Arial Narrow" w:hAnsi="Arial Narrow" w:cs="EUAlbertina"/>
                <w:noProof/>
                <w:color w:val="000000"/>
                <w:sz w:val="20"/>
                <w:szCs w:val="20"/>
              </w:rPr>
              <w:t xml:space="preserve"> podliehajú dani z príjmu právnických osôb, „coopératives“, „unions de coopératives“, priemyselné a obchodné verejné organizácie a podniky a iné spoločnosti zriadené podľa francúzskeho práva, ktoré podliehajú francúzskej dani z príjmu právnických osôb; </w:t>
            </w:r>
          </w:p>
          <w:p w:rsidR="00CA1300" w:rsidRPr="0024166E" w:rsidP="00CA1300">
            <w:pPr>
              <w:pStyle w:val="Normlny"/>
              <w:bidi w:val="0"/>
              <w:jc w:val="both"/>
              <w:rPr>
                <w:rFonts w:ascii="Arial Narrow" w:hAnsi="Arial Narrow" w:cs="EUAlbertina"/>
                <w:noProof/>
                <w:color w:val="000000"/>
              </w:rPr>
            </w:pPr>
            <w:r w:rsidRPr="0024166E">
              <w:rPr>
                <w:rFonts w:ascii="Arial Narrow" w:hAnsi="Arial Narrow" w:cs="EUAlbertina"/>
                <w:noProof/>
                <w:color w:val="000000"/>
              </w:rPr>
              <w:t>l) spoločnosti podľa talianskeho práva označované ako „societ</w:t>
            </w:r>
            <w:r w:rsidRPr="0024166E">
              <w:rPr>
                <w:rFonts w:ascii="Arial Narrow" w:hAnsi="Arial Narrow" w:cs="EUAlbertina"/>
                <w:noProof/>
                <w:color w:val="000000"/>
              </w:rPr>
              <w:t xml:space="preserve">à per azioni“, „società in accomandita per azioni“, „società a responsabilità limitata“, „società cooperative“, „società di mutua assicurazione“, a súkromné a verejné subjekty, ktorých celá </w:t>
            </w:r>
            <w:r w:rsidRPr="0024166E">
              <w:rPr>
                <w:rFonts w:ascii="Arial Narrow" w:hAnsi="Arial Narrow" w:cs="EUAlbertina"/>
                <w:noProof/>
                <w:color w:val="000000"/>
              </w:rPr>
              <w:t>činnosť alebo jej podstatná časť má obchodný charakter;</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m) podľa cyperského práva „</w:t>
            </w:r>
            <w:r w:rsidRPr="0024166E">
              <w:rPr>
                <w:rFonts w:ascii="Arial Narrow" w:hAnsi="Arial Narrow" w:cs="EUAlbertina"/>
                <w:noProof/>
                <w:color w:val="000000"/>
                <w:sz w:val="20"/>
                <w:szCs w:val="20"/>
              </w:rPr>
              <w:t>εταιρείες“, ako je definovan</w:t>
            </w:r>
            <w:r w:rsidRPr="0024166E">
              <w:rPr>
                <w:rFonts w:ascii="Arial Narrow" w:hAnsi="Arial Narrow" w:cs="EUAlbertina"/>
                <w:noProof/>
                <w:color w:val="000000"/>
                <w:sz w:val="20"/>
                <w:szCs w:val="20"/>
              </w:rPr>
              <w:t xml:space="preserve">é v zákonoch o dani z príjmu;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n) spoločnosti podľa lotyšského práva označované ako „akciju sabiedr</w:t>
            </w:r>
            <w:r w:rsidRPr="0024166E">
              <w:rPr>
                <w:rFonts w:ascii="Arial Narrow" w:hAnsi="Arial Narrow" w:cs="EUAlbertina"/>
                <w:noProof/>
                <w:color w:val="000000"/>
                <w:sz w:val="20"/>
                <w:szCs w:val="20"/>
              </w:rPr>
              <w:t xml:space="preserve">ība“, „sabiedrība ar ierobežotu atbildību“;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o) spoločnosti zriadené podľa litovského práva;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p) spoločnosti podľa luxemburského práva označované ako „société anonyme“, „société en commandite par actions“, „société </w:t>
            </w:r>
            <w:r w:rsidRPr="0024166E">
              <w:rPr>
                <w:rFonts w:ascii="Arial Narrow" w:hAnsi="Arial Narrow" w:cs="EUAlbertina"/>
                <w:noProof/>
                <w:color w:val="000000"/>
                <w:sz w:val="20"/>
                <w:szCs w:val="20"/>
              </w:rPr>
              <w:t>à responsabilité limitée“, „société coopérative“, „société coopérative organisée comme une société anonyme“, „association d’assurances mutuelles“, „association d’épargne-pension“, „entreprise de nature commerciale, industrielle ou minière de l’Etat, des communes, des syndicats de communes, des établissements publics et des autres personnes</w:t>
            </w:r>
            <w:r w:rsidRPr="0024166E">
              <w:rPr>
                <w:rFonts w:ascii="Arial Narrow" w:hAnsi="Arial Narrow" w:cs="EUAlbertina"/>
                <w:color w:val="000000"/>
                <w:sz w:val="20"/>
                <w:szCs w:val="20"/>
              </w:rPr>
              <w:t xml:space="preserve"> </w:t>
            </w:r>
            <w:r w:rsidRPr="0024166E">
              <w:rPr>
                <w:rFonts w:ascii="Arial Narrow" w:hAnsi="Arial Narrow" w:cs="EUAlbertina"/>
                <w:noProof/>
                <w:color w:val="000000"/>
                <w:sz w:val="20"/>
                <w:szCs w:val="20"/>
              </w:rPr>
              <w:t xml:space="preserve">morales de droit public“ a ostatné spoločnosti zriadené podľa luxemburského práva, ktoré podliehajú luxemburskej dani z príjmu právnických osôb;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q) spoločnosti podľa maďarského práva označované ako „közkereseti társaság“, „betéti társaság“, „közös vállalat“, „korlátolt felelősségű társaság“, „részvénytársaság“, „egyesülés“, „szövetkezet“;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r) spoločnosti podľa maltského práva označované ako „Kumpaniji ta’ Responsabilita' Limitata“, „Soċjetajiet en commandite li l-kapital tagħhom maqsum f’azzjonijiet“;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s) spoločnosti podľa holandského práva označované ako „naamloze vennootschap“, „besloten vennootschap met beperkte aansprakelijkheid“, „open commanditaire vennootschap“, „coöperatie“, „onderlinge waarborgmaatschappij“, „fonds voor gemene rekening“, „vereniging op coöperatieve grondslag“, „vereniging welke op onderlinge grondslag als verzekeraar of kredietinstelling optreedt“ a ostatné spoločnosti zriadené podľa holandského práva, ktoré podliehajú holandskej dani z príjmu právnických osôb;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t) spoločnosti podľa rakúskeho práva označované ako „Aktiengesellschaft“, „Gesellschaft mit beschränkter Haftung“, „Versicherungsvereine auf Gegenseitigkeit“, „Erwerbs- und Wirtschaftsgenossenschaften“, „Betriebe gewerblicher Art von Körperschaften des öffentlichen Rechts“, „Sparkassen“ a ostatné spoločnosti zriadené podľa rakúskeho práva, ktoré podliehajú rakúskej dani z príjmu právnických osôb;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u) spoločnosti podľa poľského práva označované ako „spółka akcyjna“, „spółka z ograniczoną odpowiedzialnością“;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v) obchodné spoločnosti alebo občianskoprávne spoločnosti, ktoré majú obchodnú formu, a družstvá a verejnoprávne podniky zriadené v súlade s portugalským právom;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w) spoločnosti podľa rumunského práva označované ako „societă</w:t>
            </w:r>
            <w:r w:rsidRPr="0024166E">
              <w:rPr>
                <w:rFonts w:ascii="Arial Narrow" w:hAnsi="Arial Narrow" w:cs="Cambria Math"/>
                <w:noProof/>
                <w:color w:val="000000"/>
                <w:sz w:val="20"/>
                <w:szCs w:val="20"/>
              </w:rPr>
              <w:t>ț</w:t>
            </w:r>
            <w:r w:rsidRPr="0024166E">
              <w:rPr>
                <w:rFonts w:ascii="Arial Narrow" w:hAnsi="Arial Narrow" w:cs="EUAlbertina"/>
                <w:noProof/>
                <w:color w:val="000000"/>
                <w:sz w:val="20"/>
                <w:szCs w:val="20"/>
              </w:rPr>
              <w:t>i pe ac</w:t>
            </w:r>
            <w:r w:rsidRPr="0024166E">
              <w:rPr>
                <w:rFonts w:ascii="Arial Narrow" w:hAnsi="Arial Narrow" w:cs="Cambria Math"/>
                <w:noProof/>
                <w:color w:val="000000"/>
                <w:sz w:val="20"/>
                <w:szCs w:val="20"/>
              </w:rPr>
              <w:t>ț</w:t>
            </w:r>
            <w:r w:rsidRPr="0024166E">
              <w:rPr>
                <w:rFonts w:ascii="Arial Narrow" w:hAnsi="Arial Narrow" w:cs="EUAlbertina"/>
                <w:noProof/>
                <w:color w:val="000000"/>
                <w:sz w:val="20"/>
                <w:szCs w:val="20"/>
              </w:rPr>
              <w:t>iuni“, „societă</w:t>
            </w:r>
            <w:r w:rsidRPr="0024166E">
              <w:rPr>
                <w:rFonts w:ascii="Arial Narrow" w:hAnsi="Arial Narrow" w:cs="Cambria Math"/>
                <w:noProof/>
                <w:color w:val="000000"/>
                <w:sz w:val="20"/>
                <w:szCs w:val="20"/>
              </w:rPr>
              <w:t>ț</w:t>
            </w:r>
            <w:r w:rsidRPr="0024166E">
              <w:rPr>
                <w:rFonts w:ascii="Arial Narrow" w:hAnsi="Arial Narrow" w:cs="EUAlbertina"/>
                <w:noProof/>
                <w:color w:val="000000"/>
                <w:sz w:val="20"/>
                <w:szCs w:val="20"/>
              </w:rPr>
              <w:t>i în comandită pe ac</w:t>
            </w:r>
            <w:r w:rsidRPr="0024166E">
              <w:rPr>
                <w:rFonts w:ascii="Arial Narrow" w:hAnsi="Arial Narrow" w:cs="Cambria Math"/>
                <w:noProof/>
                <w:color w:val="000000"/>
                <w:sz w:val="20"/>
                <w:szCs w:val="20"/>
              </w:rPr>
              <w:t>ț</w:t>
            </w:r>
            <w:r w:rsidRPr="0024166E">
              <w:rPr>
                <w:rFonts w:ascii="Arial Narrow" w:hAnsi="Arial Narrow" w:cs="EUAlbertina"/>
                <w:noProof/>
                <w:color w:val="000000"/>
                <w:sz w:val="20"/>
                <w:szCs w:val="20"/>
              </w:rPr>
              <w:t>iuni“, „societă</w:t>
            </w:r>
            <w:r w:rsidRPr="0024166E">
              <w:rPr>
                <w:rFonts w:ascii="Arial Narrow" w:hAnsi="Arial Narrow" w:cs="Cambria Math"/>
                <w:noProof/>
                <w:color w:val="000000"/>
                <w:sz w:val="20"/>
                <w:szCs w:val="20"/>
              </w:rPr>
              <w:t>ț</w:t>
            </w:r>
            <w:r w:rsidRPr="0024166E">
              <w:rPr>
                <w:rFonts w:ascii="Arial Narrow" w:hAnsi="Arial Narrow" w:cs="EUAlbertina"/>
                <w:noProof/>
                <w:color w:val="000000"/>
                <w:sz w:val="20"/>
                <w:szCs w:val="20"/>
              </w:rPr>
              <w:t xml:space="preserve">i cu răspundere limitată“;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x) spoločnosti podľa slovinského práva označované ako „delniška družba“, „komanditna družba“, „družba z omejeno odgovornostjo“; </w:t>
            </w:r>
          </w:p>
          <w:p w:rsidR="00CA1300"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y) spoločnosti podľa slovenského práva označované ako „akciová spoločnosť“, „spoločnosť s ručením obmedzeným“ a „komanditná spoločnosť“; </w:t>
            </w:r>
          </w:p>
          <w:p w:rsidR="00CA1300" w:rsidP="00CA1300">
            <w:pPr>
              <w:pStyle w:val="Default"/>
              <w:bidi w:val="0"/>
            </w:pPr>
          </w:p>
          <w:p w:rsidR="00CA1300" w:rsidP="00CA1300">
            <w:pPr>
              <w:pStyle w:val="Default"/>
              <w:bidi w:val="0"/>
            </w:pPr>
          </w:p>
          <w:p w:rsidR="00CA1300" w:rsidP="00CA1300">
            <w:pPr>
              <w:pStyle w:val="Default"/>
              <w:bidi w:val="0"/>
            </w:pPr>
          </w:p>
          <w:p w:rsidR="00CA1300" w:rsidP="00CA1300">
            <w:pPr>
              <w:pStyle w:val="Default"/>
              <w:bidi w:val="0"/>
            </w:pPr>
          </w:p>
          <w:p w:rsidR="00CA1300" w:rsidP="00CA1300">
            <w:pPr>
              <w:pStyle w:val="Default"/>
              <w:bidi w:val="0"/>
            </w:pPr>
          </w:p>
          <w:p w:rsidR="00CA1300" w:rsidP="00CA1300">
            <w:pPr>
              <w:pStyle w:val="Default"/>
              <w:bidi w:val="0"/>
            </w:pPr>
          </w:p>
          <w:p w:rsidR="00CA1300" w:rsidP="00CA1300">
            <w:pPr>
              <w:pStyle w:val="Default"/>
              <w:bidi w:val="0"/>
            </w:pPr>
          </w:p>
          <w:p w:rsidR="00CA1300" w:rsidP="00CA1300">
            <w:pPr>
              <w:pStyle w:val="Default"/>
              <w:bidi w:val="0"/>
            </w:pPr>
          </w:p>
          <w:p w:rsidR="00CA1300" w:rsidP="00CA1300">
            <w:pPr>
              <w:pStyle w:val="Default"/>
              <w:bidi w:val="0"/>
            </w:pPr>
          </w:p>
          <w:p w:rsidR="00CA1300" w:rsidP="00CA1300">
            <w:pPr>
              <w:pStyle w:val="Default"/>
              <w:bidi w:val="0"/>
            </w:pP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z) spoločnosti podľa fínskeho práva označované ako „osakeyhtiö“/„aktiebolag“, „osuuskunta“/„andelslag“, „säästöpankki“/ „sparbank</w:t>
            </w:r>
            <w:r w:rsidRPr="0024166E">
              <w:rPr>
                <w:rFonts w:ascii="Arial Narrow" w:hAnsi="Arial Narrow" w:cs="EUAlbertina"/>
                <w:color w:val="000000"/>
                <w:sz w:val="20"/>
                <w:szCs w:val="20"/>
              </w:rPr>
              <w:t>“, „</w:t>
            </w:r>
            <w:r w:rsidRPr="0024166E">
              <w:rPr>
                <w:rFonts w:ascii="Arial Narrow" w:hAnsi="Arial Narrow" w:cs="EUAlbertina"/>
                <w:noProof/>
                <w:color w:val="000000"/>
                <w:sz w:val="20"/>
                <w:szCs w:val="20"/>
              </w:rPr>
              <w:t xml:space="preserve">vakuutusyhtiö“/„försäkringsbolag“;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aa) obchodné spoločnosti podľa švédskeho práva označované ako „aktiebolag“, „försäkringsaktiebolag“, „ekonomiska föreningar“, „sparbanker“, „ömsesidiga försäkringsbolag“ a „försäkringsföreningar“; </w:t>
            </w:r>
          </w:p>
          <w:p w:rsidR="00CA1300" w:rsidRPr="0024166E" w:rsidP="00CA1300">
            <w:pPr>
              <w:pStyle w:val="Normlny"/>
              <w:bidi w:val="0"/>
              <w:jc w:val="both"/>
              <w:rPr>
                <w:rFonts w:ascii="Arial Narrow" w:hAnsi="Arial Narrow" w:cs="EUAlbertina"/>
                <w:noProof/>
                <w:color w:val="000000"/>
              </w:rPr>
            </w:pPr>
            <w:r w:rsidRPr="0024166E">
              <w:rPr>
                <w:rFonts w:ascii="Arial Narrow" w:hAnsi="Arial Narrow" w:cs="EUAlbertina"/>
                <w:noProof/>
                <w:color w:val="000000"/>
              </w:rPr>
              <w:t>ab) spoločnosti zriadené podľa práva Spojeného kráľovstva.</w:t>
            </w:r>
          </w:p>
          <w:p w:rsidR="00CA1300" w:rsidRPr="0024166E" w:rsidP="00CA1300">
            <w:pPr>
              <w:pStyle w:val="Normlny"/>
              <w:bidi w:val="0"/>
              <w:jc w:val="both"/>
              <w:rPr>
                <w:rFonts w:ascii="Arial Narrow" w:hAnsi="Arial Narrow" w:cs="EUAlbertina"/>
                <w:noProof/>
                <w:color w:val="000000"/>
              </w:rPr>
            </w:pP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ČASŤ B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b/>
                <w:bCs/>
                <w:noProof/>
                <w:color w:val="000000"/>
                <w:sz w:val="20"/>
                <w:szCs w:val="20"/>
              </w:rPr>
              <w:t xml:space="preserve">Zoznam daní podľa článku 2 písm. a) bodu iii)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impôt des sociétés/vennootschapsbelasting v Belgicku,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корпоративен данък v Bulharsku,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daň z příjmů právnických osob v Českej republike, </w:t>
            </w:r>
          </w:p>
          <w:p w:rsidR="00CA1300" w:rsidRPr="0024166E" w:rsidP="00CA1300">
            <w:pPr>
              <w:pStyle w:val="Normlny"/>
              <w:bidi w:val="0"/>
              <w:jc w:val="both"/>
              <w:rPr>
                <w:rFonts w:ascii="Arial Narrow" w:hAnsi="Arial Narrow" w:cs="EUAlbertina"/>
                <w:noProof/>
                <w:color w:val="000000"/>
              </w:rPr>
            </w:pPr>
            <w:r w:rsidRPr="0024166E">
              <w:rPr>
                <w:rFonts w:ascii="Arial Narrow" w:hAnsi="Arial Narrow" w:cs="EUAlbertina"/>
                <w:noProof/>
                <w:color w:val="000000"/>
              </w:rPr>
              <w:t>— selskabsskat v Dánsku,</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Körperschaftssteuer v Nemecku,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tulumaks v Estónsku,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corporation tax v Írsku,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φόρος εισοδήματος νομικών προσώπων κερδοσκοπικού χαρακτήρα v Gr</w:t>
            </w:r>
            <w:r w:rsidRPr="0024166E">
              <w:rPr>
                <w:rFonts w:ascii="Arial Narrow" w:hAnsi="Arial Narrow" w:cs="EUAlbertina"/>
                <w:noProof/>
                <w:color w:val="000000"/>
                <w:sz w:val="20"/>
                <w:szCs w:val="20"/>
              </w:rPr>
              <w:t xml:space="preserve">écku,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impuesto sobre sociedades v Španielsku,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impôt sur les sociétés vo Francúzsku,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imposta sul reddito delle società v Taliansku,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φόρος εισοδήματος na Cypr</w:t>
            </w:r>
            <w:r w:rsidRPr="0024166E">
              <w:rPr>
                <w:rFonts w:ascii="Arial Narrow" w:hAnsi="Arial Narrow" w:cs="EUAlbertina"/>
                <w:noProof/>
                <w:color w:val="000000"/>
                <w:sz w:val="20"/>
                <w:szCs w:val="20"/>
              </w:rPr>
              <w:t xml:space="preserve">e,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uzņēmumu ienākuma nodoklis v Lotyšsku,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pelno mokestis v Litve,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impôt sur le revenu des collectivités v Luxembursku,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társasági adó, osztalékadó v Maďarsku,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taxxa fuq l-income na Malte,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vennootschapsbelasting v Holandsku,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Körperschaftssteuer v Rakúsku,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podatek dochodowy od osób prawnych v Poľsku, </w:t>
            </w:r>
          </w:p>
          <w:p w:rsidR="00CA1300" w:rsidRPr="0024166E" w:rsidP="00CA1300">
            <w:pPr>
              <w:pStyle w:val="CM4"/>
              <w:bidi w:val="0"/>
              <w:spacing w:before="60" w:after="60"/>
              <w:jc w:val="both"/>
              <w:rPr>
                <w:rFonts w:ascii="Arial Narrow" w:hAnsi="Arial Narrow" w:cs="EUAlbertina"/>
                <w:color w:val="000000"/>
                <w:sz w:val="20"/>
                <w:szCs w:val="20"/>
              </w:rPr>
            </w:pPr>
            <w:r w:rsidRPr="0024166E">
              <w:rPr>
                <w:rFonts w:ascii="Arial Narrow" w:hAnsi="Arial Narrow" w:cs="EUAlbertina"/>
                <w:noProof/>
                <w:color w:val="000000"/>
                <w:sz w:val="20"/>
                <w:szCs w:val="20"/>
              </w:rPr>
              <w:t>— imposto sobre o rendimento das pessoas colectivas</w:t>
            </w:r>
            <w:r w:rsidRPr="0024166E">
              <w:rPr>
                <w:rFonts w:ascii="Arial Narrow" w:hAnsi="Arial Narrow" w:cs="EUAlbertina"/>
                <w:color w:val="000000"/>
                <w:sz w:val="20"/>
                <w:szCs w:val="20"/>
              </w:rPr>
              <w:t xml:space="preserve"> v Portugalsku,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color w:val="000000"/>
                <w:sz w:val="20"/>
                <w:szCs w:val="20"/>
              </w:rPr>
              <w:t xml:space="preserve">— </w:t>
            </w:r>
            <w:r w:rsidRPr="0024166E">
              <w:rPr>
                <w:rFonts w:ascii="Arial Narrow" w:hAnsi="Arial Narrow" w:cs="EUAlbertina"/>
                <w:noProof/>
                <w:color w:val="000000"/>
                <w:sz w:val="20"/>
                <w:szCs w:val="20"/>
              </w:rPr>
              <w:t xml:space="preserve">impozit pe profit v Rumunsku, </w:t>
            </w:r>
          </w:p>
          <w:p w:rsidR="00CA1300"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davek od dobička pravnih oseb v Slovinsku, </w:t>
            </w:r>
          </w:p>
          <w:p w:rsidR="00CA1300"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daň z príjmov právnických osôb na Slovensku, </w:t>
            </w:r>
          </w:p>
          <w:p w:rsidR="00CA1300" w:rsidP="00CA1300">
            <w:pPr>
              <w:pStyle w:val="Default"/>
              <w:bidi w:val="0"/>
            </w:pPr>
          </w:p>
          <w:p w:rsidR="00CA1300" w:rsidRPr="00D90C4A" w:rsidP="00CA1300">
            <w:pPr>
              <w:pStyle w:val="Default"/>
              <w:bidi w:val="0"/>
            </w:pP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yhteisöjen tulovero/inkomstskatten för samfund vo Fínsku, </w:t>
            </w:r>
          </w:p>
          <w:p w:rsidR="00CA1300" w:rsidRPr="0024166E" w:rsidP="00CA1300">
            <w:pPr>
              <w:pStyle w:val="CM4"/>
              <w:bidi w:val="0"/>
              <w:spacing w:before="60" w:after="60"/>
              <w:jc w:val="both"/>
              <w:rPr>
                <w:rFonts w:ascii="Arial Narrow" w:hAnsi="Arial Narrow" w:cs="EUAlbertina"/>
                <w:noProof/>
                <w:color w:val="000000"/>
                <w:sz w:val="20"/>
                <w:szCs w:val="20"/>
              </w:rPr>
            </w:pPr>
            <w:r w:rsidRPr="0024166E">
              <w:rPr>
                <w:rFonts w:ascii="Arial Narrow" w:hAnsi="Arial Narrow" w:cs="EUAlbertina"/>
                <w:noProof/>
                <w:color w:val="000000"/>
                <w:sz w:val="20"/>
                <w:szCs w:val="20"/>
              </w:rPr>
              <w:t xml:space="preserve">— statlig inkomstskatt vo Švédsku, </w:t>
            </w:r>
          </w:p>
          <w:p w:rsidR="00CA1300" w:rsidRPr="0024166E" w:rsidP="00CA1300">
            <w:pPr>
              <w:pStyle w:val="Normlny"/>
              <w:bidi w:val="0"/>
              <w:jc w:val="both"/>
              <w:rPr>
                <w:rFonts w:ascii="Arial Narrow" w:hAnsi="Arial Narrow"/>
              </w:rPr>
            </w:pPr>
            <w:r w:rsidRPr="0024166E">
              <w:rPr>
                <w:rFonts w:ascii="Arial Narrow" w:hAnsi="Arial Narrow" w:cs="EUAlbertina"/>
                <w:noProof/>
                <w:color w:val="000000"/>
              </w:rPr>
              <w:t>— corporation tax v Spojenom kráľovstve.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A1300" w:rsidP="00CA1300">
            <w:pPr>
              <w:bidi w:val="0"/>
              <w:jc w:val="both"/>
              <w:rPr>
                <w:rFonts w:ascii="Arial Narrow" w:hAnsi="Arial Narrow"/>
                <w:sz w:val="20"/>
                <w:szCs w:val="20"/>
              </w:rPr>
            </w:pPr>
            <w:r>
              <w:rPr>
                <w:rFonts w:ascii="Arial Narrow" w:hAnsi="Arial Narrow"/>
                <w:sz w:val="20"/>
                <w:szCs w:val="20"/>
              </w:rPr>
              <w:t>n.a.</w:t>
            </w: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r>
              <w:rPr>
                <w:rFonts w:ascii="Arial Narrow" w:hAnsi="Arial Narrow"/>
                <w:sz w:val="20"/>
                <w:szCs w:val="20"/>
              </w:rPr>
              <w:t>N</w:t>
            </w: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r>
              <w:rPr>
                <w:rFonts w:ascii="Arial Narrow" w:hAnsi="Arial Narrow"/>
                <w:sz w:val="20"/>
                <w:szCs w:val="20"/>
              </w:rPr>
              <w:t>n.a.</w:t>
            </w: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r>
              <w:rPr>
                <w:rFonts w:ascii="Arial Narrow" w:hAnsi="Arial Narrow"/>
                <w:sz w:val="20"/>
                <w:szCs w:val="20"/>
              </w:rPr>
              <w:t>N</w:t>
            </w: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RPr="0024166E" w:rsidP="00CA1300">
            <w:pPr>
              <w:bidi w:val="0"/>
              <w:jc w:val="both"/>
              <w:rPr>
                <w:rFonts w:ascii="Arial Narrow" w:hAnsi="Arial Narrow"/>
                <w:sz w:val="20"/>
                <w:szCs w:val="20"/>
              </w:rPr>
            </w:pPr>
            <w:r>
              <w:rPr>
                <w:rFonts w:ascii="Arial Narrow" w:hAnsi="Arial Narrow"/>
                <w:sz w:val="20"/>
                <w:szCs w:val="20"/>
              </w:rPr>
              <w:t>n.a.</w:t>
            </w:r>
          </w:p>
        </w:tc>
        <w:tc>
          <w:tcPr>
            <w:tcW w:w="851" w:type="dxa"/>
            <w:tcBorders>
              <w:top w:val="single" w:sz="4" w:space="0" w:color="auto"/>
              <w:left w:val="nil"/>
              <w:bottom w:val="single" w:sz="4" w:space="0" w:color="auto"/>
              <w:right w:val="single" w:sz="4" w:space="0" w:color="auto"/>
            </w:tcBorders>
            <w:textDirection w:val="lrTb"/>
            <w:vAlign w:val="top"/>
          </w:tcPr>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RPr="00177E75" w:rsidP="00CA1300">
            <w:pPr>
              <w:bidi w:val="0"/>
              <w:jc w:val="both"/>
              <w:rPr>
                <w:rFonts w:ascii="Arial Narrow" w:hAnsi="Arial Narrow"/>
                <w:sz w:val="20"/>
                <w:szCs w:val="20"/>
              </w:rPr>
            </w:pPr>
            <w:r w:rsidRPr="00177E75">
              <w:rPr>
                <w:rFonts w:ascii="Arial Narrow" w:hAnsi="Arial Narrow"/>
                <w:sz w:val="20"/>
                <w:szCs w:val="20"/>
              </w:rPr>
              <w:t>595/2003</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RPr="00D203E0" w:rsidP="00CA1300">
            <w:pPr>
              <w:pStyle w:val="Normlny"/>
              <w:bidi w:val="0"/>
              <w:jc w:val="center"/>
              <w:rPr>
                <w:rFonts w:ascii="Arial Narrow" w:hAnsi="Arial Narrow"/>
              </w:rPr>
            </w:pPr>
            <w:r w:rsidRPr="00D203E0">
              <w:rPr>
                <w:rFonts w:ascii="Arial Narrow" w:hAnsi="Arial Narrow"/>
              </w:rPr>
              <w:t xml:space="preserve">§ 2 ods.2 pís.d) bod 2. </w:t>
            </w:r>
          </w:p>
          <w:p w:rsidR="00CA1300" w:rsidRPr="00D203E0" w:rsidP="00CA1300">
            <w:pPr>
              <w:pStyle w:val="Normlny"/>
              <w:bidi w:val="0"/>
              <w:jc w:val="center"/>
              <w:rPr>
                <w:rFonts w:ascii="Arial Narrow" w:hAnsi="Arial Narrow"/>
              </w:rPr>
            </w:pPr>
          </w:p>
          <w:p w:rsidR="00CA1300" w:rsidRPr="00D203E0" w:rsidP="00CA1300">
            <w:pPr>
              <w:pStyle w:val="Normlny"/>
              <w:bidi w:val="0"/>
              <w:jc w:val="center"/>
              <w:rPr>
                <w:rFonts w:ascii="Arial Narrow" w:hAnsi="Arial Narrow"/>
              </w:rPr>
            </w:pPr>
          </w:p>
          <w:p w:rsidR="00CA1300" w:rsidRPr="00D203E0" w:rsidP="00CA1300">
            <w:pPr>
              <w:pStyle w:val="Normlny"/>
              <w:bidi w:val="0"/>
              <w:jc w:val="center"/>
              <w:rPr>
                <w:rFonts w:ascii="Arial Narrow" w:hAnsi="Arial Narrow"/>
              </w:rPr>
            </w:pPr>
          </w:p>
          <w:p w:rsidR="00CA1300" w:rsidRPr="00D203E0" w:rsidP="00CA1300">
            <w:pPr>
              <w:pStyle w:val="Normlny"/>
              <w:bidi w:val="0"/>
              <w:jc w:val="center"/>
              <w:rPr>
                <w:rFonts w:ascii="Arial Narrow" w:hAnsi="Arial Narrow"/>
              </w:rPr>
            </w:pPr>
          </w:p>
          <w:p w:rsidR="00CA1300" w:rsidRPr="00D203E0" w:rsidP="00CA1300">
            <w:pPr>
              <w:pStyle w:val="Normlny"/>
              <w:bidi w:val="0"/>
              <w:jc w:val="center"/>
              <w:rPr>
                <w:rFonts w:ascii="Arial Narrow" w:hAnsi="Arial Narrow"/>
              </w:rPr>
            </w:pPr>
          </w:p>
          <w:p w:rsidR="00CA1300" w:rsidP="00CA1300">
            <w:pPr>
              <w:pStyle w:val="Normlny"/>
              <w:bidi w:val="0"/>
              <w:jc w:val="both"/>
              <w:rPr>
                <w:rFonts w:ascii="Arial Narrow" w:hAnsi="Arial Narrow"/>
              </w:rPr>
            </w:pPr>
            <w:r w:rsidRPr="00D203E0">
              <w:rPr>
                <w:rFonts w:ascii="Arial Narrow" w:hAnsi="Arial Narrow"/>
              </w:rPr>
              <w:t>pís.t)</w:t>
            </w: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RPr="0024166E" w:rsidP="00CA1300">
            <w:pPr>
              <w:pStyle w:val="Normlny"/>
              <w:bidi w:val="0"/>
              <w:rPr>
                <w:rFonts w:ascii="Arial Narrow" w:hAnsi="Arial Narrow"/>
              </w:rPr>
            </w:pPr>
            <w:r>
              <w:rPr>
                <w:rFonts w:ascii="Arial Narrow" w:hAnsi="Arial Narrow"/>
              </w:rPr>
              <w:t>§ 1 ods.1 pís.a)</w:t>
            </w:r>
          </w:p>
        </w:tc>
        <w:tc>
          <w:tcPr>
            <w:tcW w:w="5387" w:type="dxa"/>
            <w:tcBorders>
              <w:top w:val="single" w:sz="4" w:space="0" w:color="auto"/>
              <w:left w:val="single" w:sz="4" w:space="0" w:color="auto"/>
              <w:bottom w:val="single" w:sz="4" w:space="0" w:color="auto"/>
              <w:right w:val="single" w:sz="4" w:space="0" w:color="auto"/>
            </w:tcBorders>
            <w:textDirection w:val="lrTb"/>
            <w:vAlign w:val="top"/>
          </w:tcPr>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P="00CA1300">
            <w:pPr>
              <w:pStyle w:val="Normlny"/>
              <w:bidi w:val="0"/>
              <w:jc w:val="both"/>
              <w:rPr>
                <w:rFonts w:ascii="Arial Narrow" w:hAnsi="Arial Narrow"/>
              </w:rPr>
            </w:pPr>
          </w:p>
          <w:p w:rsidR="00CA1300" w:rsidRPr="00D203E0" w:rsidP="00CA1300">
            <w:pPr>
              <w:pStyle w:val="Normlny"/>
              <w:bidi w:val="0"/>
              <w:jc w:val="both"/>
              <w:rPr>
                <w:rFonts w:ascii="Arial Narrow" w:hAnsi="Arial Narrow"/>
                <w:color w:val="000000"/>
              </w:rPr>
            </w:pPr>
            <w:r w:rsidRPr="00D203E0">
              <w:rPr>
                <w:rFonts w:ascii="Arial Narrow" w:hAnsi="Arial Narrow"/>
                <w:color w:val="000000"/>
              </w:rPr>
              <w:t>Na účely tohto zákona sa rozumie</w:t>
            </w:r>
          </w:p>
          <w:p w:rsidR="00CA1300" w:rsidRPr="00D203E0" w:rsidP="00CA1300">
            <w:pPr>
              <w:pStyle w:val="Normlny"/>
              <w:bidi w:val="0"/>
              <w:rPr>
                <w:rFonts w:ascii="Arial Narrow" w:hAnsi="Arial Narrow"/>
                <w:color w:val="000000"/>
              </w:rPr>
            </w:pPr>
            <w:r w:rsidRPr="00D203E0">
              <w:rPr>
                <w:rFonts w:ascii="Arial Narrow" w:hAnsi="Arial Narrow"/>
                <w:color w:val="000000"/>
              </w:rPr>
              <w:t xml:space="preserve">daňovníkom s neobmedzenou daňovou povinnosťou </w:t>
              <w:br/>
            </w:r>
          </w:p>
          <w:p w:rsidR="00CA1300" w:rsidRPr="00D203E0" w:rsidP="00CA1300">
            <w:pPr>
              <w:pStyle w:val="Normlny"/>
              <w:bidi w:val="0"/>
              <w:jc w:val="both"/>
              <w:rPr>
                <w:rFonts w:ascii="Arial Narrow" w:hAnsi="Arial Narrow"/>
                <w:color w:val="000000"/>
              </w:rPr>
            </w:pPr>
            <w:r w:rsidRPr="00D203E0">
              <w:rPr>
                <w:rFonts w:ascii="Arial Narrow" w:hAnsi="Arial Narrow"/>
                <w:color w:val="000000"/>
              </w:rPr>
              <w:t>2. právnická osoba, ktorá má na území Slovenskej republiky sídlo alebo miesto skutočného vedenia; miestom skutočného vedenia je miesto, kde sa prijímajú riadiace a obchodné rozhodnutia štatutárnych orgánov a dozorných orgánov právnickej osoby, aj ak adresa tohto miesta nie je zapísaná v obchodnom registri,</w:t>
            </w:r>
          </w:p>
          <w:p w:rsidR="00CA1300" w:rsidRPr="00D203E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r w:rsidRPr="00D203E0">
              <w:rPr>
                <w:rFonts w:ascii="Arial Narrow" w:hAnsi="Arial Narrow"/>
                <w:color w:val="000000"/>
              </w:rPr>
              <w:t>daňovníkom členského štátu Európskej únie fyzická osoba alebo právnická osoba, ktorá podlieha zdaneniu na území tohto členského štátu Európskej únie z príjmov plynúcich zo zdrojov na území tohto členského štátu Európskej únie, ako aj zo zdrojov mimo územia tohto členského štátu Európskej únie a ktorá na území Slovenskej republiky nie je daňovníkom s neobmedzenou daňovou povinnosťou,</w:t>
            </w: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jc w:val="both"/>
              <w:rPr>
                <w:rFonts w:ascii="Arial Narrow" w:hAnsi="Arial Narrow"/>
                <w:color w:val="000000"/>
              </w:rPr>
            </w:pPr>
          </w:p>
          <w:p w:rsidR="00CA1300" w:rsidP="00CA1300">
            <w:pPr>
              <w:pStyle w:val="Normlny"/>
              <w:bidi w:val="0"/>
              <w:rPr>
                <w:rFonts w:ascii="Arial Narrow" w:hAnsi="Arial Narrow"/>
                <w:color w:val="000000"/>
              </w:rPr>
            </w:pPr>
            <w:r w:rsidRPr="00112055">
              <w:rPr>
                <w:rFonts w:ascii="Arial Narrow" w:hAnsi="Arial Narrow"/>
                <w:color w:val="000000"/>
              </w:rPr>
              <w:t>Ten</w:t>
            </w:r>
            <w:r>
              <w:rPr>
                <w:rFonts w:ascii="Arial Narrow" w:hAnsi="Arial Narrow"/>
                <w:color w:val="000000"/>
              </w:rPr>
              <w:t>to zákon upravuje</w:t>
              <w:br/>
            </w:r>
          </w:p>
          <w:p w:rsidR="00CA1300" w:rsidRPr="00112055" w:rsidP="00CA1300">
            <w:pPr>
              <w:pStyle w:val="Normlny"/>
              <w:bidi w:val="0"/>
              <w:rPr>
                <w:rFonts w:ascii="Arial Narrow" w:hAnsi="Arial Narrow"/>
              </w:rPr>
            </w:pPr>
            <w:r w:rsidRPr="00112055">
              <w:rPr>
                <w:rFonts w:ascii="Arial Narrow" w:hAnsi="Arial Narrow"/>
                <w:color w:val="000000"/>
              </w:rPr>
              <w:t>daň z príjmov fyzickej osoby alebo právnickej osoby (ďalej len "daň"),</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A1300" w:rsidP="00CA1300">
            <w:pPr>
              <w:bidi w:val="0"/>
              <w:jc w:val="both"/>
              <w:rPr>
                <w:rFonts w:ascii="Arial Narrow" w:hAnsi="Arial Narrow"/>
                <w:sz w:val="20"/>
                <w:szCs w:val="20"/>
              </w:rPr>
            </w:pPr>
            <w:r>
              <w:rPr>
                <w:rFonts w:ascii="Arial Narrow" w:hAnsi="Arial Narrow"/>
                <w:sz w:val="20"/>
                <w:szCs w:val="20"/>
              </w:rPr>
              <w:t>n.a.</w:t>
            </w: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r>
              <w:rPr>
                <w:rFonts w:ascii="Arial Narrow" w:hAnsi="Arial Narrow"/>
                <w:sz w:val="20"/>
                <w:szCs w:val="20"/>
              </w:rPr>
              <w:t>Ú</w:t>
            </w: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r>
              <w:rPr>
                <w:rFonts w:ascii="Arial Narrow" w:hAnsi="Arial Narrow"/>
                <w:sz w:val="20"/>
                <w:szCs w:val="20"/>
              </w:rPr>
              <w:t>n.a.</w:t>
            </w: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p>
          <w:p w:rsidR="00CA1300" w:rsidP="00CA1300">
            <w:pPr>
              <w:bidi w:val="0"/>
              <w:jc w:val="both"/>
              <w:rPr>
                <w:rFonts w:ascii="Arial Narrow" w:hAnsi="Arial Narrow"/>
                <w:sz w:val="20"/>
                <w:szCs w:val="20"/>
              </w:rPr>
            </w:pPr>
            <w:r>
              <w:rPr>
                <w:rFonts w:ascii="Arial Narrow" w:hAnsi="Arial Narrow"/>
                <w:sz w:val="20"/>
                <w:szCs w:val="20"/>
              </w:rPr>
              <w:t>Ú</w:t>
            </w:r>
          </w:p>
          <w:p w:rsidR="00CA1300" w:rsidP="00CA1300">
            <w:pPr>
              <w:bidi w:val="0"/>
              <w:jc w:val="both"/>
              <w:rPr>
                <w:rFonts w:ascii="Arial Narrow" w:hAnsi="Arial Narrow"/>
                <w:sz w:val="20"/>
                <w:szCs w:val="20"/>
              </w:rPr>
            </w:pPr>
          </w:p>
          <w:p w:rsidR="00CA1300" w:rsidRPr="0024166E" w:rsidP="00CA1300">
            <w:pPr>
              <w:bidi w:val="0"/>
              <w:jc w:val="both"/>
              <w:rPr>
                <w:rFonts w:ascii="Arial Narrow" w:hAnsi="Arial Narrow"/>
                <w:sz w:val="20"/>
                <w:szCs w:val="20"/>
              </w:rPr>
            </w:pPr>
            <w:r>
              <w:rPr>
                <w:rFonts w:ascii="Arial Narrow" w:hAnsi="Arial Narrow"/>
                <w:sz w:val="20"/>
                <w:szCs w:val="20"/>
              </w:rPr>
              <w:t>n.a.</w:t>
            </w:r>
          </w:p>
        </w:tc>
        <w:tc>
          <w:tcPr>
            <w:tcW w:w="743" w:type="dxa"/>
            <w:tcBorders>
              <w:top w:val="single" w:sz="4" w:space="0" w:color="auto"/>
              <w:left w:val="single" w:sz="4" w:space="0" w:color="auto"/>
              <w:bottom w:val="single" w:sz="4" w:space="0" w:color="auto"/>
              <w:right w:val="single" w:sz="12" w:space="0" w:color="auto"/>
            </w:tcBorders>
            <w:textDirection w:val="lrTb"/>
            <w:vAlign w:val="top"/>
          </w:tcPr>
          <w:p w:rsidR="00CA1300" w:rsidRPr="007D0941" w:rsidP="00CA1300">
            <w:pPr>
              <w:pStyle w:val="Heading1"/>
              <w:bidi w:val="0"/>
              <w:jc w:val="both"/>
              <w:rPr>
                <w:rFonts w:ascii="Arial Narrow" w:hAnsi="Arial Narrow"/>
                <w:b w:val="0"/>
                <w:bCs w:val="0"/>
                <w:kern w:val="0"/>
                <w:sz w:val="20"/>
                <w:szCs w:val="20"/>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RPr="00DE3E93" w:rsidP="00CA1300">
            <w:pPr>
              <w:bidi w:val="0"/>
              <w:rPr>
                <w:rFonts w:ascii="Arial Narrow" w:hAnsi="Arial Narrow"/>
                <w:sz w:val="20"/>
                <w:szCs w:val="20"/>
              </w:rPr>
            </w:pPr>
            <w:r w:rsidRPr="00DE3E93">
              <w:rPr>
                <w:rFonts w:ascii="Arial Narrow" w:hAnsi="Arial Narrow"/>
                <w:sz w:val="20"/>
                <w:szCs w:val="20"/>
              </w:rPr>
              <w:t>§</w:t>
            </w:r>
            <w:r>
              <w:rPr>
                <w:rFonts w:ascii="Times New Roman" w:hAnsi="Times New Roman"/>
              </w:rPr>
              <w:t xml:space="preserve"> </w:t>
            </w:r>
            <w:r w:rsidRPr="00DE3E93">
              <w:rPr>
                <w:rFonts w:ascii="Arial Narrow" w:hAnsi="Arial Narrow"/>
                <w:sz w:val="20"/>
                <w:szCs w:val="20"/>
              </w:rPr>
              <w:t>56 ods.1 zákona č. 513/1991 Zb. Obchodný zákonník v znení neskorších predpisov</w:t>
            </w: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P="00CA1300">
            <w:pPr>
              <w:bidi w:val="0"/>
              <w:rPr>
                <w:rFonts w:ascii="Times New Roman" w:hAnsi="Times New Roman"/>
              </w:rPr>
            </w:pPr>
          </w:p>
          <w:p w:rsidR="00CA1300" w:rsidRPr="00DE3E93" w:rsidP="00CA1300">
            <w:pPr>
              <w:bidi w:val="0"/>
              <w:rPr>
                <w:rFonts w:ascii="Times New Roman" w:hAnsi="Times New Roman"/>
              </w:rPr>
            </w:pPr>
          </w:p>
        </w:tc>
      </w:tr>
    </w:tbl>
    <w:p w:rsidR="00CA1300">
      <w:pPr>
        <w:bidi w:val="0"/>
        <w:rPr>
          <w:rFonts w:ascii="Times New Roman" w:hAnsi="Times New Roman"/>
        </w:rPr>
        <w:sectPr w:rsidSect="0025414D">
          <w:pgSz w:w="16838" w:h="11906" w:orient="landscape" w:code="9"/>
          <w:pgMar w:top="1418" w:right="1134" w:bottom="1418" w:left="1985" w:header="709" w:footer="709" w:gutter="0"/>
          <w:lnNumType w:distance="0"/>
          <w:cols w:space="708"/>
          <w:noEndnote w:val="0"/>
          <w:bidi w:val="0"/>
          <w:docGrid w:linePitch="360"/>
        </w:sectPr>
      </w:pPr>
    </w:p>
    <w:p w:rsidR="00CA1300" w:rsidRPr="00E60ED5" w:rsidP="00CA1300">
      <w:pPr>
        <w:bidi w:val="0"/>
        <w:rPr>
          <w:rFonts w:ascii="Times New Roman" w:hAnsi="Times New Roman"/>
          <w:b/>
          <w:u w:val="single"/>
        </w:rPr>
      </w:pPr>
      <w:r w:rsidRPr="00E60ED5">
        <w:rPr>
          <w:rFonts w:ascii="Times New Roman" w:hAnsi="Times New Roman"/>
          <w:b/>
          <w:u w:val="single"/>
        </w:rPr>
        <w:t xml:space="preserve">Osobitná časť </w:t>
      </w:r>
    </w:p>
    <w:p w:rsidR="00CA1300" w:rsidRPr="00E60ED5" w:rsidP="00CA1300">
      <w:pPr>
        <w:bidi w:val="0"/>
        <w:rPr>
          <w:rFonts w:ascii="Times New Roman" w:hAnsi="Times New Roman"/>
        </w:rPr>
      </w:pPr>
    </w:p>
    <w:p w:rsidR="00CA1300" w:rsidRPr="00E60ED5" w:rsidP="00CA1300">
      <w:pPr>
        <w:bidi w:val="0"/>
        <w:rPr>
          <w:rFonts w:ascii="Times New Roman" w:hAnsi="Times New Roman"/>
          <w:b/>
        </w:rPr>
      </w:pPr>
      <w:r w:rsidRPr="00E60ED5">
        <w:rPr>
          <w:rFonts w:ascii="Times New Roman" w:hAnsi="Times New Roman"/>
          <w:b/>
        </w:rPr>
        <w:t>K Čl. I</w:t>
      </w:r>
    </w:p>
    <w:p w:rsidR="00CA1300" w:rsidRPr="00E60ED5" w:rsidP="00CA1300">
      <w:pPr>
        <w:bidi w:val="0"/>
        <w:rPr>
          <w:rFonts w:ascii="Times New Roman" w:hAnsi="Times New Roman"/>
          <w:b/>
        </w:rPr>
      </w:pPr>
    </w:p>
    <w:p w:rsidR="00CA1300" w:rsidRPr="007862DC" w:rsidP="00CA1300">
      <w:pPr>
        <w:bidi w:val="0"/>
        <w:jc w:val="both"/>
        <w:rPr>
          <w:rFonts w:ascii="Times New Roman" w:hAnsi="Times New Roman"/>
          <w:b/>
        </w:rPr>
      </w:pPr>
      <w:r w:rsidRPr="007862DC">
        <w:rPr>
          <w:rFonts w:ascii="Times New Roman" w:hAnsi="Times New Roman"/>
          <w:b/>
        </w:rPr>
        <w:t>K bodu 1 - § 5 ods. 1 písm. j) a</w:t>
      </w:r>
      <w:r>
        <w:rPr>
          <w:rFonts w:ascii="Times New Roman" w:hAnsi="Times New Roman"/>
          <w:b/>
        </w:rPr>
        <w:t xml:space="preserve"> </w:t>
      </w:r>
      <w:r w:rsidR="001C2B3B">
        <w:rPr>
          <w:rFonts w:ascii="Times New Roman" w:hAnsi="Times New Roman"/>
          <w:b/>
        </w:rPr>
        <w:t>k</w:t>
      </w:r>
      <w:r w:rsidRPr="007862DC">
        <w:rPr>
          <w:rFonts w:ascii="Times New Roman" w:hAnsi="Times New Roman"/>
          <w:b/>
        </w:rPr>
        <w:t>)</w:t>
      </w:r>
    </w:p>
    <w:p w:rsidR="00CA1300" w:rsidRPr="007862DC" w:rsidP="00CA1300">
      <w:pPr>
        <w:bidi w:val="0"/>
        <w:jc w:val="both"/>
        <w:rPr>
          <w:rFonts w:ascii="Times New Roman" w:hAnsi="Times New Roman"/>
        </w:rPr>
      </w:pPr>
      <w:r w:rsidRPr="007862DC">
        <w:rPr>
          <w:rFonts w:ascii="Times New Roman" w:hAnsi="Times New Roman"/>
        </w:rPr>
        <w:t>Na základe zásadnej pripomienky Ministerstva práce sociálnych vecí a rodiny SR boli v rámci § 5 zákona (príjmy zo závislej činnosti) vyčlenené niektoré špecifické druhy týchto príjmov, ktoré zostávajú zdaniteľnými príjmami, ale nevstupujú do vymeriavacích základov na sociálne poistenie.</w:t>
      </w:r>
    </w:p>
    <w:p w:rsidR="00CA1300" w:rsidRPr="007862DC" w:rsidP="00CA1300">
      <w:pPr>
        <w:bidi w:val="0"/>
        <w:rPr>
          <w:rFonts w:ascii="Times New Roman" w:hAnsi="Times New Roman"/>
          <w:b/>
        </w:rPr>
      </w:pPr>
    </w:p>
    <w:p w:rsidR="00CA1300" w:rsidRPr="007862DC" w:rsidP="00CA1300">
      <w:pPr>
        <w:bidi w:val="0"/>
        <w:rPr>
          <w:rFonts w:ascii="Times New Roman" w:hAnsi="Times New Roman"/>
          <w:b/>
        </w:rPr>
      </w:pPr>
      <w:r w:rsidRPr="007862DC">
        <w:rPr>
          <w:rFonts w:ascii="Times New Roman" w:hAnsi="Times New Roman"/>
          <w:b/>
        </w:rPr>
        <w:t>K bodu 2 - § 6 ods. 2 písm. a)</w:t>
      </w:r>
    </w:p>
    <w:p w:rsidR="00CA1300" w:rsidRPr="007862DC" w:rsidP="00CA1300">
      <w:pPr>
        <w:bidi w:val="0"/>
        <w:jc w:val="both"/>
        <w:rPr>
          <w:rFonts w:ascii="Times New Roman" w:hAnsi="Times New Roman"/>
        </w:rPr>
      </w:pPr>
      <w:r w:rsidRPr="007862DC">
        <w:rPr>
          <w:rFonts w:ascii="Times New Roman" w:hAnsi="Times New Roman"/>
        </w:rPr>
        <w:t xml:space="preserve">Na základe požiadavky Ministerstva kultúry SR sa pre autorov príspevkov do novín, časopisov, rozhlasu a televízie upravuje možnosť rozhodnúť sa na základe písomnej dohody s platiteľom dane </w:t>
      </w:r>
    </w:p>
    <w:p w:rsidR="00CA1300" w:rsidRPr="007862DC" w:rsidP="00CA1300">
      <w:pPr>
        <w:numPr>
          <w:numId w:val="16"/>
        </w:numPr>
        <w:bidi w:val="0"/>
        <w:ind w:left="284" w:hanging="284"/>
        <w:jc w:val="both"/>
        <w:rPr>
          <w:rFonts w:ascii="Times New Roman" w:hAnsi="Times New Roman"/>
        </w:rPr>
      </w:pPr>
      <w:r w:rsidRPr="007862DC">
        <w:rPr>
          <w:rFonts w:ascii="Times New Roman" w:hAnsi="Times New Roman"/>
        </w:rPr>
        <w:t>či chce z príspevku zraziť daň po odpočítaní odvodu do literárneho fondu, pričom v tomto prípade, bude jeho daňová povinnosť vysporiadaná alebo</w:t>
      </w:r>
    </w:p>
    <w:p w:rsidR="00CA1300" w:rsidRPr="007862DC" w:rsidP="00CA1300">
      <w:pPr>
        <w:numPr>
          <w:numId w:val="16"/>
        </w:numPr>
        <w:bidi w:val="0"/>
        <w:ind w:left="284" w:hanging="284"/>
        <w:jc w:val="both"/>
        <w:rPr>
          <w:rFonts w:ascii="Times New Roman" w:hAnsi="Times New Roman"/>
        </w:rPr>
      </w:pPr>
      <w:r w:rsidRPr="007862DC">
        <w:rPr>
          <w:rFonts w:ascii="Times New Roman" w:hAnsi="Times New Roman"/>
        </w:rPr>
        <w:t>mu platiteľ dane, daň nezrazí a on si aj príjmy za tieto príspevky zahrnie medzi príjmy podľa § 6 ods. 2 písm. a) a vysporiada ich sám v daňovom priznaní po skončení zdaňovacieho obdobia. O tejto skutočnosti však musí autor s platiteľom dane uzavrieť písomnú dohodu dopredu, t.j. pred vyplatením príjmu a nie až po skončení zdaňovacieho obdobia. V takomto prípade bude už daňovník platiť aj sociálne a zdravotné odvody.</w:t>
      </w:r>
    </w:p>
    <w:p w:rsidR="00CA1300" w:rsidRPr="007862DC" w:rsidP="00CA1300">
      <w:pPr>
        <w:bidi w:val="0"/>
        <w:jc w:val="both"/>
        <w:rPr>
          <w:rFonts w:ascii="Times New Roman" w:hAnsi="Times New Roman"/>
        </w:rPr>
      </w:pPr>
      <w:r w:rsidRPr="007862DC">
        <w:rPr>
          <w:rFonts w:ascii="Times New Roman" w:hAnsi="Times New Roman"/>
        </w:rPr>
        <w:t>Uvedené sa však týka len tých príspevkov autorov, ktoré sú vyplácané na základe zmluvy o vytvorení diela. Rovnako sa postupuje aj v prípade, ak by bola uzavretá zmluva o vytvorení diela spolu s licenčnou zmluvou, pričom by bola stanovená len jedna suma ako odmena aj za vytvorenie diela aj za následné jeho použitie, t.j. takýto príjem sa považuje za príjem podľa § 6 ods. 2 písm. a) zákona (postup uplatňovaný aj do 31.12.2012).</w:t>
      </w:r>
    </w:p>
    <w:p w:rsidR="00CA1300" w:rsidRPr="007862DC" w:rsidP="00CA1300">
      <w:pPr>
        <w:bidi w:val="0"/>
        <w:rPr>
          <w:rFonts w:ascii="Times New Roman" w:hAnsi="Times New Roman"/>
          <w:b/>
        </w:rPr>
      </w:pPr>
    </w:p>
    <w:p w:rsidR="00CA1300" w:rsidRPr="007862DC" w:rsidP="00CA1300">
      <w:pPr>
        <w:bidi w:val="0"/>
        <w:jc w:val="both"/>
        <w:rPr>
          <w:rFonts w:ascii="Times New Roman" w:hAnsi="Times New Roman"/>
        </w:rPr>
      </w:pPr>
      <w:r w:rsidRPr="007862DC">
        <w:rPr>
          <w:rFonts w:ascii="Times New Roman" w:hAnsi="Times New Roman"/>
        </w:rPr>
        <w:t>Zároveň sa ustanovenie dopĺňa  o príjmy, kedy autori, novinári, umelci vytvárajú diela z vlastného podnetu a na vlastné náklady, ktoré následne rozširujú mimo distribučnej siete v prípade autorských diel (sami si vydajú literárne dielo, ktoré následne predávajú) alebo predávajú nimi vytvorené diela ako napr. sochy, obrazy a iné umelecké diela. Ide o prípady, kedy diela spadajúce pod ustanovenia autorského zákona nie sú vytvárané na základe objednávky od objednávateľa, pričom nie sú uzavreté ani zmluvy o vykonaní diela ani licenčné zmluvy ale sám autor, umelec si z vlastného rozhodnutia vytvorí dielo, ktoré ďalej predáva. Uvedená úprava bola v zákone o dani z príjmov aj do 31.12.2011.</w:t>
      </w:r>
    </w:p>
    <w:p w:rsidR="00CA1300" w:rsidRPr="00972277" w:rsidP="00CA1300">
      <w:pPr>
        <w:bidi w:val="0"/>
        <w:rPr>
          <w:rFonts w:ascii="Times New Roman" w:hAnsi="Times New Roman"/>
          <w:b/>
          <w:color w:val="0070C0"/>
        </w:rPr>
      </w:pPr>
    </w:p>
    <w:p w:rsidR="00CA1300" w:rsidRPr="00E60ED5" w:rsidP="00CA1300">
      <w:pPr>
        <w:bidi w:val="0"/>
        <w:rPr>
          <w:rFonts w:ascii="Times New Roman" w:hAnsi="Times New Roman"/>
          <w:b/>
        </w:rPr>
      </w:pPr>
      <w:r w:rsidRPr="00E60ED5">
        <w:rPr>
          <w:rFonts w:ascii="Times New Roman" w:hAnsi="Times New Roman"/>
          <w:b/>
        </w:rPr>
        <w:t xml:space="preserve">K bodu </w:t>
      </w:r>
      <w:r>
        <w:rPr>
          <w:rFonts w:ascii="Times New Roman" w:hAnsi="Times New Roman"/>
          <w:b/>
        </w:rPr>
        <w:t>3</w:t>
      </w:r>
      <w:r w:rsidRPr="00E60ED5">
        <w:rPr>
          <w:rFonts w:ascii="Times New Roman" w:hAnsi="Times New Roman"/>
          <w:b/>
        </w:rPr>
        <w:t xml:space="preserve">  - § 6 ods. 10</w:t>
      </w:r>
    </w:p>
    <w:p w:rsidR="00CA1300" w:rsidRPr="00E60ED5" w:rsidP="00CA1300">
      <w:pPr>
        <w:bidi w:val="0"/>
        <w:jc w:val="both"/>
        <w:rPr>
          <w:rStyle w:val="PlaceholderText"/>
          <w:color w:val="000000"/>
        </w:rPr>
      </w:pPr>
      <w:r w:rsidRPr="00E60ED5">
        <w:rPr>
          <w:rStyle w:val="PlaceholderText"/>
          <w:color w:val="000000"/>
        </w:rPr>
        <w:t xml:space="preserve">V navrhovanom ustanovení sa ponecháva možnosť uplatnenia 40 % paušálnych výdavkov daňovníkom, ktorí nie sú platiteľmi DPH alebo sú platiteľmi DPH len časť zdaňovacieho obdobia, z úhrnu príjmov z podnikania, z inej samostatnej zárobkovej činnosti </w:t>
      </w:r>
      <w:r w:rsidRPr="00E60ED5">
        <w:rPr>
          <w:rFonts w:ascii="Times New Roman" w:hAnsi="Times New Roman"/>
          <w:color w:val="000000"/>
        </w:rPr>
        <w:t>alebo z použitia diela a použitia umeleckého výkonu</w:t>
      </w:r>
      <w:r w:rsidRPr="00E60ED5">
        <w:rPr>
          <w:rStyle w:val="PlaceholderText"/>
          <w:color w:val="000000"/>
        </w:rPr>
        <w:t>, avšak tieto môžu byť uplatnené v maximálnej výške 5 040 eur ročne</w:t>
      </w:r>
      <w:r w:rsidRPr="00E60ED5">
        <w:rPr>
          <w:rStyle w:val="PlaceholderText"/>
        </w:rPr>
        <w:t>.</w:t>
      </w:r>
      <w:r w:rsidRPr="00E60ED5">
        <w:rPr>
          <w:rStyle w:val="PlaceholderText"/>
          <w:color w:val="000000"/>
        </w:rPr>
        <w:t xml:space="preserve"> V prípade, ak daňovník získa povolenie alebo oprávnenie na vykonávanie podnikania, alebo začne vykonávať inú samostatnú zárobkovú činnosť </w:t>
      </w:r>
      <w:r w:rsidRPr="00E60ED5">
        <w:rPr>
          <w:rFonts w:ascii="Times New Roman" w:hAnsi="Times New Roman"/>
          <w:color w:val="000000"/>
        </w:rPr>
        <w:t xml:space="preserve">alebo poberať príjmy z použitia diela a použitia umeleckého výkonu </w:t>
      </w:r>
      <w:r w:rsidRPr="00E60ED5">
        <w:rPr>
          <w:rStyle w:val="PlaceholderText"/>
          <w:color w:val="000000"/>
        </w:rPr>
        <w:t xml:space="preserve">počas zdaňovacieho obdobia, môže si uplatniť len pomernú časť uvedených výdavkov v maximálnej mesačnej čiastke 420 eur zodpovedajúcej počtu mesiacov zdaňovacieho obdobia, v ktorých vykonával uvedené činnosti alebo poberal príjmy. Túto pomernú časť si môže začať uplatňovať už v mesiaci, v ktorom získal povolenie na výkon podnikania alebo začal vykonávať inú samostatnú zárobkovú činnosť alebo začal </w:t>
      </w:r>
      <w:r w:rsidRPr="00E60ED5">
        <w:rPr>
          <w:rFonts w:ascii="Times New Roman" w:hAnsi="Times New Roman"/>
          <w:color w:val="000000"/>
        </w:rPr>
        <w:t>poberať príjmy z použitia diela a použitia umeleckého výkonu</w:t>
      </w:r>
      <w:r w:rsidRPr="00E60ED5">
        <w:rPr>
          <w:rStyle w:val="PlaceholderText"/>
          <w:color w:val="000000"/>
        </w:rPr>
        <w:t xml:space="preserve">. Rovnako sa postupuje aj pri skončení týchto činností. </w:t>
      </w:r>
      <w:r>
        <w:rPr>
          <w:rStyle w:val="PlaceholderText"/>
          <w:color w:val="000000"/>
        </w:rPr>
        <w:t xml:space="preserve">Uplatnenie pomernej mesačnej časti vo výške 420 eur sa vzťahuje samostatne na začatie vykonávania činnosti, z ktorej daňovník dosahuje príjmy z podnikania a z inej samostatnej zárobkovej činnosti a samostatne k činnosti, z ktorej dosahuje príjmy z použitia diela a použitia umeleckého výkonu. </w:t>
      </w:r>
    </w:p>
    <w:p w:rsidR="00CA1300" w:rsidRPr="00E60ED5" w:rsidP="00CA1300">
      <w:pPr>
        <w:bidi w:val="0"/>
        <w:jc w:val="both"/>
        <w:rPr>
          <w:rStyle w:val="PlaceholderText"/>
          <w:color w:val="000000"/>
        </w:rPr>
      </w:pPr>
      <w:r w:rsidRPr="00E60ED5">
        <w:rPr>
          <w:rStyle w:val="PlaceholderText"/>
          <w:color w:val="000000"/>
        </w:rPr>
        <w:t>Zároveň sa vypúšťa možnosť uplatnenia paušálnych výdavkov u daňovníkov, ktorí dosahujú príjmy z prenájmu, pričom títo si budú môcť naďalej uplatňovať preukázateľné výdavky</w:t>
      </w:r>
      <w:r>
        <w:rPr>
          <w:rStyle w:val="PlaceholderText"/>
          <w:color w:val="000000"/>
        </w:rPr>
        <w:t>,</w:t>
      </w:r>
      <w:r w:rsidRPr="00E60ED5">
        <w:rPr>
          <w:rStyle w:val="PlaceholderText"/>
          <w:color w:val="000000"/>
        </w:rPr>
        <w:t xml:space="preserve"> či už na základe vedeného účtovníctva alebo preukázateľnej evidencie podľa § 6 ods. 11 zákona o dani z príjmov.</w:t>
      </w:r>
    </w:p>
    <w:p w:rsidR="00CA1300" w:rsidP="00CA1300">
      <w:pPr>
        <w:bidi w:val="0"/>
        <w:rPr>
          <w:rFonts w:ascii="Times New Roman" w:hAnsi="Times New Roman"/>
          <w:b/>
        </w:rPr>
      </w:pPr>
    </w:p>
    <w:p w:rsidR="00CA1300" w:rsidRPr="007862DC" w:rsidP="00CA1300">
      <w:pPr>
        <w:bidi w:val="0"/>
        <w:rPr>
          <w:rFonts w:ascii="Times New Roman" w:hAnsi="Times New Roman"/>
          <w:b/>
        </w:rPr>
      </w:pPr>
      <w:r w:rsidRPr="007862DC">
        <w:rPr>
          <w:rFonts w:ascii="Times New Roman" w:hAnsi="Times New Roman"/>
          <w:b/>
        </w:rPr>
        <w:t xml:space="preserve">K bodu </w:t>
      </w:r>
      <w:r w:rsidR="001C2B3B">
        <w:rPr>
          <w:rFonts w:ascii="Times New Roman" w:hAnsi="Times New Roman"/>
          <w:b/>
        </w:rPr>
        <w:t>4</w:t>
      </w:r>
      <w:r w:rsidRPr="007862DC">
        <w:rPr>
          <w:rFonts w:ascii="Times New Roman" w:hAnsi="Times New Roman"/>
          <w:b/>
        </w:rPr>
        <w:t xml:space="preserve"> - § 9 ods. 2 písm. a)</w:t>
      </w:r>
    </w:p>
    <w:p w:rsidR="00CA1300" w:rsidRPr="007862DC" w:rsidP="00CA1300">
      <w:pPr>
        <w:bidi w:val="0"/>
        <w:jc w:val="both"/>
        <w:rPr>
          <w:rFonts w:ascii="Times New Roman" w:hAnsi="Times New Roman"/>
        </w:rPr>
      </w:pPr>
      <w:r w:rsidRPr="007862DC">
        <w:rPr>
          <w:rFonts w:ascii="Times New Roman" w:hAnsi="Times New Roman"/>
        </w:rPr>
        <w:t>V súvislosti so zmenou zákona č. 43/2004 Z.z. o starobnom dôchodkovom sporení od 1.1.2013 zákonom č. 252/2012 Z.z. podľa ktorého sa odvod do 2. piliera dôchodkového sporenia znižuje z 9% na 4% a zavádza sa aj možnosť platenia dobrovoľných príspevkov, sa z dôvodu právnej istoty spresňuje aj oslobodenie vyplácaných dávok a iných plnení podľa tohto zákona. Podľa navrhovanej úpravy nebude oslobodená suma, ktorá bude vyplácaná podľa § 64a ods. 13 a § 123ae písm. b) zákona o starobnom dôchodkovom sporení v znení zákona č. 252/2012 Z.z., t.j. suma vyplatená dôchodkovou správcovskou spoločnosťou zodpovedajúca súčinu počtu dôchodkových jednotiek, ktoré boli pripísané z dobrovoľných príspevkov a aktuálnej hodnoty dôchodkovej jednotky ku dňu, ktorý predchádza dňu prevodu. Takáto suma bude dôchodkovou správcovskou spoločnosťou vyplácaná v zákonom stanovených prípadoch a to napr. ak podľa právoplatného rozhodnutia súdu bola zmluva o starobnom dôchodkovom sporení uznaná za neplatnú.</w:t>
      </w:r>
    </w:p>
    <w:p w:rsidR="00CA1300" w:rsidRPr="007862DC" w:rsidP="00CA1300">
      <w:pPr>
        <w:bidi w:val="0"/>
        <w:jc w:val="both"/>
        <w:rPr>
          <w:rFonts w:ascii="Times New Roman" w:hAnsi="Times New Roman"/>
        </w:rPr>
      </w:pPr>
      <w:r w:rsidRPr="007862DC">
        <w:rPr>
          <w:rFonts w:ascii="Times New Roman" w:hAnsi="Times New Roman"/>
        </w:rPr>
        <w:t>Vyplatená suma bude zahŕňaná medzi ostatné príjmy podľa § 8 zákona a to iné príjmy (uvádzané v daňovom priznaní), pričom túto sumu si bude môcť daňovník znížiť o zaplatené dobrovoľné príspevky na starobné dôchodkové sporenie.</w:t>
      </w:r>
    </w:p>
    <w:p w:rsidR="00CA1300" w:rsidP="00CA1300">
      <w:pPr>
        <w:bidi w:val="0"/>
        <w:jc w:val="both"/>
        <w:rPr>
          <w:rFonts w:ascii="Times New Roman" w:hAnsi="Times New Roman"/>
        </w:rPr>
      </w:pPr>
      <w:r w:rsidRPr="007862DC">
        <w:rPr>
          <w:rFonts w:ascii="Times New Roman" w:hAnsi="Times New Roman"/>
        </w:rPr>
        <w:t>V tejto súvislosti bude musieť daňovník aj upraviť základ dane o odpočítavané nezdaniteľné časti na platené dobrovoľné príspevky na starobné dôchodkové sporenie podľa navrhovaného znenia § 11 ods. 9 zákona.</w:t>
      </w:r>
    </w:p>
    <w:p w:rsidR="001C2B3B" w:rsidP="00CA1300">
      <w:pPr>
        <w:bidi w:val="0"/>
        <w:jc w:val="both"/>
        <w:rPr>
          <w:rFonts w:ascii="Times New Roman" w:hAnsi="Times New Roman"/>
        </w:rPr>
      </w:pPr>
    </w:p>
    <w:p w:rsidR="001C2B3B" w:rsidP="00CA1300">
      <w:pPr>
        <w:bidi w:val="0"/>
        <w:jc w:val="both"/>
        <w:rPr>
          <w:rFonts w:ascii="Times New Roman" w:hAnsi="Times New Roman"/>
          <w:b/>
        </w:rPr>
      </w:pPr>
      <w:r w:rsidRPr="001C2B3B">
        <w:rPr>
          <w:rFonts w:ascii="Times New Roman" w:hAnsi="Times New Roman"/>
          <w:b/>
        </w:rPr>
        <w:t>K bodu 5 - § 9 ods. 2 písm. z)</w:t>
      </w:r>
    </w:p>
    <w:p w:rsidR="001C2B3B" w:rsidRPr="00BC7B44" w:rsidP="001C2B3B">
      <w:pPr>
        <w:bidi w:val="0"/>
        <w:jc w:val="both"/>
        <w:rPr>
          <w:rFonts w:ascii="Times New Roman" w:hAnsi="Times New Roman"/>
        </w:rPr>
      </w:pPr>
      <w:r>
        <w:rPr>
          <w:rFonts w:ascii="Times New Roman" w:hAnsi="Times New Roman"/>
        </w:rPr>
        <w:t xml:space="preserve">Návrhom sa oslobodzujú </w:t>
      </w:r>
      <w:r w:rsidRPr="00BC7B44">
        <w:rPr>
          <w:rFonts w:ascii="Times New Roman" w:hAnsi="Times New Roman"/>
        </w:rPr>
        <w:t>deputátn</w:t>
      </w:r>
      <w:r>
        <w:rPr>
          <w:rFonts w:ascii="Times New Roman" w:hAnsi="Times New Roman"/>
        </w:rPr>
        <w:t>e</w:t>
      </w:r>
      <w:r w:rsidRPr="00BC7B44">
        <w:rPr>
          <w:rFonts w:ascii="Times New Roman" w:hAnsi="Times New Roman"/>
        </w:rPr>
        <w:t xml:space="preserve"> plnen</w:t>
      </w:r>
      <w:r>
        <w:rPr>
          <w:rFonts w:ascii="Times New Roman" w:hAnsi="Times New Roman"/>
        </w:rPr>
        <w:t>ia</w:t>
      </w:r>
      <w:r w:rsidRPr="00BC7B44">
        <w:rPr>
          <w:rFonts w:ascii="Times New Roman" w:hAnsi="Times New Roman"/>
        </w:rPr>
        <w:t xml:space="preserve"> poskytovan</w:t>
      </w:r>
      <w:r>
        <w:rPr>
          <w:rFonts w:ascii="Times New Roman" w:hAnsi="Times New Roman"/>
        </w:rPr>
        <w:t>é</w:t>
      </w:r>
      <w:r w:rsidRPr="00BC7B44">
        <w:rPr>
          <w:rFonts w:ascii="Times New Roman" w:hAnsi="Times New Roman"/>
        </w:rPr>
        <w:t xml:space="preserve"> baníckym dôchodcom a vdovám po baníkoch alebo baníckych dôchodcoch</w:t>
      </w:r>
      <w:r>
        <w:rPr>
          <w:rFonts w:ascii="Times New Roman" w:hAnsi="Times New Roman"/>
        </w:rPr>
        <w:t xml:space="preserve">. </w:t>
      </w:r>
      <w:r w:rsidRPr="00BC7B44">
        <w:rPr>
          <w:rFonts w:ascii="Times New Roman" w:hAnsi="Times New Roman"/>
        </w:rPr>
        <w:t xml:space="preserve">Oslobodením tohto príjmu </w:t>
      </w:r>
      <w:r>
        <w:rPr>
          <w:rFonts w:ascii="Times New Roman" w:hAnsi="Times New Roman"/>
        </w:rPr>
        <w:t xml:space="preserve">od dane z príjmov [doplnením nového písmena z) do § 9 zákona o dani z príjmov] sa deputáty </w:t>
      </w:r>
      <w:r w:rsidRPr="00BC7B44">
        <w:rPr>
          <w:rFonts w:ascii="Times New Roman" w:hAnsi="Times New Roman"/>
        </w:rPr>
        <w:t xml:space="preserve">nebudú </w:t>
      </w:r>
      <w:r>
        <w:rPr>
          <w:rFonts w:ascii="Times New Roman" w:hAnsi="Times New Roman"/>
        </w:rPr>
        <w:t xml:space="preserve">zdaňovať a ani zahrnovať </w:t>
      </w:r>
      <w:r w:rsidRPr="00BC7B44">
        <w:rPr>
          <w:rFonts w:ascii="Times New Roman" w:hAnsi="Times New Roman"/>
        </w:rPr>
        <w:t>do vymeriavacích základov na sociálne poistenie ani na zdravotné poistenie.</w:t>
      </w:r>
    </w:p>
    <w:p w:rsidR="001C2B3B" w:rsidRPr="001C2B3B" w:rsidP="00CA1300">
      <w:pPr>
        <w:bidi w:val="0"/>
        <w:jc w:val="both"/>
        <w:rPr>
          <w:rFonts w:ascii="Times New Roman" w:hAnsi="Times New Roman"/>
        </w:rPr>
      </w:pPr>
    </w:p>
    <w:p w:rsidR="00CA1300" w:rsidRPr="00E60ED5" w:rsidP="00CA1300">
      <w:pPr>
        <w:bidi w:val="0"/>
        <w:rPr>
          <w:rFonts w:ascii="Times New Roman" w:hAnsi="Times New Roman"/>
          <w:b/>
        </w:rPr>
      </w:pPr>
      <w:r>
        <w:rPr>
          <w:rFonts w:ascii="Times New Roman" w:hAnsi="Times New Roman"/>
          <w:b/>
        </w:rPr>
        <w:t xml:space="preserve">K bodu </w:t>
      </w:r>
      <w:r w:rsidR="00982354">
        <w:rPr>
          <w:rFonts w:ascii="Times New Roman" w:hAnsi="Times New Roman"/>
          <w:b/>
        </w:rPr>
        <w:t>6</w:t>
      </w:r>
      <w:r>
        <w:rPr>
          <w:rFonts w:ascii="Times New Roman" w:hAnsi="Times New Roman"/>
          <w:b/>
        </w:rPr>
        <w:t xml:space="preserve"> </w:t>
      </w:r>
      <w:r w:rsidRPr="00E60ED5">
        <w:rPr>
          <w:rFonts w:ascii="Times New Roman" w:hAnsi="Times New Roman"/>
          <w:b/>
        </w:rPr>
        <w:t>- § 11 ods. 4</w:t>
      </w:r>
    </w:p>
    <w:p w:rsidR="00CA1300" w:rsidRPr="00E60ED5" w:rsidP="00CA1300">
      <w:pPr>
        <w:bidi w:val="0"/>
        <w:jc w:val="both"/>
        <w:rPr>
          <w:rFonts w:ascii="Times New Roman" w:hAnsi="Times New Roman"/>
        </w:rPr>
      </w:pPr>
      <w:r w:rsidRPr="00E60ED5">
        <w:rPr>
          <w:rFonts w:ascii="Times New Roman" w:hAnsi="Times New Roman"/>
        </w:rPr>
        <w:t xml:space="preserve">Navrhujú sa sprísniť podmienky na uplatňovanie </w:t>
      </w:r>
      <w:r>
        <w:rPr>
          <w:rFonts w:ascii="Times New Roman" w:hAnsi="Times New Roman"/>
        </w:rPr>
        <w:t>nezdaniteľnej časti základu dane</w:t>
      </w:r>
      <w:r w:rsidRPr="00E60ED5">
        <w:rPr>
          <w:rFonts w:ascii="Times New Roman" w:hAnsi="Times New Roman"/>
        </w:rPr>
        <w:t xml:space="preserve"> na manželku/manžela. Túto nezdaniteľnú časť základu dane si bude môcť uplatniť manžel/manželka</w:t>
      </w:r>
      <w:r>
        <w:rPr>
          <w:rFonts w:ascii="Times New Roman" w:hAnsi="Times New Roman"/>
        </w:rPr>
        <w:t>,</w:t>
      </w:r>
      <w:r w:rsidRPr="00E60ED5">
        <w:rPr>
          <w:rFonts w:ascii="Times New Roman" w:hAnsi="Times New Roman"/>
        </w:rPr>
        <w:t xml:space="preserve"> ak</w:t>
      </w:r>
    </w:p>
    <w:p w:rsidR="00CA1300" w:rsidRPr="00E60ED5" w:rsidP="00CA1300">
      <w:pPr>
        <w:bidi w:val="0"/>
        <w:jc w:val="both"/>
        <w:rPr>
          <w:rFonts w:ascii="Times New Roman" w:hAnsi="Times New Roman"/>
        </w:rPr>
      </w:pPr>
      <w:r w:rsidRPr="00E60ED5">
        <w:rPr>
          <w:rFonts w:ascii="Times New Roman" w:hAnsi="Times New Roman"/>
        </w:rPr>
        <w:t xml:space="preserve">-  sa stará o dieťa do dovŕšenia 3, resp. 6 rokov života dieťaťa (dieťa, na ktoré sa poskytuje rodičovský príspevok podľa zákona  č. 571/2009 Z. z. o rodičovskom príspevku a o zmene a doplnení niektorých zákonov v znení neskorších predpisov) alebo </w:t>
      </w:r>
    </w:p>
    <w:p w:rsidR="00CA1300" w:rsidRPr="00E60ED5" w:rsidP="00CA1300">
      <w:pPr>
        <w:bidi w:val="0"/>
        <w:jc w:val="both"/>
        <w:rPr>
          <w:rFonts w:ascii="Times New Roman" w:hAnsi="Times New Roman"/>
        </w:rPr>
      </w:pPr>
      <w:r w:rsidRPr="00E60ED5">
        <w:rPr>
          <w:rFonts w:ascii="Times New Roman" w:hAnsi="Times New Roman"/>
        </w:rPr>
        <w:t xml:space="preserve"> -  poberá príspevok na opatrovanie podľa zákona č. 447/2008 Z. z. o peňažných príspevkoch na kompenzáciu ťažkého zdravotného postihnutia a o zmene a doplnení niektorých zákonov alebo </w:t>
      </w:r>
    </w:p>
    <w:p w:rsidR="00CA1300" w:rsidRPr="00E60ED5" w:rsidP="00CA1300">
      <w:pPr>
        <w:bidi w:val="0"/>
        <w:jc w:val="both"/>
        <w:rPr>
          <w:rFonts w:ascii="Times New Roman" w:hAnsi="Times New Roman"/>
        </w:rPr>
      </w:pPr>
      <w:r w:rsidRPr="00E60ED5">
        <w:rPr>
          <w:rFonts w:ascii="Times New Roman" w:hAnsi="Times New Roman"/>
        </w:rPr>
        <w:t>-   je evidovaná ako uchádzač o zamestnanie.</w:t>
      </w:r>
    </w:p>
    <w:p w:rsidR="00CA1300" w:rsidRPr="00E60ED5" w:rsidP="00CA1300">
      <w:pPr>
        <w:bidi w:val="0"/>
        <w:rPr>
          <w:rFonts w:ascii="Times New Roman" w:hAnsi="Times New Roman"/>
          <w:b/>
        </w:rPr>
      </w:pPr>
    </w:p>
    <w:p w:rsidR="00CA1300" w:rsidRPr="007862DC" w:rsidP="00CA1300">
      <w:pPr>
        <w:bidi w:val="0"/>
        <w:rPr>
          <w:rFonts w:ascii="Times New Roman" w:hAnsi="Times New Roman"/>
          <w:b/>
        </w:rPr>
      </w:pPr>
      <w:r w:rsidRPr="007862DC">
        <w:rPr>
          <w:rFonts w:ascii="Times New Roman" w:hAnsi="Times New Roman"/>
          <w:b/>
        </w:rPr>
        <w:t xml:space="preserve">K bodu </w:t>
      </w:r>
      <w:r w:rsidR="00842526">
        <w:rPr>
          <w:rFonts w:ascii="Times New Roman" w:hAnsi="Times New Roman"/>
          <w:b/>
        </w:rPr>
        <w:t>7</w:t>
      </w:r>
      <w:r w:rsidRPr="007862DC">
        <w:rPr>
          <w:rFonts w:ascii="Times New Roman" w:hAnsi="Times New Roman"/>
          <w:b/>
        </w:rPr>
        <w:t xml:space="preserve"> - § 11 ods. 8</w:t>
      </w:r>
    </w:p>
    <w:p w:rsidR="00CA1300" w:rsidP="00CA1300">
      <w:pPr>
        <w:bidi w:val="0"/>
        <w:jc w:val="both"/>
        <w:rPr>
          <w:rFonts w:ascii="Times New Roman" w:hAnsi="Times New Roman"/>
        </w:rPr>
      </w:pPr>
      <w:r>
        <w:rPr>
          <w:rFonts w:ascii="Times New Roman" w:hAnsi="Times New Roman"/>
        </w:rPr>
        <w:t>Ide o legislatívne spresnenie, za ktoré zdaňovacie obdobie sa vypočítava 60-násobok priemernej mesačnej mzdy na účely uplatnenia nezdaniteľnej časti základu dane na dobrovoľný príspevok na starobné dôchodkové sporenie.</w:t>
      </w:r>
    </w:p>
    <w:p w:rsidR="00CA1300" w:rsidRPr="007862DC" w:rsidP="00CA1300">
      <w:pPr>
        <w:bidi w:val="0"/>
        <w:rPr>
          <w:rFonts w:ascii="Times New Roman" w:hAnsi="Times New Roman"/>
          <w:b/>
        </w:rPr>
      </w:pPr>
    </w:p>
    <w:p w:rsidR="00CA1300" w:rsidRPr="007862DC" w:rsidP="00CA1300">
      <w:pPr>
        <w:bidi w:val="0"/>
        <w:rPr>
          <w:rFonts w:ascii="Times New Roman" w:hAnsi="Times New Roman"/>
          <w:b/>
        </w:rPr>
      </w:pPr>
      <w:r w:rsidRPr="007862DC">
        <w:rPr>
          <w:rFonts w:ascii="Times New Roman" w:hAnsi="Times New Roman"/>
          <w:b/>
        </w:rPr>
        <w:t xml:space="preserve">K bodu </w:t>
      </w:r>
      <w:r w:rsidR="00842526">
        <w:rPr>
          <w:rFonts w:ascii="Times New Roman" w:hAnsi="Times New Roman"/>
          <w:b/>
        </w:rPr>
        <w:t>8</w:t>
      </w:r>
      <w:r w:rsidRPr="007862DC">
        <w:rPr>
          <w:rFonts w:ascii="Times New Roman" w:hAnsi="Times New Roman"/>
          <w:b/>
        </w:rPr>
        <w:t xml:space="preserve"> - § 11 ods. 9</w:t>
      </w:r>
    </w:p>
    <w:p w:rsidR="00CA1300" w:rsidRPr="007862DC" w:rsidP="00CA1300">
      <w:pPr>
        <w:bidi w:val="0"/>
        <w:jc w:val="both"/>
        <w:rPr>
          <w:rFonts w:ascii="Times New Roman" w:hAnsi="Times New Roman"/>
        </w:rPr>
      </w:pPr>
      <w:r w:rsidRPr="007862DC">
        <w:rPr>
          <w:rFonts w:ascii="Times New Roman" w:hAnsi="Times New Roman"/>
        </w:rPr>
        <w:t>V súvislosti so zavedením možnosti daňového zvýhodnenia zaplatených dobrovoľných príspevkov na starobné dôchodkové sporenie zákonom č. 252/2012 Z.z. ako nezdaniteľnej časti základu dane daňovníka do zákonom stanovenej výšky, sa dopĺňa ustanovenie § 11 zákona, podľa ktorého daňovník musí o uplatnené dobrovoľné príspevky ako nezdaniteľnej časti zvýšiť základ dane. Uvedené sa použije, ak napr. daňovníkovi bolo vydané právoplatné súdne rozhodnutie, ktoré rozhodlo o neplatnosti zmluvy. Základ dane upraví do troch zdaňovacích období od skončenia zdaňovacieho obdobia, v ktorom mu bola vyplatená suma podľa § 64a alebo § 123ae písm. b) zákona o starobnom dôchodkovom sporení v znení zákona č. 252/2012 Z.z.</w:t>
      </w:r>
    </w:p>
    <w:p w:rsidR="00CA1300" w:rsidRPr="007862DC" w:rsidP="00CA1300">
      <w:pPr>
        <w:bidi w:val="0"/>
        <w:rPr>
          <w:rFonts w:ascii="Times New Roman" w:hAnsi="Times New Roman"/>
          <w:b/>
        </w:rPr>
      </w:pPr>
    </w:p>
    <w:p w:rsidR="00CA1300" w:rsidRPr="00E60ED5" w:rsidP="00CA1300">
      <w:pPr>
        <w:bidi w:val="0"/>
        <w:rPr>
          <w:rFonts w:ascii="Times New Roman" w:hAnsi="Times New Roman"/>
          <w:b/>
        </w:rPr>
      </w:pPr>
      <w:r w:rsidRPr="00E60ED5">
        <w:rPr>
          <w:rFonts w:ascii="Times New Roman" w:hAnsi="Times New Roman"/>
          <w:b/>
        </w:rPr>
        <w:t xml:space="preserve">K bodu </w:t>
      </w:r>
      <w:r w:rsidR="00842526">
        <w:rPr>
          <w:rFonts w:ascii="Times New Roman" w:hAnsi="Times New Roman"/>
          <w:b/>
        </w:rPr>
        <w:t>9</w:t>
      </w:r>
      <w:r w:rsidRPr="00E60ED5">
        <w:rPr>
          <w:rFonts w:ascii="Times New Roman" w:hAnsi="Times New Roman"/>
          <w:b/>
        </w:rPr>
        <w:t xml:space="preserve"> - § 15</w:t>
      </w:r>
    </w:p>
    <w:p w:rsidR="00CA1300" w:rsidRPr="00E60ED5" w:rsidP="00CA1300">
      <w:pPr>
        <w:bidi w:val="0"/>
        <w:jc w:val="both"/>
        <w:rPr>
          <w:rFonts w:ascii="Times New Roman" w:hAnsi="Times New Roman"/>
        </w:rPr>
      </w:pPr>
      <w:r w:rsidRPr="00E60ED5">
        <w:rPr>
          <w:rFonts w:ascii="Times New Roman" w:hAnsi="Times New Roman"/>
        </w:rPr>
        <w:t>Navrhuje sa progresívna sadzba dane z príjmov fyzických osôb v nadväznosti na výšku základu dane. Tiež sa navrhuje zvýšenie sadzby dane na daň z príjmov právnických osôb.</w:t>
      </w:r>
    </w:p>
    <w:p w:rsidR="00CA1300" w:rsidRPr="00E60ED5" w:rsidP="00CA1300">
      <w:pPr>
        <w:bidi w:val="0"/>
        <w:jc w:val="both"/>
        <w:rPr>
          <w:rFonts w:ascii="Times New Roman" w:hAnsi="Times New Roman"/>
        </w:rPr>
      </w:pPr>
    </w:p>
    <w:p w:rsidR="00CA1300" w:rsidRPr="00E60ED5" w:rsidP="00CA1300">
      <w:pPr>
        <w:bidi w:val="0"/>
        <w:rPr>
          <w:rFonts w:ascii="Times New Roman" w:hAnsi="Times New Roman"/>
          <w:b/>
        </w:rPr>
      </w:pPr>
      <w:r w:rsidRPr="00E60ED5">
        <w:rPr>
          <w:rFonts w:ascii="Times New Roman" w:hAnsi="Times New Roman"/>
          <w:b/>
        </w:rPr>
        <w:t xml:space="preserve">K bodu </w:t>
      </w:r>
      <w:r>
        <w:rPr>
          <w:rFonts w:ascii="Times New Roman" w:hAnsi="Times New Roman"/>
          <w:b/>
        </w:rPr>
        <w:t>1</w:t>
      </w:r>
      <w:r w:rsidR="00842526">
        <w:rPr>
          <w:rFonts w:ascii="Times New Roman" w:hAnsi="Times New Roman"/>
          <w:b/>
        </w:rPr>
        <w:t>0</w:t>
      </w:r>
      <w:r>
        <w:rPr>
          <w:rFonts w:ascii="Times New Roman" w:hAnsi="Times New Roman"/>
          <w:b/>
        </w:rPr>
        <w:t xml:space="preserve"> - </w:t>
      </w:r>
      <w:r w:rsidRPr="00E60ED5">
        <w:rPr>
          <w:rFonts w:ascii="Times New Roman" w:hAnsi="Times New Roman"/>
          <w:b/>
        </w:rPr>
        <w:t>§ 15a</w:t>
      </w:r>
    </w:p>
    <w:p w:rsidR="00CA1300" w:rsidRPr="00E60ED5" w:rsidP="00CA1300">
      <w:pPr>
        <w:pStyle w:val="ListParagraph"/>
        <w:bidi w:val="0"/>
        <w:spacing w:after="0" w:line="240" w:lineRule="auto"/>
        <w:ind w:left="0"/>
        <w:jc w:val="both"/>
        <w:rPr>
          <w:rFonts w:ascii="Times New Roman" w:hAnsi="Times New Roman"/>
          <w:b/>
          <w:sz w:val="24"/>
          <w:szCs w:val="24"/>
        </w:rPr>
      </w:pPr>
      <w:r w:rsidRPr="00E60ED5">
        <w:rPr>
          <w:rFonts w:ascii="Times New Roman" w:hAnsi="Times New Roman"/>
          <w:sz w:val="24"/>
          <w:szCs w:val="24"/>
        </w:rPr>
        <w:t>V rámci konsolidácie verejných financií sa navrhuje zaviesť osobitnú sadzbu dane z príjmov zo závislej činnosti vybraných ústavných činiteľov plynúcich týmto daňovníkom podľa zákona č. 120/1993 Z. z. o platových pomeroch ústavných činiteľov v znení neskorších predpisov (poslanci, prezident, členovia vlády, predseda a podpredseda NKÚ). Takto stanovená osobitná daň, vypočítaná sadzbou vo výške 5 %, nebude znižovať pri výpočte zdaniteľnej mzdy úhrn zdaniteľných príjmov týchto daňovníkov</w:t>
      </w:r>
      <w:r>
        <w:rPr>
          <w:rFonts w:ascii="Times New Roman" w:hAnsi="Times New Roman"/>
          <w:sz w:val="24"/>
          <w:szCs w:val="24"/>
        </w:rPr>
        <w:t xml:space="preserve"> </w:t>
      </w:r>
      <w:r w:rsidRPr="00CA6390">
        <w:rPr>
          <w:rFonts w:ascii="Times New Roman" w:hAnsi="Times New Roman"/>
          <w:sz w:val="24"/>
          <w:szCs w:val="24"/>
        </w:rPr>
        <w:t>a progresívne zdaňovanie u tejto skupiny daňovníkov zostane zachované</w:t>
      </w:r>
      <w:r w:rsidRPr="00E60ED5">
        <w:rPr>
          <w:rFonts w:ascii="Times New Roman" w:hAnsi="Times New Roman"/>
          <w:sz w:val="24"/>
          <w:szCs w:val="24"/>
        </w:rPr>
        <w:t>. Za správny výpočet, zrazenie a odvedenie tejto dane zodpovedá zamestnávateľ, ktorý je platiteľom dane, ktorý ju bude odvádzať správcovi dane v rovnakom termíne ako preddavky na daň z príjmov zo závislej činnosti. Vykonaním zrážky a odvodu bude osobitná daň vysporiadaná.</w:t>
      </w:r>
    </w:p>
    <w:p w:rsidR="00CA1300" w:rsidRPr="00E60ED5" w:rsidP="00CA1300">
      <w:pPr>
        <w:bidi w:val="0"/>
        <w:rPr>
          <w:rFonts w:ascii="Times New Roman" w:hAnsi="Times New Roman"/>
          <w:b/>
        </w:rPr>
      </w:pPr>
    </w:p>
    <w:p w:rsidR="00CA1300" w:rsidRPr="007862DC" w:rsidP="00CA1300">
      <w:pPr>
        <w:bidi w:val="0"/>
        <w:rPr>
          <w:rFonts w:ascii="Times New Roman" w:hAnsi="Times New Roman"/>
          <w:b/>
        </w:rPr>
      </w:pPr>
      <w:r w:rsidRPr="007862DC">
        <w:rPr>
          <w:rFonts w:ascii="Times New Roman" w:hAnsi="Times New Roman"/>
          <w:b/>
        </w:rPr>
        <w:t>K bodu 1</w:t>
      </w:r>
      <w:r w:rsidR="00842526">
        <w:rPr>
          <w:rFonts w:ascii="Times New Roman" w:hAnsi="Times New Roman"/>
          <w:b/>
        </w:rPr>
        <w:t>1</w:t>
      </w:r>
      <w:r w:rsidRPr="007862DC">
        <w:rPr>
          <w:rFonts w:ascii="Times New Roman" w:hAnsi="Times New Roman"/>
          <w:b/>
        </w:rPr>
        <w:t xml:space="preserve"> a </w:t>
      </w:r>
      <w:r w:rsidR="00842526">
        <w:rPr>
          <w:rFonts w:ascii="Times New Roman" w:hAnsi="Times New Roman"/>
          <w:b/>
        </w:rPr>
        <w:t>1</w:t>
      </w:r>
      <w:r w:rsidR="00E20681">
        <w:rPr>
          <w:rFonts w:ascii="Times New Roman" w:hAnsi="Times New Roman"/>
          <w:b/>
        </w:rPr>
        <w:t>5</w:t>
      </w:r>
      <w:r w:rsidRPr="007862DC">
        <w:rPr>
          <w:rFonts w:ascii="Times New Roman" w:hAnsi="Times New Roman"/>
          <w:b/>
        </w:rPr>
        <w:t xml:space="preserve"> - § 32 od</w:t>
      </w:r>
      <w:r>
        <w:rPr>
          <w:rFonts w:ascii="Times New Roman" w:hAnsi="Times New Roman"/>
          <w:b/>
        </w:rPr>
        <w:t>s. 2 písm. d) a ods. 3 písm. b) a</w:t>
      </w:r>
      <w:r w:rsidRPr="007862DC">
        <w:rPr>
          <w:rFonts w:ascii="Times New Roman" w:hAnsi="Times New Roman"/>
          <w:b/>
        </w:rPr>
        <w:t xml:space="preserve"> § 38 ods. 1</w:t>
      </w:r>
    </w:p>
    <w:p w:rsidR="00CA1300" w:rsidRPr="007862DC" w:rsidP="00CA1300">
      <w:pPr>
        <w:bidi w:val="0"/>
        <w:jc w:val="both"/>
        <w:rPr>
          <w:rFonts w:ascii="Times New Roman" w:hAnsi="Times New Roman"/>
        </w:rPr>
      </w:pPr>
      <w:r w:rsidRPr="007862DC">
        <w:rPr>
          <w:rFonts w:ascii="Times New Roman" w:hAnsi="Times New Roman"/>
        </w:rPr>
        <w:t>Ide o legislatívno-technickú úpravu v súvislosti s úpravou v ustanovení § 11 ods. 9.</w:t>
      </w:r>
    </w:p>
    <w:p w:rsidR="00CA1300" w:rsidP="00CA1300">
      <w:pPr>
        <w:bidi w:val="0"/>
        <w:rPr>
          <w:rFonts w:ascii="Times New Roman" w:hAnsi="Times New Roman"/>
          <w:b/>
        </w:rPr>
      </w:pPr>
    </w:p>
    <w:p w:rsidR="00CA1300" w:rsidRPr="00E60ED5" w:rsidP="00CA1300">
      <w:pPr>
        <w:bidi w:val="0"/>
        <w:rPr>
          <w:rFonts w:ascii="Times New Roman" w:hAnsi="Times New Roman"/>
          <w:b/>
        </w:rPr>
      </w:pPr>
      <w:r w:rsidRPr="00E60ED5">
        <w:rPr>
          <w:rFonts w:ascii="Times New Roman" w:hAnsi="Times New Roman"/>
          <w:b/>
        </w:rPr>
        <w:t>K bodu 1</w:t>
      </w:r>
      <w:r w:rsidR="00497C87">
        <w:rPr>
          <w:rFonts w:ascii="Times New Roman" w:hAnsi="Times New Roman"/>
          <w:b/>
        </w:rPr>
        <w:t>2</w:t>
      </w:r>
      <w:r w:rsidRPr="00E60ED5">
        <w:rPr>
          <w:rFonts w:ascii="Times New Roman" w:hAnsi="Times New Roman"/>
          <w:b/>
        </w:rPr>
        <w:t xml:space="preserve"> - § 33 ods. 1, 8 a 9</w:t>
      </w:r>
    </w:p>
    <w:p w:rsidR="00CA1300" w:rsidRPr="00E60ED5" w:rsidP="00CA1300">
      <w:pPr>
        <w:bidi w:val="0"/>
        <w:jc w:val="both"/>
        <w:rPr>
          <w:rFonts w:ascii="Times New Roman" w:hAnsi="Times New Roman"/>
        </w:rPr>
      </w:pPr>
      <w:r w:rsidRPr="00E60ED5">
        <w:rPr>
          <w:rFonts w:ascii="Times New Roman" w:hAnsi="Times New Roman"/>
        </w:rPr>
        <w:t>S účinnosťou od 1.</w:t>
      </w:r>
      <w:r>
        <w:rPr>
          <w:rFonts w:ascii="Times New Roman" w:hAnsi="Times New Roman"/>
        </w:rPr>
        <w:t xml:space="preserve"> </w:t>
      </w:r>
      <w:r w:rsidRPr="00E60ED5">
        <w:rPr>
          <w:rFonts w:ascii="Times New Roman" w:hAnsi="Times New Roman"/>
        </w:rPr>
        <w:t>1.</w:t>
      </w:r>
      <w:r>
        <w:rPr>
          <w:rFonts w:ascii="Times New Roman" w:hAnsi="Times New Roman"/>
        </w:rPr>
        <w:t xml:space="preserve"> </w:t>
      </w:r>
      <w:r w:rsidRPr="00E60ED5">
        <w:rPr>
          <w:rFonts w:ascii="Times New Roman" w:hAnsi="Times New Roman"/>
        </w:rPr>
        <w:t xml:space="preserve">2013 sa </w:t>
      </w:r>
      <w:r>
        <w:rPr>
          <w:rFonts w:ascii="Times New Roman" w:hAnsi="Times New Roman"/>
        </w:rPr>
        <w:t>navrhuje</w:t>
      </w:r>
      <w:r w:rsidRPr="00E60ED5">
        <w:rPr>
          <w:rFonts w:ascii="Times New Roman" w:hAnsi="Times New Roman"/>
        </w:rPr>
        <w:t xml:space="preserve"> priznávať daňový bonus v prípade, ak daňovník dosiahne zákonom ustanovenú minimálnu výšku len z tzv. „aktívnych príjmov“, t.j. príjmov zo závislej činnosti podľa § 5 zákona o dani z príjmov a z príjmov z podnikania a  inej samostatnej zárobkovej činnosti podľa § 6 ods. 1 a 2 zákona o dani z príjmov. Ak tento daňovník dosiahne v zdaňovacom období len iné zdaniteľné príjmy (tzv. „pasívne príjmy“) uvedené v § 6 ods. 3 a 4 až 8 zákona o dani z príjmov, tomuto daňovníkovi sa daňový bonus neprizná.</w:t>
      </w:r>
    </w:p>
    <w:p w:rsidR="00CA1300" w:rsidP="00CA1300">
      <w:pPr>
        <w:bidi w:val="0"/>
        <w:rPr>
          <w:rFonts w:ascii="Times New Roman" w:hAnsi="Times New Roman"/>
          <w:b/>
        </w:rPr>
      </w:pPr>
    </w:p>
    <w:p w:rsidR="00CA1300" w:rsidRPr="00E60ED5" w:rsidP="00CA1300">
      <w:pPr>
        <w:bidi w:val="0"/>
        <w:rPr>
          <w:rFonts w:ascii="Times New Roman" w:hAnsi="Times New Roman"/>
          <w:b/>
        </w:rPr>
      </w:pPr>
      <w:r w:rsidRPr="00E60ED5">
        <w:rPr>
          <w:rFonts w:ascii="Times New Roman" w:hAnsi="Times New Roman"/>
          <w:b/>
        </w:rPr>
        <w:t>K bodu 1</w:t>
      </w:r>
      <w:r w:rsidR="00E20681">
        <w:rPr>
          <w:rFonts w:ascii="Times New Roman" w:hAnsi="Times New Roman"/>
          <w:b/>
        </w:rPr>
        <w:t>3</w:t>
      </w:r>
      <w:r w:rsidRPr="00E60ED5">
        <w:rPr>
          <w:rFonts w:ascii="Times New Roman" w:hAnsi="Times New Roman"/>
          <w:b/>
        </w:rPr>
        <w:t xml:space="preserve">  - § 35 ods. 2</w:t>
      </w:r>
    </w:p>
    <w:p w:rsidR="00CA1300" w:rsidRPr="00E60ED5" w:rsidP="00CA1300">
      <w:pPr>
        <w:bidi w:val="0"/>
        <w:jc w:val="both"/>
        <w:rPr>
          <w:rFonts w:ascii="Times New Roman" w:hAnsi="Times New Roman"/>
        </w:rPr>
      </w:pPr>
      <w:r w:rsidRPr="00E60ED5">
        <w:rPr>
          <w:rFonts w:ascii="Times New Roman" w:hAnsi="Times New Roman"/>
        </w:rPr>
        <w:t>Vzhľadom na to, že sa podľa § 15 zákona o dani z príjmov navrhuje vyššia sadzba dane pri dosiahnutí základu dane presahujúceho 17</w:t>
      </w:r>
      <w:r>
        <w:rPr>
          <w:rFonts w:ascii="Times New Roman" w:hAnsi="Times New Roman"/>
        </w:rPr>
        <w:t>6</w:t>
      </w:r>
      <w:r w:rsidRPr="00E60ED5">
        <w:rPr>
          <w:rFonts w:ascii="Times New Roman" w:hAnsi="Times New Roman"/>
        </w:rPr>
        <w:t>,</w:t>
      </w:r>
      <w:r>
        <w:rPr>
          <w:rFonts w:ascii="Times New Roman" w:hAnsi="Times New Roman"/>
        </w:rPr>
        <w:t>8</w:t>
      </w:r>
      <w:r w:rsidRPr="00E60ED5">
        <w:rPr>
          <w:rFonts w:ascii="Times New Roman" w:hAnsi="Times New Roman"/>
        </w:rPr>
        <w:t xml:space="preserve"> násobok platného životného minima, táto sa použije aj pri výpočte mesačných preddavkov na daň z príjmov zo závislej činnosti.</w:t>
      </w:r>
    </w:p>
    <w:p w:rsidR="00CA1300" w:rsidRPr="00E60ED5" w:rsidP="00CA1300">
      <w:pPr>
        <w:bidi w:val="0"/>
        <w:rPr>
          <w:rFonts w:ascii="Times New Roman" w:hAnsi="Times New Roman"/>
          <w:b/>
        </w:rPr>
      </w:pPr>
    </w:p>
    <w:p w:rsidR="00CA1300" w:rsidRPr="007862DC" w:rsidP="00CA1300">
      <w:pPr>
        <w:bidi w:val="0"/>
        <w:rPr>
          <w:rFonts w:ascii="Times New Roman" w:hAnsi="Times New Roman"/>
          <w:b/>
        </w:rPr>
      </w:pPr>
      <w:r w:rsidRPr="007862DC">
        <w:rPr>
          <w:rFonts w:ascii="Times New Roman" w:hAnsi="Times New Roman"/>
          <w:b/>
        </w:rPr>
        <w:t xml:space="preserve">K bodu </w:t>
      </w:r>
      <w:r>
        <w:rPr>
          <w:rFonts w:ascii="Times New Roman" w:hAnsi="Times New Roman"/>
          <w:b/>
        </w:rPr>
        <w:t>1</w:t>
      </w:r>
      <w:r w:rsidR="00E20681">
        <w:rPr>
          <w:rFonts w:ascii="Times New Roman" w:hAnsi="Times New Roman"/>
          <w:b/>
        </w:rPr>
        <w:t>4</w:t>
      </w:r>
      <w:r w:rsidRPr="007862DC">
        <w:rPr>
          <w:rFonts w:ascii="Times New Roman" w:hAnsi="Times New Roman"/>
          <w:b/>
        </w:rPr>
        <w:t xml:space="preserve"> - § 37 ods. 5</w:t>
      </w:r>
    </w:p>
    <w:p w:rsidR="00CA1300" w:rsidP="00CA1300">
      <w:pPr>
        <w:bidi w:val="0"/>
        <w:jc w:val="both"/>
        <w:rPr>
          <w:rFonts w:ascii="Times New Roman" w:hAnsi="Times New Roman"/>
        </w:rPr>
      </w:pPr>
      <w:r>
        <w:rPr>
          <w:rFonts w:ascii="Times New Roman" w:hAnsi="Times New Roman"/>
        </w:rPr>
        <w:t>Ustanovenie je navrhované z dôvodu splnenia zásad ochrany osobných údajov v nadväznosti na dokladanie a preukazovanie nárokov napr. na daňový bonus, nezdaniteľnú časť základu dane na manželku/manžela ako aj na účely daňovej kontroly.</w:t>
      </w:r>
    </w:p>
    <w:p w:rsidR="00CA1300" w:rsidP="00CA1300">
      <w:pPr>
        <w:bidi w:val="0"/>
        <w:rPr>
          <w:rFonts w:ascii="Times New Roman" w:hAnsi="Times New Roman"/>
          <w:b/>
        </w:rPr>
      </w:pPr>
    </w:p>
    <w:p w:rsidR="00CA1300" w:rsidRPr="00E60ED5" w:rsidP="00CA1300">
      <w:pPr>
        <w:bidi w:val="0"/>
        <w:rPr>
          <w:rFonts w:ascii="Times New Roman" w:hAnsi="Times New Roman"/>
          <w:b/>
        </w:rPr>
      </w:pPr>
      <w:r w:rsidRPr="00E60ED5">
        <w:rPr>
          <w:rFonts w:ascii="Times New Roman" w:hAnsi="Times New Roman"/>
          <w:b/>
        </w:rPr>
        <w:t xml:space="preserve">K bodu </w:t>
      </w:r>
      <w:r w:rsidR="00497C87">
        <w:rPr>
          <w:rFonts w:ascii="Times New Roman" w:hAnsi="Times New Roman"/>
          <w:b/>
        </w:rPr>
        <w:t>1</w:t>
      </w:r>
      <w:r w:rsidR="00E20681">
        <w:rPr>
          <w:rFonts w:ascii="Times New Roman" w:hAnsi="Times New Roman"/>
          <w:b/>
        </w:rPr>
        <w:t>6</w:t>
      </w:r>
      <w:r w:rsidRPr="00E60ED5">
        <w:rPr>
          <w:rFonts w:ascii="Times New Roman" w:hAnsi="Times New Roman"/>
          <w:b/>
        </w:rPr>
        <w:t xml:space="preserve"> - § 43 ods. 1</w:t>
      </w:r>
    </w:p>
    <w:p w:rsidR="00CA1300" w:rsidRPr="00E60ED5" w:rsidP="00CA1300">
      <w:pPr>
        <w:bidi w:val="0"/>
        <w:jc w:val="both"/>
        <w:rPr>
          <w:rFonts w:ascii="Times New Roman" w:hAnsi="Times New Roman"/>
        </w:rPr>
      </w:pPr>
      <w:r w:rsidRPr="00E60ED5">
        <w:rPr>
          <w:rFonts w:ascii="Times New Roman" w:hAnsi="Times New Roman"/>
        </w:rPr>
        <w:t>S účinnosťou od 1.</w:t>
      </w:r>
      <w:r>
        <w:rPr>
          <w:rFonts w:ascii="Times New Roman" w:hAnsi="Times New Roman"/>
        </w:rPr>
        <w:t xml:space="preserve"> </w:t>
      </w:r>
      <w:r w:rsidRPr="00E60ED5">
        <w:rPr>
          <w:rFonts w:ascii="Times New Roman" w:hAnsi="Times New Roman"/>
        </w:rPr>
        <w:t>1.</w:t>
      </w:r>
      <w:r>
        <w:rPr>
          <w:rFonts w:ascii="Times New Roman" w:hAnsi="Times New Roman"/>
        </w:rPr>
        <w:t xml:space="preserve"> </w:t>
      </w:r>
      <w:r w:rsidRPr="00E60ED5">
        <w:rPr>
          <w:rFonts w:ascii="Times New Roman" w:hAnsi="Times New Roman"/>
        </w:rPr>
        <w:t>2013 je sadzba dane pre daň vyberanú zrážkou vo výške 19</w:t>
      </w:r>
      <w:r>
        <w:rPr>
          <w:rFonts w:ascii="Times New Roman" w:hAnsi="Times New Roman"/>
        </w:rPr>
        <w:t xml:space="preserve"> </w:t>
      </w:r>
      <w:r w:rsidRPr="00E60ED5">
        <w:rPr>
          <w:rFonts w:ascii="Times New Roman" w:hAnsi="Times New Roman"/>
        </w:rPr>
        <w:t>%.</w:t>
      </w:r>
    </w:p>
    <w:p w:rsidR="00CA1300" w:rsidP="00CA1300">
      <w:pPr>
        <w:bidi w:val="0"/>
        <w:rPr>
          <w:rFonts w:ascii="Times New Roman" w:hAnsi="Times New Roman"/>
          <w:b/>
        </w:rPr>
      </w:pPr>
    </w:p>
    <w:p w:rsidR="00CA1300" w:rsidRPr="007862DC" w:rsidP="00CA1300">
      <w:pPr>
        <w:bidi w:val="0"/>
        <w:rPr>
          <w:rFonts w:ascii="Times New Roman" w:hAnsi="Times New Roman"/>
          <w:b/>
        </w:rPr>
      </w:pPr>
      <w:r>
        <w:rPr>
          <w:rFonts w:ascii="Times New Roman" w:hAnsi="Times New Roman"/>
          <w:b/>
        </w:rPr>
        <w:t xml:space="preserve">K bodu </w:t>
      </w:r>
      <w:r w:rsidR="00497C87">
        <w:rPr>
          <w:rFonts w:ascii="Times New Roman" w:hAnsi="Times New Roman"/>
          <w:b/>
        </w:rPr>
        <w:t>1</w:t>
      </w:r>
      <w:r w:rsidR="00E20681">
        <w:rPr>
          <w:rFonts w:ascii="Times New Roman" w:hAnsi="Times New Roman"/>
          <w:b/>
        </w:rPr>
        <w:t>7</w:t>
      </w:r>
      <w:r w:rsidRPr="007862DC">
        <w:rPr>
          <w:rFonts w:ascii="Times New Roman" w:hAnsi="Times New Roman"/>
          <w:b/>
        </w:rPr>
        <w:t xml:space="preserve"> - § 43 ods. 3 písm. h)</w:t>
      </w:r>
    </w:p>
    <w:p w:rsidR="00CA1300" w:rsidRPr="007862DC" w:rsidP="00CA1300">
      <w:pPr>
        <w:bidi w:val="0"/>
        <w:jc w:val="both"/>
        <w:rPr>
          <w:rFonts w:ascii="Times New Roman" w:hAnsi="Times New Roman"/>
        </w:rPr>
      </w:pPr>
      <w:r w:rsidRPr="007862DC">
        <w:rPr>
          <w:rFonts w:ascii="Times New Roman" w:hAnsi="Times New Roman"/>
        </w:rPr>
        <w:t xml:space="preserve">Na základe požiadavky Ministerstva kultúry SR sa pre autorov príspevkov do novín, časopisov, rozhlasu a televízie upravuje možnosť rozhodnúť sa na základe písomnej dohody s platiteľom dane </w:t>
      </w:r>
    </w:p>
    <w:p w:rsidR="00CA1300" w:rsidRPr="007862DC" w:rsidP="00CA1300">
      <w:pPr>
        <w:numPr>
          <w:numId w:val="16"/>
        </w:numPr>
        <w:bidi w:val="0"/>
        <w:ind w:left="284" w:hanging="284"/>
        <w:jc w:val="both"/>
        <w:rPr>
          <w:rFonts w:ascii="Times New Roman" w:hAnsi="Times New Roman"/>
        </w:rPr>
      </w:pPr>
      <w:r w:rsidRPr="007862DC">
        <w:rPr>
          <w:rFonts w:ascii="Times New Roman" w:hAnsi="Times New Roman"/>
        </w:rPr>
        <w:t>či chce z príspevku zraziť daň po odpočítaní odvodu do literárneho fondu, pričom v tomto prípade, bude jeho daňová povinnosť vysporiadaná alebo</w:t>
      </w:r>
    </w:p>
    <w:p w:rsidR="00CA1300" w:rsidRPr="007862DC" w:rsidP="00CA1300">
      <w:pPr>
        <w:numPr>
          <w:numId w:val="16"/>
        </w:numPr>
        <w:bidi w:val="0"/>
        <w:ind w:left="284" w:hanging="284"/>
        <w:jc w:val="both"/>
        <w:rPr>
          <w:rFonts w:ascii="Times New Roman" w:hAnsi="Times New Roman"/>
        </w:rPr>
      </w:pPr>
      <w:r w:rsidRPr="007862DC">
        <w:rPr>
          <w:rFonts w:ascii="Times New Roman" w:hAnsi="Times New Roman"/>
        </w:rPr>
        <w:t>mu platiteľ dane daň nezrazí a on si aj príjmy za tieto príspevky zahrnie medzi príjmy podľa § 6 ods. 2 písm. a) a vysporiada ich sám v daňovom priznaní po skončení zdaňovacieho obdobia. O tejto skutočnosti však musí autor s platiteľom dane uzavrieť písomnú dohodu dopredu, t.j. pred vyplatením príjmu a nie až po skončení zdaňovacieho obdobia.</w:t>
      </w:r>
    </w:p>
    <w:p w:rsidR="00CA1300" w:rsidRPr="007862DC" w:rsidP="00CA1300">
      <w:pPr>
        <w:bidi w:val="0"/>
        <w:jc w:val="both"/>
        <w:rPr>
          <w:rFonts w:ascii="Times New Roman" w:hAnsi="Times New Roman"/>
        </w:rPr>
      </w:pPr>
      <w:r w:rsidRPr="007862DC">
        <w:rPr>
          <w:rFonts w:ascii="Times New Roman" w:hAnsi="Times New Roman"/>
        </w:rPr>
        <w:t>Uvedené sa však týka len tých príspevkov autorov, ktoré sú vyplácané na základe zmluvy o vytvorení diela resp. zmiešanej zmluvy (zmluva o vytvorení diela spolu s licenčnou zmluvou), z ktorej nie je zrejmá presná odmena za vytvorenie diela a za použitie diela ale je dohodnutá úhrnná odmena.</w:t>
      </w:r>
    </w:p>
    <w:p w:rsidR="00CA1300" w:rsidRPr="007862DC" w:rsidP="00CA1300">
      <w:pPr>
        <w:bidi w:val="0"/>
        <w:jc w:val="both"/>
        <w:rPr>
          <w:rFonts w:ascii="Times New Roman" w:hAnsi="Times New Roman"/>
        </w:rPr>
      </w:pPr>
    </w:p>
    <w:p w:rsidR="00CA1300" w:rsidRPr="007862DC" w:rsidP="00CA1300">
      <w:pPr>
        <w:bidi w:val="0"/>
        <w:jc w:val="both"/>
        <w:rPr>
          <w:rFonts w:ascii="Times New Roman" w:hAnsi="Times New Roman"/>
        </w:rPr>
      </w:pPr>
      <w:r w:rsidRPr="007862DC">
        <w:rPr>
          <w:rFonts w:ascii="Times New Roman" w:hAnsi="Times New Roman"/>
        </w:rPr>
        <w:t>Ustanovenie sa ďalej z dôvodu právnej istoty spresňuje, v tom smere, že zrážkovou daňou sa zdaňujú len tie príspevky do novín a časopisov, ktoré sa označujú normou ISSN, čo znamená periodické publikácie v súlade s ustanoveniami zákona č. 212/1997 Z.z. o povinných výtlačkoch periodických publikácií, neperiodických publikácií a rozmnoženín audiovizuálnych diel v znení neskorších predpisov. Rovnaký postup bol uplatňovaný aj do účinnosti tohto zákona.</w:t>
      </w:r>
    </w:p>
    <w:p w:rsidR="00CA1300" w:rsidRPr="007862DC" w:rsidP="00CA1300">
      <w:pPr>
        <w:bidi w:val="0"/>
        <w:jc w:val="both"/>
        <w:rPr>
          <w:rFonts w:ascii="Times New Roman" w:hAnsi="Times New Roman"/>
        </w:rPr>
      </w:pPr>
    </w:p>
    <w:p w:rsidR="00CA1300" w:rsidRPr="007862DC" w:rsidP="00CA1300">
      <w:pPr>
        <w:bidi w:val="0"/>
        <w:jc w:val="both"/>
        <w:rPr>
          <w:rFonts w:ascii="Times New Roman" w:hAnsi="Times New Roman"/>
        </w:rPr>
      </w:pPr>
      <w:r w:rsidRPr="007862DC">
        <w:rPr>
          <w:rFonts w:ascii="Times New Roman" w:hAnsi="Times New Roman"/>
        </w:rPr>
        <w:t>Podľa tohto ustanovenia sa zdaňujú len príjmy vyplácané autorom za vybrané diela</w:t>
      </w:r>
      <w:r>
        <w:rPr>
          <w:rFonts w:ascii="Times New Roman" w:hAnsi="Times New Roman"/>
        </w:rPr>
        <w:t>,</w:t>
      </w:r>
      <w:r w:rsidRPr="007862DC">
        <w:rPr>
          <w:rFonts w:ascii="Times New Roman" w:hAnsi="Times New Roman"/>
        </w:rPr>
        <w:t xml:space="preserve"> a to príspevky do novín, časopisov, rozhlasu a televízie. Zrážkovej dani nepodliehajú príjmy, ktoré sú dosahované za umelecký výkon ani iné príjmy dosahované na základe autorského zákona. Tieto sú zdaniteľné autormi a umelcami výlučne podľa § 6 ods. 2 písm. a) a ods. 4 zákona cez podané daňové priznanie.</w:t>
      </w:r>
    </w:p>
    <w:p w:rsidR="00CA1300" w:rsidP="00CA1300">
      <w:pPr>
        <w:bidi w:val="0"/>
        <w:rPr>
          <w:rFonts w:ascii="Times New Roman" w:hAnsi="Times New Roman"/>
          <w:b/>
        </w:rPr>
      </w:pPr>
    </w:p>
    <w:p w:rsidR="00CA1300" w:rsidRPr="00E60ED5" w:rsidP="00CA1300">
      <w:pPr>
        <w:bidi w:val="0"/>
        <w:rPr>
          <w:rFonts w:ascii="Times New Roman" w:hAnsi="Times New Roman"/>
          <w:b/>
        </w:rPr>
      </w:pPr>
      <w:r w:rsidRPr="00E60ED5">
        <w:rPr>
          <w:rFonts w:ascii="Times New Roman" w:hAnsi="Times New Roman"/>
          <w:b/>
        </w:rPr>
        <w:t>K</w:t>
      </w:r>
      <w:r>
        <w:rPr>
          <w:rFonts w:ascii="Times New Roman" w:hAnsi="Times New Roman"/>
          <w:b/>
        </w:rPr>
        <w:t> </w:t>
      </w:r>
      <w:r w:rsidRPr="00E60ED5">
        <w:rPr>
          <w:rFonts w:ascii="Times New Roman" w:hAnsi="Times New Roman"/>
          <w:b/>
        </w:rPr>
        <w:t>bod</w:t>
      </w:r>
      <w:r>
        <w:rPr>
          <w:rFonts w:ascii="Times New Roman" w:hAnsi="Times New Roman"/>
          <w:b/>
        </w:rPr>
        <w:t xml:space="preserve">om </w:t>
      </w:r>
      <w:r w:rsidR="00497C87">
        <w:rPr>
          <w:rFonts w:ascii="Times New Roman" w:hAnsi="Times New Roman"/>
          <w:b/>
        </w:rPr>
        <w:t>1</w:t>
      </w:r>
      <w:r w:rsidR="00E20681">
        <w:rPr>
          <w:rFonts w:ascii="Times New Roman" w:hAnsi="Times New Roman"/>
          <w:b/>
        </w:rPr>
        <w:t>8</w:t>
      </w:r>
      <w:r>
        <w:rPr>
          <w:rFonts w:ascii="Times New Roman" w:hAnsi="Times New Roman"/>
          <w:b/>
        </w:rPr>
        <w:t xml:space="preserve"> a </w:t>
      </w:r>
      <w:r w:rsidR="00E20681">
        <w:rPr>
          <w:rFonts w:ascii="Times New Roman" w:hAnsi="Times New Roman"/>
          <w:b/>
        </w:rPr>
        <w:t>19</w:t>
      </w:r>
      <w:r w:rsidRPr="00E60ED5">
        <w:rPr>
          <w:rFonts w:ascii="Times New Roman" w:hAnsi="Times New Roman"/>
          <w:b/>
        </w:rPr>
        <w:t xml:space="preserve"> – § 43 ods. 5</w:t>
      </w:r>
      <w:r>
        <w:rPr>
          <w:rFonts w:ascii="Times New Roman" w:hAnsi="Times New Roman"/>
          <w:b/>
        </w:rPr>
        <w:t xml:space="preserve"> písm. b) a c)</w:t>
      </w:r>
    </w:p>
    <w:p w:rsidR="00CA1300" w:rsidP="00CA1300">
      <w:pPr>
        <w:bidi w:val="0"/>
        <w:jc w:val="both"/>
        <w:rPr>
          <w:rStyle w:val="PlaceholderText"/>
          <w:color w:val="000000"/>
        </w:rPr>
      </w:pPr>
      <w:r w:rsidRPr="00E60ED5">
        <w:rPr>
          <w:rStyle w:val="PlaceholderText"/>
          <w:color w:val="000000"/>
        </w:rPr>
        <w:t xml:space="preserve">Podľa navrhovanej úpravy sa </w:t>
      </w:r>
      <w:r>
        <w:rPr>
          <w:rStyle w:val="PlaceholderText"/>
          <w:color w:val="000000"/>
        </w:rPr>
        <w:t xml:space="preserve">v § 43 ods. 5 písm. b) </w:t>
      </w:r>
      <w:r w:rsidRPr="00E60ED5">
        <w:rPr>
          <w:rStyle w:val="PlaceholderText"/>
          <w:color w:val="000000"/>
        </w:rPr>
        <w:t>zákona o dani z</w:t>
      </w:r>
      <w:r>
        <w:rPr>
          <w:rStyle w:val="PlaceholderText"/>
          <w:color w:val="000000"/>
        </w:rPr>
        <w:t> </w:t>
      </w:r>
      <w:r w:rsidRPr="00E60ED5">
        <w:rPr>
          <w:rStyle w:val="PlaceholderText"/>
          <w:color w:val="000000"/>
        </w:rPr>
        <w:t>príjmov</w:t>
      </w:r>
      <w:r>
        <w:rPr>
          <w:rStyle w:val="PlaceholderText"/>
          <w:color w:val="000000"/>
        </w:rPr>
        <w:t xml:space="preserve"> vypúšťa možnosť odpočítania paušálnych výdavkov od vyplácaných príjmov </w:t>
      </w:r>
      <w:r w:rsidRPr="00E60ED5">
        <w:rPr>
          <w:rStyle w:val="PlaceholderText"/>
          <w:color w:val="000000"/>
        </w:rPr>
        <w:t>autoro</w:t>
      </w:r>
      <w:r>
        <w:rPr>
          <w:rStyle w:val="PlaceholderText"/>
          <w:color w:val="000000"/>
        </w:rPr>
        <w:t>m</w:t>
      </w:r>
      <w:r w:rsidRPr="00E60ED5">
        <w:rPr>
          <w:rStyle w:val="PlaceholderText"/>
          <w:color w:val="000000"/>
        </w:rPr>
        <w:t xml:space="preserve"> a umelco</w:t>
      </w:r>
      <w:r>
        <w:rPr>
          <w:rStyle w:val="PlaceholderText"/>
          <w:color w:val="000000"/>
        </w:rPr>
        <w:t>m</w:t>
      </w:r>
      <w:r w:rsidRPr="00E60ED5">
        <w:rPr>
          <w:rStyle w:val="PlaceholderText"/>
          <w:color w:val="000000"/>
        </w:rPr>
        <w:t xml:space="preserve"> za príspevky do novín a časopisov</w:t>
      </w:r>
      <w:r>
        <w:rPr>
          <w:rStyle w:val="PlaceholderText"/>
          <w:color w:val="000000"/>
        </w:rPr>
        <w:t xml:space="preserve"> pred ich zdanením. Zároveň sa zavádza možnosť odpočítania výdavku na povinný odvod do fondu, ktorý musí platiteľ dane pred vyplatením tohto príjmu autorom odviesť v súlade s ustanoveniami zákona č. 13/1993 Z. z. o umeleckých fondoch v znení neskorších predpisov. Keďže daň sa vyberá zrážkou len v prípade príjmov autorov za príspevky do novín, časopisov, rozhlasu a televízie, ak nejde o umelecký výkon, bude z tohto príjmu odvádzaný len odvod do literárneho fondu.</w:t>
      </w:r>
    </w:p>
    <w:p w:rsidR="00CA1300" w:rsidP="00CA1300">
      <w:pPr>
        <w:bidi w:val="0"/>
        <w:jc w:val="both"/>
        <w:rPr>
          <w:rStyle w:val="PlaceholderText"/>
          <w:color w:val="000000"/>
        </w:rPr>
      </w:pPr>
      <w:r>
        <w:rPr>
          <w:rStyle w:val="PlaceholderText"/>
          <w:color w:val="000000"/>
        </w:rPr>
        <w:t>V prípade ostatných činnosti, z ktorých plynú daňovníkom príjmy podľa autorského zákona priznávané ako súčasť príjmov podľa § 6 ods. 2 písm. a) a ods. 4 zákona vysporiadavané v daňovom priznaní títo si povinné odvody do fondov podľa zákona o umeleckých fondoch uplatnia ako súčasť svojich výdavkov a to v preukázateľnej výške, ak si uplatňuje preukázateľné výdavky alebo ak si uplatňuje paušálne výdavky, tieto sú ich súčasťou.</w:t>
      </w:r>
    </w:p>
    <w:p w:rsidR="00CA1300" w:rsidP="00CA1300">
      <w:pPr>
        <w:bidi w:val="0"/>
        <w:jc w:val="both"/>
        <w:rPr>
          <w:rStyle w:val="PlaceholderText"/>
          <w:color w:val="000000"/>
        </w:rPr>
      </w:pPr>
    </w:p>
    <w:p w:rsidR="00CA1300" w:rsidP="00CA1300">
      <w:pPr>
        <w:bidi w:val="0"/>
        <w:jc w:val="both"/>
        <w:rPr>
          <w:rStyle w:val="PlaceholderText"/>
          <w:color w:val="000000"/>
        </w:rPr>
      </w:pPr>
      <w:r>
        <w:rPr>
          <w:rStyle w:val="PlaceholderText"/>
          <w:color w:val="000000"/>
        </w:rPr>
        <w:t>M</w:t>
      </w:r>
      <w:r w:rsidRPr="00E60ED5">
        <w:rPr>
          <w:rStyle w:val="PlaceholderText"/>
          <w:color w:val="000000"/>
        </w:rPr>
        <w:t xml:space="preserve">ožnosť </w:t>
      </w:r>
      <w:r>
        <w:rPr>
          <w:rStyle w:val="PlaceholderText"/>
          <w:color w:val="000000"/>
        </w:rPr>
        <w:t>odpočítania</w:t>
      </w:r>
      <w:r w:rsidRPr="00E60ED5">
        <w:rPr>
          <w:rStyle w:val="PlaceholderText"/>
          <w:color w:val="000000"/>
        </w:rPr>
        <w:t xml:space="preserve"> paušálnych výdavkov </w:t>
      </w:r>
      <w:r>
        <w:rPr>
          <w:rStyle w:val="PlaceholderText"/>
          <w:color w:val="000000"/>
        </w:rPr>
        <w:t>pred zrazením dane platiteľom dane sa navrhuje zrušiť aj v prípade vyplácania príjmov daňovníkom</w:t>
      </w:r>
      <w:r w:rsidRPr="00E60ED5">
        <w:rPr>
          <w:rStyle w:val="PlaceholderText"/>
          <w:color w:val="000000"/>
        </w:rPr>
        <w:t xml:space="preserve"> s obmedzenou daňovou povinnosťou za umelecký a športový výkon vykonávaný na území SR</w:t>
      </w:r>
      <w:r>
        <w:rPr>
          <w:rStyle w:val="PlaceholderText"/>
          <w:color w:val="000000"/>
        </w:rPr>
        <w:t>.</w:t>
      </w:r>
    </w:p>
    <w:p w:rsidR="00CA1300" w:rsidRPr="008B68F9" w:rsidP="00CA1300">
      <w:pPr>
        <w:bidi w:val="0"/>
        <w:jc w:val="both"/>
        <w:rPr>
          <w:rStyle w:val="PlaceholderText"/>
          <w:color w:val="000000"/>
        </w:rPr>
      </w:pPr>
      <w:r w:rsidRPr="008B68F9">
        <w:rPr>
          <w:rStyle w:val="PlaceholderText"/>
          <w:color w:val="000000"/>
        </w:rPr>
        <w:t>Navrhované zrušenie možnosti uplatňovania paušálnych výdavkov pre uvádzané príjmy je vykonané z dôvodu úprav v § 6 ods. 10 zákona o dani z príjmov, podľa ktorej sa obmedzuje uplatnenie paušálnych výdavkov maximálne do výšky 5 040 eur ročne, nakoľko z pohľadu platiteľa dane by bolo v momente vyplatenia zdaniteľného príjmu a zrazenia dane objektívne nemožné testovať výšku paušálnych výdavkov do zákonom stanovenej maximálnej sumy (5</w:t>
      </w:r>
      <w:r>
        <w:rPr>
          <w:rStyle w:val="PlaceholderText"/>
          <w:color w:val="000000"/>
        </w:rPr>
        <w:t> </w:t>
      </w:r>
      <w:r w:rsidRPr="008B68F9">
        <w:rPr>
          <w:rStyle w:val="PlaceholderText"/>
          <w:color w:val="000000"/>
        </w:rPr>
        <w:t xml:space="preserve">040 eur). </w:t>
      </w:r>
    </w:p>
    <w:p w:rsidR="00CA1300" w:rsidRPr="00E60ED5" w:rsidP="00CA1300">
      <w:pPr>
        <w:bidi w:val="0"/>
        <w:jc w:val="both"/>
        <w:rPr>
          <w:rStyle w:val="PlaceholderText"/>
          <w:color w:val="000000"/>
        </w:rPr>
      </w:pPr>
      <w:r w:rsidRPr="00E60ED5">
        <w:rPr>
          <w:rStyle w:val="PlaceholderText"/>
          <w:color w:val="000000"/>
        </w:rPr>
        <w:t>S účinnosťou od 1.</w:t>
      </w:r>
      <w:r>
        <w:rPr>
          <w:rStyle w:val="PlaceholderText"/>
          <w:color w:val="000000"/>
        </w:rPr>
        <w:t xml:space="preserve"> </w:t>
      </w:r>
      <w:r w:rsidRPr="00E60ED5">
        <w:rPr>
          <w:rStyle w:val="PlaceholderText"/>
          <w:color w:val="000000"/>
        </w:rPr>
        <w:t>1.</w:t>
      </w:r>
      <w:r>
        <w:rPr>
          <w:rStyle w:val="PlaceholderText"/>
          <w:color w:val="000000"/>
        </w:rPr>
        <w:t xml:space="preserve"> </w:t>
      </w:r>
      <w:r w:rsidRPr="00E60ED5">
        <w:rPr>
          <w:rStyle w:val="PlaceholderText"/>
          <w:color w:val="000000"/>
        </w:rPr>
        <w:t xml:space="preserve">2013 preto v prípade príjmov </w:t>
      </w:r>
    </w:p>
    <w:p w:rsidR="00CA1300" w:rsidRPr="007862DC" w:rsidP="00CA1300">
      <w:pPr>
        <w:numPr>
          <w:numId w:val="15"/>
        </w:numPr>
        <w:bidi w:val="0"/>
        <w:ind w:left="426" w:hanging="426"/>
        <w:jc w:val="both"/>
        <w:rPr>
          <w:rStyle w:val="PlaceholderText"/>
          <w:color w:val="auto"/>
        </w:rPr>
      </w:pPr>
      <w:r w:rsidRPr="00E60ED5">
        <w:rPr>
          <w:rStyle w:val="PlaceholderText"/>
          <w:color w:val="000000"/>
        </w:rPr>
        <w:t xml:space="preserve">za príspevky do novín a časopisov budú uplatňované </w:t>
      </w:r>
      <w:r>
        <w:rPr>
          <w:rStyle w:val="PlaceholderText"/>
          <w:color w:val="000000"/>
        </w:rPr>
        <w:t xml:space="preserve">ako </w:t>
      </w:r>
      <w:r w:rsidRPr="00E60ED5">
        <w:rPr>
          <w:rStyle w:val="PlaceholderText"/>
          <w:color w:val="000000"/>
        </w:rPr>
        <w:t>výdavky</w:t>
      </w:r>
      <w:r>
        <w:rPr>
          <w:rStyle w:val="PlaceholderText"/>
          <w:color w:val="000000"/>
        </w:rPr>
        <w:t xml:space="preserve"> povinné odvody do fondu v súlade so zákonom o umeleckých fondoch </w:t>
      </w:r>
      <w:r w:rsidRPr="00E60ED5">
        <w:rPr>
          <w:rStyle w:val="PlaceholderText"/>
          <w:color w:val="000000"/>
        </w:rPr>
        <w:t>a daň bude zrazená z</w:t>
      </w:r>
      <w:r>
        <w:rPr>
          <w:rStyle w:val="PlaceholderText"/>
          <w:color w:val="000000"/>
        </w:rPr>
        <w:t> takto znížených</w:t>
      </w:r>
      <w:r w:rsidRPr="00E60ED5">
        <w:rPr>
          <w:rStyle w:val="PlaceholderText"/>
          <w:color w:val="000000"/>
        </w:rPr>
        <w:t xml:space="preserve"> príjmov, pričom jej zrazením bude aj naďalej daňová povinnosť daňovníka považovaná za vysporiadanú</w:t>
      </w:r>
      <w:r>
        <w:rPr>
          <w:rStyle w:val="PlaceholderText"/>
          <w:color w:val="000000"/>
        </w:rPr>
        <w:t xml:space="preserve"> </w:t>
      </w:r>
      <w:r w:rsidRPr="007862DC">
        <w:rPr>
          <w:rStyle w:val="PlaceholderText"/>
          <w:color w:val="auto"/>
        </w:rPr>
        <w:t>avšak len za podmienky, že daňovník neuplatní postup podľa odseku 15,</w:t>
      </w:r>
    </w:p>
    <w:p w:rsidR="00CA1300" w:rsidRPr="00E60ED5" w:rsidP="00CA1300">
      <w:pPr>
        <w:numPr>
          <w:numId w:val="15"/>
        </w:numPr>
        <w:bidi w:val="0"/>
        <w:ind w:left="426" w:hanging="426"/>
        <w:jc w:val="both"/>
        <w:rPr>
          <w:rFonts w:ascii="Times New Roman" w:hAnsi="Times New Roman"/>
        </w:rPr>
      </w:pPr>
      <w:r w:rsidRPr="00E60ED5">
        <w:rPr>
          <w:rStyle w:val="PlaceholderText"/>
          <w:color w:val="000000"/>
        </w:rPr>
        <w:t>uvedených v § 16 ods. 1 písm. d) zákona o dani z príjmov (daňovník s obmedzenou daňovou povinnosťou vykonávajúci na území SR činnosť umelca a športovca), nebudú uplatňované žiadne výdavky, daň bude zrazená z hrubých príjmov, ale daňovník sa po skončení zdaňovacieho obdobia bude môcť rozhodnúť podať daňové priznanie, v ktorom si uplatní výdavky percentom z príjmov v súlade s § 6 ods. 10 zákona o dani z príjmov alebo preukázateľné výdavky. Možnosť rozhodovania o podaní daňového priznania u daňovníka s obmedzenou daňovou povinnosťou (umelec a športovec) je naďalej ponechaná z dôvodu, že aj daňovník s neobmedzenou daňovou povinnosťou, ktor</w:t>
      </w:r>
      <w:r>
        <w:rPr>
          <w:rStyle w:val="PlaceholderText"/>
          <w:color w:val="000000"/>
        </w:rPr>
        <w:t>ý</w:t>
      </w:r>
      <w:r w:rsidRPr="00E60ED5">
        <w:rPr>
          <w:rStyle w:val="PlaceholderText"/>
          <w:color w:val="000000"/>
        </w:rPr>
        <w:t xml:space="preserve"> dosahuj</w:t>
      </w:r>
      <w:r>
        <w:rPr>
          <w:rStyle w:val="PlaceholderText"/>
          <w:color w:val="000000"/>
        </w:rPr>
        <w:t>e</w:t>
      </w:r>
      <w:r w:rsidRPr="00E60ED5">
        <w:rPr>
          <w:rStyle w:val="PlaceholderText"/>
          <w:color w:val="000000"/>
        </w:rPr>
        <w:t xml:space="preserve"> príjmy z umeleckej činnosti alebo ako športovec, si svoju daňovú povinnosť vysporiada podaním daňového priznania. </w:t>
      </w:r>
    </w:p>
    <w:p w:rsidR="00CA1300" w:rsidRPr="00E60ED5" w:rsidP="00CA1300">
      <w:pPr>
        <w:bidi w:val="0"/>
        <w:rPr>
          <w:rFonts w:ascii="Times New Roman" w:hAnsi="Times New Roman"/>
          <w:b/>
        </w:rPr>
      </w:pPr>
    </w:p>
    <w:p w:rsidR="00CA1300" w:rsidRPr="007862DC" w:rsidP="00CA1300">
      <w:pPr>
        <w:bidi w:val="0"/>
        <w:rPr>
          <w:rFonts w:ascii="Times New Roman" w:hAnsi="Times New Roman"/>
          <w:b/>
        </w:rPr>
      </w:pPr>
      <w:r w:rsidRPr="007862DC">
        <w:rPr>
          <w:rFonts w:ascii="Times New Roman" w:hAnsi="Times New Roman"/>
          <w:b/>
        </w:rPr>
        <w:t>K bodu 2</w:t>
      </w:r>
      <w:r w:rsidR="00E20681">
        <w:rPr>
          <w:rFonts w:ascii="Times New Roman" w:hAnsi="Times New Roman"/>
          <w:b/>
        </w:rPr>
        <w:t>0</w:t>
      </w:r>
      <w:r w:rsidRPr="007862DC">
        <w:rPr>
          <w:rFonts w:ascii="Times New Roman" w:hAnsi="Times New Roman"/>
          <w:b/>
        </w:rPr>
        <w:t xml:space="preserve"> - § 43 ods. 15</w:t>
      </w:r>
    </w:p>
    <w:p w:rsidR="00CA1300" w:rsidRPr="007862DC" w:rsidP="00CA1300">
      <w:pPr>
        <w:bidi w:val="0"/>
        <w:jc w:val="both"/>
        <w:rPr>
          <w:rFonts w:ascii="Times New Roman" w:hAnsi="Times New Roman"/>
        </w:rPr>
      </w:pPr>
      <w:r w:rsidRPr="007862DC">
        <w:rPr>
          <w:rFonts w:ascii="Times New Roman" w:hAnsi="Times New Roman"/>
        </w:rPr>
        <w:t>V súvislosti s úpravou v ustanoveniach § 6 ods. 2 písm. a) a § 43 ods. 3 písm. h) zákona sa dopĺňa aj odsek 15, podľa ktorého sa autor pri príjmoch plynúcich za príspevky do novín, časopisov, rozhlasu a televízie dosahovaných na základe zmluvy o vytvorenia diela podľa § 6 ods. 2 písm. a) zákona (aj zmiešané zmluvy, t.j. o vytvorení diela spolu s licenčnou, kde je dohodnutá odmena jednou sumou), môže rozhodnúť či mu bude daň zrážať platiteľ dane alebo si daňovú povinnosť vysporiada sám v podanom daňovom priznaní. O takomto postupe sa však musí rozhodnúť dopredu (pred vyplatením príjmu za príspevok) na základe písomnej dohody uzavretej medzi platiteľom dane a autorom. Zároveň uzavretie takejto dohody s príslušným autorom za uhrádzaný príspevok musí platiteľ dane oznámiť správcovi dane do skončenia 15 dní po uplynutí kalendárneho roka, v ktorom takéto dohody boli uzavreté.</w:t>
      </w:r>
    </w:p>
    <w:p w:rsidR="00CA1300" w:rsidP="00CA1300">
      <w:pPr>
        <w:bidi w:val="0"/>
        <w:rPr>
          <w:rFonts w:ascii="Times New Roman" w:hAnsi="Times New Roman"/>
          <w:b/>
        </w:rPr>
      </w:pPr>
    </w:p>
    <w:p w:rsidR="00CA1300" w:rsidRPr="00E60ED5" w:rsidP="00CA1300">
      <w:pPr>
        <w:bidi w:val="0"/>
        <w:rPr>
          <w:rFonts w:ascii="Times New Roman" w:hAnsi="Times New Roman"/>
          <w:b/>
        </w:rPr>
      </w:pPr>
      <w:r w:rsidRPr="00E60ED5">
        <w:rPr>
          <w:rFonts w:ascii="Times New Roman" w:hAnsi="Times New Roman"/>
          <w:b/>
        </w:rPr>
        <w:t xml:space="preserve">K bodu </w:t>
      </w:r>
      <w:r w:rsidR="00497C87">
        <w:rPr>
          <w:rFonts w:ascii="Times New Roman" w:hAnsi="Times New Roman"/>
          <w:b/>
        </w:rPr>
        <w:t>2</w:t>
      </w:r>
      <w:r w:rsidR="00E20681">
        <w:rPr>
          <w:rFonts w:ascii="Times New Roman" w:hAnsi="Times New Roman"/>
          <w:b/>
        </w:rPr>
        <w:t>1</w:t>
      </w:r>
      <w:r w:rsidRPr="00E60ED5">
        <w:rPr>
          <w:rFonts w:ascii="Times New Roman" w:hAnsi="Times New Roman"/>
          <w:b/>
        </w:rPr>
        <w:t xml:space="preserve"> - § 44 ods. 1</w:t>
      </w:r>
    </w:p>
    <w:p w:rsidR="00CA1300" w:rsidRPr="00E60ED5" w:rsidP="00CA1300">
      <w:pPr>
        <w:bidi w:val="0"/>
        <w:jc w:val="both"/>
        <w:rPr>
          <w:rFonts w:ascii="Times New Roman" w:hAnsi="Times New Roman"/>
        </w:rPr>
      </w:pPr>
      <w:r w:rsidRPr="00E60ED5">
        <w:rPr>
          <w:rFonts w:ascii="Times New Roman" w:hAnsi="Times New Roman"/>
        </w:rPr>
        <w:t>V súvislosti so zavedením progresívnej sadzby dane sa v ustanovení § 44 ods. 1 zákona o dani z príjmov zavádza osobitná sadzba dane</w:t>
      </w:r>
      <w:r>
        <w:rPr>
          <w:rFonts w:ascii="Times New Roman" w:hAnsi="Times New Roman"/>
        </w:rPr>
        <w:t xml:space="preserve"> vo výške 9,5 % </w:t>
      </w:r>
      <w:r w:rsidRPr="00E60ED5">
        <w:rPr>
          <w:rFonts w:ascii="Times New Roman" w:hAnsi="Times New Roman"/>
        </w:rPr>
        <w:t xml:space="preserve"> platná pre zabezpečenie dane, určená rozhodnutím správcu dane voči fyzickým alebo právnickým osobám.</w:t>
      </w:r>
    </w:p>
    <w:p w:rsidR="00CA1300" w:rsidRPr="00E60ED5" w:rsidP="00CA1300">
      <w:pPr>
        <w:bidi w:val="0"/>
        <w:rPr>
          <w:rFonts w:ascii="Times New Roman" w:hAnsi="Times New Roman"/>
          <w:b/>
        </w:rPr>
      </w:pPr>
    </w:p>
    <w:p w:rsidR="00CA1300" w:rsidRPr="00E60ED5" w:rsidP="00CA1300">
      <w:pPr>
        <w:bidi w:val="0"/>
        <w:rPr>
          <w:rFonts w:ascii="Times New Roman" w:hAnsi="Times New Roman"/>
          <w:b/>
        </w:rPr>
      </w:pPr>
      <w:r w:rsidRPr="00E60ED5">
        <w:rPr>
          <w:rFonts w:ascii="Times New Roman" w:hAnsi="Times New Roman"/>
          <w:b/>
        </w:rPr>
        <w:t xml:space="preserve">K bodu </w:t>
      </w:r>
      <w:r w:rsidR="00497C87">
        <w:rPr>
          <w:rFonts w:ascii="Times New Roman" w:hAnsi="Times New Roman"/>
          <w:b/>
        </w:rPr>
        <w:t>2</w:t>
      </w:r>
      <w:r w:rsidR="00E20681">
        <w:rPr>
          <w:rFonts w:ascii="Times New Roman" w:hAnsi="Times New Roman"/>
          <w:b/>
        </w:rPr>
        <w:t>2</w:t>
      </w:r>
      <w:r w:rsidRPr="00E60ED5">
        <w:rPr>
          <w:rFonts w:ascii="Times New Roman" w:hAnsi="Times New Roman"/>
          <w:b/>
        </w:rPr>
        <w:t xml:space="preserve"> – § 44 ods. 2</w:t>
      </w:r>
    </w:p>
    <w:p w:rsidR="00CA1300" w:rsidRPr="00E60ED5" w:rsidP="00CA1300">
      <w:pPr>
        <w:bidi w:val="0"/>
        <w:jc w:val="both"/>
        <w:rPr>
          <w:rFonts w:ascii="Times New Roman" w:hAnsi="Times New Roman"/>
        </w:rPr>
      </w:pPr>
      <w:r w:rsidRPr="00E60ED5">
        <w:rPr>
          <w:rFonts w:ascii="Times New Roman" w:hAnsi="Times New Roman"/>
        </w:rPr>
        <w:t xml:space="preserve">V súvislosti so zavedením progresívnej sadzby dane sa v ustanovení § 44 ods. </w:t>
      </w:r>
      <w:r>
        <w:rPr>
          <w:rFonts w:ascii="Times New Roman" w:hAnsi="Times New Roman"/>
        </w:rPr>
        <w:t>2</w:t>
      </w:r>
      <w:r w:rsidRPr="00E60ED5">
        <w:rPr>
          <w:rFonts w:ascii="Times New Roman" w:hAnsi="Times New Roman"/>
        </w:rPr>
        <w:t xml:space="preserve"> zákona o dani z príjmov zavádza osobitná sadzba dane vo výške 19 %, platná na zabezpečenie dane z príjmu, ktorý plynie daňovníkovi s obmedzenou daňovou povinnosťou. Zároveň sa vypúšťa možnosť pri vyplácaní príjmu z prenájmu daňovníkovi s obmedzenou daňovou povinnosťou uplatniť pred zabezpečením dane paušálne výdavky tak, ako pre všetkých daňovníkov dosahujúcich tieto príjmy.</w:t>
      </w:r>
    </w:p>
    <w:p w:rsidR="00CA1300" w:rsidP="00CA1300">
      <w:pPr>
        <w:bidi w:val="0"/>
        <w:rPr>
          <w:rFonts w:ascii="Times New Roman" w:hAnsi="Times New Roman"/>
          <w:b/>
        </w:rPr>
      </w:pPr>
    </w:p>
    <w:p w:rsidR="002D488F" w:rsidP="00CA1300">
      <w:pPr>
        <w:bidi w:val="0"/>
        <w:rPr>
          <w:rFonts w:ascii="Times New Roman" w:hAnsi="Times New Roman"/>
          <w:b/>
        </w:rPr>
      </w:pPr>
    </w:p>
    <w:p w:rsidR="002D488F" w:rsidP="00CA1300">
      <w:pPr>
        <w:bidi w:val="0"/>
        <w:rPr>
          <w:rFonts w:ascii="Times New Roman" w:hAnsi="Times New Roman"/>
          <w:b/>
        </w:rPr>
      </w:pPr>
    </w:p>
    <w:p w:rsidR="002D488F" w:rsidP="00CA1300">
      <w:pPr>
        <w:bidi w:val="0"/>
        <w:rPr>
          <w:rFonts w:ascii="Times New Roman" w:hAnsi="Times New Roman"/>
          <w:b/>
        </w:rPr>
      </w:pPr>
    </w:p>
    <w:p w:rsidR="00CF6B38" w:rsidP="00CA1300">
      <w:pPr>
        <w:bidi w:val="0"/>
        <w:rPr>
          <w:rFonts w:ascii="Times New Roman" w:hAnsi="Times New Roman"/>
          <w:b/>
        </w:rPr>
      </w:pPr>
      <w:r>
        <w:rPr>
          <w:rFonts w:ascii="Times New Roman" w:hAnsi="Times New Roman"/>
          <w:b/>
        </w:rPr>
        <w:t>K bodu 23 - § 51d</w:t>
      </w:r>
    </w:p>
    <w:p w:rsidR="00CF6B38" w:rsidRPr="00651949" w:rsidP="00CF6B38">
      <w:pPr>
        <w:bidi w:val="0"/>
        <w:jc w:val="both"/>
        <w:rPr>
          <w:rFonts w:ascii="Times New Roman" w:hAnsi="Times New Roman"/>
        </w:rPr>
      </w:pPr>
      <w:r w:rsidRPr="00651949">
        <w:rPr>
          <w:rFonts w:ascii="Times New Roman" w:hAnsi="Times New Roman"/>
        </w:rPr>
        <w:t>Uvedená úprava sa navrhuje z cieľom motivovať spoločnosti k vyplácaniu podielov na zisku (dividend) vykázaných za zdaňovacie obdobia najneskôr do konca roka 2003, ktoré ich zadržiavali vo vlastnom imaní.</w:t>
      </w:r>
    </w:p>
    <w:p w:rsidR="00CF6B38" w:rsidRPr="00651949" w:rsidP="00CF6B38">
      <w:pPr>
        <w:bidi w:val="0"/>
        <w:jc w:val="both"/>
        <w:rPr>
          <w:rFonts w:ascii="Times New Roman" w:hAnsi="Times New Roman"/>
        </w:rPr>
      </w:pPr>
      <w:r w:rsidRPr="00651949">
        <w:rPr>
          <w:rFonts w:ascii="Times New Roman" w:hAnsi="Times New Roman"/>
        </w:rPr>
        <w:t>V dôsledku očakávaného vyššieho vyplácania aj týchto „starých“ podielov na zisku (dividend) by zároveň došlo aj k zvýšeniu príjmov do štátneho rozpočtu a tým aj naplneniu zámeru konsolidácie verejných financií.</w:t>
      </w:r>
    </w:p>
    <w:p w:rsidR="00CF6B38" w:rsidRPr="00651949" w:rsidP="00CF6B38">
      <w:pPr>
        <w:bidi w:val="0"/>
        <w:jc w:val="both"/>
        <w:rPr>
          <w:rFonts w:ascii="Times New Roman" w:hAnsi="Times New Roman"/>
        </w:rPr>
      </w:pPr>
      <w:r w:rsidRPr="00651949">
        <w:rPr>
          <w:rFonts w:ascii="Times New Roman" w:hAnsi="Times New Roman"/>
        </w:rPr>
        <w:t>Podľa navrhovaného znenia, v prípade ak sa podiely na zisku (dividendy) vyplácajú zo zdrojov na území Slovenskej republiky, z týchto sa bude daň vyberať zrážkou podľa § 43 zákona, pričom platiteľ dane bude uplatňovať postup uvedený v tomto ustanovení (§ 43).</w:t>
      </w:r>
    </w:p>
    <w:p w:rsidR="00CF6B38" w:rsidRPr="00651949" w:rsidP="00CF6B38">
      <w:pPr>
        <w:bidi w:val="0"/>
        <w:jc w:val="both"/>
        <w:rPr>
          <w:rFonts w:ascii="Times New Roman" w:hAnsi="Times New Roman"/>
        </w:rPr>
      </w:pPr>
      <w:r w:rsidRPr="00651949">
        <w:rPr>
          <w:rFonts w:ascii="Times New Roman" w:hAnsi="Times New Roman"/>
        </w:rPr>
        <w:t>Ak by takéto príjmy boli vyplácané zo zdrojov v zahraničí, budú tvoriť s</w:t>
      </w:r>
      <w:r>
        <w:rPr>
          <w:rFonts w:ascii="Times New Roman" w:hAnsi="Times New Roman"/>
        </w:rPr>
        <w:t>amostatný základ dane vysporiada</w:t>
      </w:r>
      <w:r w:rsidRPr="00651949">
        <w:rPr>
          <w:rFonts w:ascii="Times New Roman" w:hAnsi="Times New Roman"/>
        </w:rPr>
        <w:t>van</w:t>
      </w:r>
      <w:r>
        <w:rPr>
          <w:rFonts w:ascii="Times New Roman" w:hAnsi="Times New Roman"/>
        </w:rPr>
        <w:t>ý</w:t>
      </w:r>
      <w:r w:rsidRPr="00651949">
        <w:rPr>
          <w:rFonts w:ascii="Times New Roman" w:hAnsi="Times New Roman"/>
        </w:rPr>
        <w:t xml:space="preserve"> v podanom daňovom priznaní postupom podľa § 32 alebo § 41 zákona.</w:t>
      </w:r>
    </w:p>
    <w:p w:rsidR="00CF6B38" w:rsidRPr="00651949" w:rsidP="00CF6B38">
      <w:pPr>
        <w:bidi w:val="0"/>
        <w:jc w:val="both"/>
        <w:rPr>
          <w:rFonts w:ascii="Times New Roman" w:hAnsi="Times New Roman"/>
        </w:rPr>
      </w:pPr>
      <w:r w:rsidRPr="00651949">
        <w:rPr>
          <w:rFonts w:ascii="Times New Roman" w:hAnsi="Times New Roman"/>
        </w:rPr>
        <w:t>Podiely na zisku (dividendy) vyplácané daňovníkom uvedeným v odseku 4 sa naďalej nebudú zdaňovať ale len za podmienok upravených v tomto ustanovení, pričom sa už v tomto prípade neprihliada na ustanovenie § 52 ods. 24 zákona.</w:t>
      </w:r>
    </w:p>
    <w:p w:rsidR="00CF6B38" w:rsidRPr="00E60ED5" w:rsidP="00CA1300">
      <w:pPr>
        <w:bidi w:val="0"/>
        <w:rPr>
          <w:rFonts w:ascii="Times New Roman" w:hAnsi="Times New Roman"/>
          <w:b/>
        </w:rPr>
      </w:pPr>
    </w:p>
    <w:p w:rsidR="00CA1300" w:rsidRPr="00E60ED5" w:rsidP="00CA1300">
      <w:pPr>
        <w:bidi w:val="0"/>
        <w:rPr>
          <w:rFonts w:ascii="Times New Roman" w:hAnsi="Times New Roman"/>
          <w:b/>
        </w:rPr>
      </w:pPr>
      <w:r w:rsidRPr="00E60ED5">
        <w:rPr>
          <w:rFonts w:ascii="Times New Roman" w:hAnsi="Times New Roman"/>
          <w:b/>
        </w:rPr>
        <w:t xml:space="preserve">K bodu </w:t>
      </w:r>
      <w:r w:rsidR="00497C87">
        <w:rPr>
          <w:rFonts w:ascii="Times New Roman" w:hAnsi="Times New Roman"/>
          <w:b/>
        </w:rPr>
        <w:t>2</w:t>
      </w:r>
      <w:r w:rsidR="00CF6B38">
        <w:rPr>
          <w:rFonts w:ascii="Times New Roman" w:hAnsi="Times New Roman"/>
          <w:b/>
        </w:rPr>
        <w:t>4</w:t>
      </w:r>
      <w:r w:rsidRPr="00E60ED5">
        <w:rPr>
          <w:rFonts w:ascii="Times New Roman" w:hAnsi="Times New Roman"/>
          <w:b/>
        </w:rPr>
        <w:t xml:space="preserve"> - § 52</w:t>
      </w:r>
      <w:r>
        <w:rPr>
          <w:rFonts w:ascii="Times New Roman" w:hAnsi="Times New Roman"/>
          <w:b/>
        </w:rPr>
        <w:t>t</w:t>
      </w:r>
      <w:r w:rsidRPr="00E60ED5">
        <w:rPr>
          <w:rFonts w:ascii="Times New Roman" w:hAnsi="Times New Roman"/>
          <w:b/>
        </w:rPr>
        <w:t xml:space="preserve"> – prechodné ustanovenia</w:t>
      </w:r>
    </w:p>
    <w:p w:rsidR="00CA1300" w:rsidRPr="00E60ED5" w:rsidP="00CA1300">
      <w:pPr>
        <w:bidi w:val="0"/>
        <w:jc w:val="both"/>
        <w:rPr>
          <w:rFonts w:ascii="Times New Roman" w:hAnsi="Times New Roman"/>
        </w:rPr>
      </w:pPr>
      <w:r w:rsidRPr="00E60ED5">
        <w:rPr>
          <w:rFonts w:ascii="Times New Roman" w:hAnsi="Times New Roman"/>
        </w:rPr>
        <w:t>Na zdanenie príjmov zo závislej činnosti zúčtovaných do 31. decembra 2012 a vyplatených do 31. januára 2013 a na vykonanie ich ročného zúčtovania sa použije znenie zákona účinného do 31. decembra 2012.</w:t>
      </w:r>
    </w:p>
    <w:p w:rsidR="00CA1300" w:rsidP="00CA1300">
      <w:pPr>
        <w:bidi w:val="0"/>
        <w:jc w:val="both"/>
        <w:rPr>
          <w:rFonts w:ascii="Times New Roman" w:hAnsi="Times New Roman"/>
        </w:rPr>
      </w:pPr>
      <w:r w:rsidRPr="00E60ED5">
        <w:rPr>
          <w:rFonts w:ascii="Times New Roman" w:hAnsi="Times New Roman"/>
        </w:rPr>
        <w:t>Navrhuje sa zdanenie výsluhových dôchodkov poskytovaných daňovníkom do dosiahnutia dôchodkového veku podľa zákona o sociálnom poistení, vyplatených po 31.</w:t>
      </w:r>
      <w:r>
        <w:rPr>
          <w:rFonts w:ascii="Times New Roman" w:hAnsi="Times New Roman"/>
        </w:rPr>
        <w:t xml:space="preserve"> </w:t>
      </w:r>
      <w:r w:rsidRPr="00E60ED5">
        <w:rPr>
          <w:rFonts w:ascii="Times New Roman" w:hAnsi="Times New Roman"/>
        </w:rPr>
        <w:t>12.</w:t>
      </w:r>
      <w:r>
        <w:rPr>
          <w:rFonts w:ascii="Times New Roman" w:hAnsi="Times New Roman"/>
        </w:rPr>
        <w:t xml:space="preserve"> </w:t>
      </w:r>
      <w:r w:rsidRPr="00E60ED5">
        <w:rPr>
          <w:rFonts w:ascii="Times New Roman" w:hAnsi="Times New Roman"/>
        </w:rPr>
        <w:t>2012.</w:t>
      </w:r>
    </w:p>
    <w:p w:rsidR="00CA1300" w:rsidP="00CA1300">
      <w:pPr>
        <w:bidi w:val="0"/>
        <w:jc w:val="both"/>
        <w:rPr>
          <w:rFonts w:ascii="Times New Roman" w:hAnsi="Times New Roman"/>
        </w:rPr>
      </w:pPr>
      <w:r>
        <w:rPr>
          <w:rFonts w:ascii="Times New Roman" w:hAnsi="Times New Roman"/>
        </w:rPr>
        <w:t>Sadzba dane právnickej osoby vo výške 23 % platná od 1. 1. 2013 sa použije prvýkrát za zdaňovacie obdobie, ktoré začne po 31. decembri 2012.</w:t>
      </w:r>
    </w:p>
    <w:p w:rsidR="00CA1300" w:rsidP="00CA1300">
      <w:pPr>
        <w:bidi w:val="0"/>
        <w:jc w:val="both"/>
        <w:rPr>
          <w:rFonts w:ascii="Times New Roman" w:hAnsi="Times New Roman"/>
        </w:rPr>
      </w:pPr>
    </w:p>
    <w:p w:rsidR="00CA1300" w:rsidRPr="00E60ED5" w:rsidP="00CA1300">
      <w:pPr>
        <w:bidi w:val="0"/>
        <w:rPr>
          <w:rFonts w:ascii="Times New Roman" w:hAnsi="Times New Roman"/>
          <w:b/>
        </w:rPr>
      </w:pPr>
      <w:r w:rsidRPr="00E60ED5">
        <w:rPr>
          <w:rFonts w:ascii="Times New Roman" w:hAnsi="Times New Roman"/>
          <w:b/>
        </w:rPr>
        <w:t xml:space="preserve">K bodu </w:t>
      </w:r>
      <w:r w:rsidR="00E20681">
        <w:rPr>
          <w:rFonts w:ascii="Times New Roman" w:hAnsi="Times New Roman"/>
          <w:b/>
        </w:rPr>
        <w:t>2</w:t>
      </w:r>
      <w:r w:rsidR="00CF6B38">
        <w:rPr>
          <w:rFonts w:ascii="Times New Roman" w:hAnsi="Times New Roman"/>
          <w:b/>
        </w:rPr>
        <w:t>5</w:t>
      </w:r>
      <w:r w:rsidRPr="00E60ED5">
        <w:rPr>
          <w:rFonts w:ascii="Times New Roman" w:hAnsi="Times New Roman"/>
          <w:b/>
        </w:rPr>
        <w:t xml:space="preserve">  – príloha č. 2</w:t>
      </w:r>
    </w:p>
    <w:p w:rsidR="00CA1300" w:rsidRPr="00E60ED5" w:rsidP="00CA1300">
      <w:pPr>
        <w:bidi w:val="0"/>
        <w:jc w:val="both"/>
        <w:rPr>
          <w:rFonts w:ascii="Times New Roman" w:hAnsi="Times New Roman"/>
        </w:rPr>
      </w:pPr>
      <w:r w:rsidRPr="00E60ED5">
        <w:rPr>
          <w:rFonts w:ascii="Times New Roman" w:hAnsi="Times New Roman"/>
        </w:rPr>
        <w:t>Dňa 30. novembra 2011 bolo schválené prepracované znenie Smernice Rady 90/435/EHS z 23. júla 1990 o spoločnom systéme zdaňovania uplatňovanom v prípade materských spoločností a dcérskych spoločností v rozličných členských štátoch. Podľa článku 8 prepracovanej smernice členské štáty mali prijať v roku 2012 zákony, iné právne predpisy a správne opatrenia potrebné na dosiahnutie súladu s touto smernicou a bezodkladne o tom informovať Komisiu. Členské štáty uvedú priamo v prijatých ustanoveniach alebo pri ich úradnom uverejnení odkaz na túto smernicu.</w:t>
      </w:r>
      <w:r>
        <w:rPr>
          <w:rFonts w:ascii="Times New Roman" w:hAnsi="Times New Roman"/>
        </w:rPr>
        <w:t xml:space="preserve"> Keďže v prepracovanom znení smernice nedošlo k zásadným zmenám, ktoré by bolo potrebné premietnuť priamo do znenia zákona, z uvede</w:t>
      </w:r>
      <w:r w:rsidRPr="00E60ED5">
        <w:rPr>
          <w:rFonts w:ascii="Times New Roman" w:hAnsi="Times New Roman"/>
        </w:rPr>
        <w:t xml:space="preserve">ného dôvodu je potrebné vykonať </w:t>
      </w:r>
      <w:r>
        <w:rPr>
          <w:rFonts w:ascii="Times New Roman" w:hAnsi="Times New Roman"/>
        </w:rPr>
        <w:t xml:space="preserve">len </w:t>
      </w:r>
      <w:r w:rsidRPr="00E60ED5">
        <w:rPr>
          <w:rFonts w:ascii="Times New Roman" w:hAnsi="Times New Roman"/>
        </w:rPr>
        <w:t>navrhovanú zmenu v prílohe č. 2 zákona o dani z príjmov.</w:t>
      </w:r>
    </w:p>
    <w:p w:rsidR="00CA1300" w:rsidRPr="00E60ED5" w:rsidP="00CA1300">
      <w:pPr>
        <w:bidi w:val="0"/>
        <w:rPr>
          <w:rFonts w:ascii="Times New Roman" w:hAnsi="Times New Roman"/>
          <w:b/>
        </w:rPr>
      </w:pPr>
    </w:p>
    <w:p w:rsidR="00CA1300" w:rsidRPr="007862DC" w:rsidP="00CA1300">
      <w:pPr>
        <w:bidi w:val="0"/>
        <w:rPr>
          <w:rFonts w:ascii="Times New Roman" w:hAnsi="Times New Roman"/>
          <w:b/>
        </w:rPr>
      </w:pPr>
      <w:r w:rsidRPr="007862DC">
        <w:rPr>
          <w:rFonts w:ascii="Times New Roman" w:hAnsi="Times New Roman"/>
          <w:b/>
        </w:rPr>
        <w:t>K Čl. II</w:t>
      </w:r>
    </w:p>
    <w:p w:rsidR="00CA1300" w:rsidP="0025414D">
      <w:pPr>
        <w:pStyle w:val="ListParagraph"/>
        <w:shd w:val="clear" w:color="auto" w:fill="FFFFFF"/>
        <w:bidi w:val="0"/>
        <w:spacing w:after="0" w:line="240" w:lineRule="auto"/>
        <w:ind w:left="0"/>
        <w:jc w:val="both"/>
        <w:rPr>
          <w:rFonts w:ascii="Times New Roman" w:hAnsi="Times New Roman"/>
          <w:sz w:val="24"/>
        </w:rPr>
      </w:pPr>
      <w:r w:rsidRPr="007862DC">
        <w:rPr>
          <w:rFonts w:ascii="Times New Roman" w:hAnsi="Times New Roman"/>
          <w:sz w:val="24"/>
          <w:szCs w:val="24"/>
        </w:rPr>
        <w:t xml:space="preserve">V súvislosti s tým, že v zákone č. 595/2003 Z. z. o dani z príjmov v znení neskorších predpisov sa vkladajú do § 5 ods. 1 písm. j) </w:t>
      </w:r>
      <w:r w:rsidRPr="007862DC">
        <w:rPr>
          <w:rFonts w:ascii="Times New Roman" w:hAnsi="Times New Roman"/>
          <w:sz w:val="24"/>
        </w:rPr>
        <w:t>odmeny za výkon funkcie predsedu, člena a zapisovateľa volebnej komisie,  predsedu, člena a zapisovateľa komisie pre referendum a sčítacieho komisára, tieto príjmy  podľa uvedeného návrhu nebudú od účinnosti zákona patriť do okruhu príjmov zo závislej činnosti, ktoré zakladajú sociálne poistenie, preto nie je dôvod na ponechanie osobitnej úpravy pre členov volebnej komisie v § 4 ods. 2 zákona o sociálnom poistení.</w:t>
      </w:r>
    </w:p>
    <w:p w:rsidR="0025414D" w:rsidP="0025414D">
      <w:pPr>
        <w:pStyle w:val="ListParagraph"/>
        <w:shd w:val="clear" w:color="auto" w:fill="FFFFFF"/>
        <w:bidi w:val="0"/>
        <w:spacing w:after="0" w:line="240" w:lineRule="auto"/>
        <w:ind w:left="0"/>
        <w:jc w:val="both"/>
        <w:rPr>
          <w:rFonts w:ascii="Times New Roman" w:hAnsi="Times New Roman"/>
          <w:sz w:val="24"/>
        </w:rPr>
      </w:pPr>
    </w:p>
    <w:p w:rsidR="00CA1300" w:rsidRPr="007862DC" w:rsidP="0025414D">
      <w:pPr>
        <w:bidi w:val="0"/>
        <w:rPr>
          <w:rFonts w:ascii="Times New Roman" w:hAnsi="Times New Roman"/>
          <w:b/>
        </w:rPr>
      </w:pPr>
      <w:r w:rsidRPr="007862DC">
        <w:rPr>
          <w:rFonts w:ascii="Times New Roman" w:hAnsi="Times New Roman"/>
          <w:b/>
        </w:rPr>
        <w:t>K Čl. III</w:t>
      </w:r>
    </w:p>
    <w:p w:rsidR="00CA1300" w:rsidP="00CA1300">
      <w:pPr>
        <w:pStyle w:val="ListParagraph"/>
        <w:shd w:val="clear" w:color="auto" w:fill="FFFFFF"/>
        <w:bidi w:val="0"/>
        <w:spacing w:line="240" w:lineRule="auto"/>
        <w:ind w:left="0"/>
        <w:jc w:val="both"/>
        <w:rPr>
          <w:rFonts w:ascii="Times New Roman" w:hAnsi="Times New Roman"/>
          <w:sz w:val="24"/>
        </w:rPr>
      </w:pPr>
      <w:r w:rsidRPr="007862DC">
        <w:rPr>
          <w:rFonts w:ascii="Times New Roman" w:hAnsi="Times New Roman"/>
          <w:sz w:val="24"/>
        </w:rPr>
        <w:t>Upravuje sa poznámka pod čiarkou k odkazu 18 v súvislosti s úpravou § 5 ods. 1 zákona č. 595/2003 Z. z. o dani z príjmov v znení neskorších predpisov, v ktorom sa špecifikujú niektoré druhy príjmov zo závislej činnosti v samostatných písmenách j) a k), ktoré je potrebné zahrnúť do príjmov zo závislej činnosti, z ktorých sa platí poistné na verejné zdravotné poistenie.</w:t>
      </w:r>
    </w:p>
    <w:p w:rsidR="00CA1300" w:rsidRPr="007862DC" w:rsidP="00CA1300">
      <w:pPr>
        <w:bidi w:val="0"/>
        <w:rPr>
          <w:rFonts w:ascii="Times New Roman" w:hAnsi="Times New Roman"/>
          <w:b/>
        </w:rPr>
      </w:pPr>
      <w:r w:rsidRPr="007862DC">
        <w:rPr>
          <w:rFonts w:ascii="Times New Roman" w:hAnsi="Times New Roman"/>
          <w:b/>
        </w:rPr>
        <w:t>K Čl. IV</w:t>
      </w:r>
    </w:p>
    <w:p w:rsidR="00CA1300" w:rsidRPr="00E60ED5" w:rsidP="00CA1300">
      <w:pPr>
        <w:pStyle w:val="BodyText2"/>
        <w:bidi w:val="0"/>
        <w:spacing w:after="0" w:line="240" w:lineRule="auto"/>
        <w:jc w:val="both"/>
        <w:rPr>
          <w:rFonts w:ascii="Times New Roman" w:hAnsi="Times New Roman"/>
        </w:rPr>
      </w:pPr>
      <w:r w:rsidRPr="00E60ED5">
        <w:rPr>
          <w:rFonts w:ascii="Times New Roman" w:hAnsi="Times New Roman"/>
        </w:rPr>
        <w:t xml:space="preserve">Tento zákon nadobúda účinnosť 1. januára 2013.  </w:t>
      </w:r>
    </w:p>
    <w:p w:rsidR="00CA1300" w:rsidRPr="00E60ED5" w:rsidP="00CA1300">
      <w:pPr>
        <w:bidi w:val="0"/>
        <w:rPr>
          <w:rFonts w:ascii="Times New Roman" w:hAnsi="Times New Roman"/>
          <w:b/>
        </w:rPr>
      </w:pPr>
    </w:p>
    <w:p w:rsidR="0025414D" w:rsidP="0025414D">
      <w:pPr>
        <w:bidi w:val="0"/>
        <w:rPr>
          <w:rFonts w:ascii="Times New Roman" w:hAnsi="Times New Roman"/>
        </w:rPr>
      </w:pPr>
      <w:r w:rsidRPr="00C22376">
        <w:rPr>
          <w:rFonts w:ascii="Times New Roman" w:hAnsi="Times New Roman"/>
        </w:rPr>
        <w:t xml:space="preserve">Schválené uznesením vlády Slovenskej republiky dňa </w:t>
      </w:r>
      <w:r>
        <w:rPr>
          <w:rFonts w:ascii="Times New Roman" w:hAnsi="Times New Roman"/>
        </w:rPr>
        <w:t>28</w:t>
      </w:r>
      <w:r w:rsidRPr="00C22376">
        <w:rPr>
          <w:rFonts w:ascii="Times New Roman" w:hAnsi="Times New Roman"/>
        </w:rPr>
        <w:t xml:space="preserve">. </w:t>
      </w:r>
      <w:r>
        <w:rPr>
          <w:rFonts w:ascii="Times New Roman" w:hAnsi="Times New Roman"/>
        </w:rPr>
        <w:t>septembra 2012</w:t>
      </w:r>
      <w:r w:rsidRPr="00C22376">
        <w:rPr>
          <w:rFonts w:ascii="Times New Roman" w:hAnsi="Times New Roman"/>
        </w:rPr>
        <w:t>.</w:t>
      </w:r>
    </w:p>
    <w:p w:rsidR="0025414D" w:rsidP="0025414D">
      <w:pPr>
        <w:bidi w:val="0"/>
        <w:rPr>
          <w:rFonts w:ascii="Times New Roman" w:hAnsi="Times New Roman"/>
        </w:rPr>
      </w:pPr>
    </w:p>
    <w:p w:rsidR="0025414D" w:rsidP="0025414D">
      <w:pPr>
        <w:bidi w:val="0"/>
        <w:rPr>
          <w:rFonts w:ascii="Times New Roman" w:hAnsi="Times New Roman"/>
        </w:rPr>
      </w:pPr>
    </w:p>
    <w:p w:rsidR="0025414D" w:rsidP="0025414D">
      <w:pPr>
        <w:bidi w:val="0"/>
        <w:rPr>
          <w:rFonts w:ascii="Times New Roman" w:hAnsi="Times New Roman"/>
        </w:rPr>
      </w:pPr>
    </w:p>
    <w:p w:rsidR="0025414D" w:rsidP="0025414D">
      <w:pPr>
        <w:bidi w:val="0"/>
        <w:rPr>
          <w:rFonts w:ascii="Times New Roman" w:hAnsi="Times New Roman"/>
        </w:rPr>
      </w:pPr>
    </w:p>
    <w:p w:rsidR="0025414D" w:rsidP="0025414D">
      <w:pPr>
        <w:pStyle w:val="Heading3"/>
        <w:bidi w:val="0"/>
        <w:spacing w:before="0" w:after="0"/>
        <w:jc w:val="center"/>
        <w:rPr>
          <w:rFonts w:ascii="Times New Roman" w:hAnsi="Times New Roman"/>
          <w:bCs w:val="0"/>
          <w:sz w:val="24"/>
        </w:rPr>
      </w:pPr>
      <w:r>
        <w:rPr>
          <w:rFonts w:ascii="Times New Roman" w:hAnsi="Times New Roman"/>
          <w:bCs w:val="0"/>
          <w:sz w:val="24"/>
        </w:rPr>
        <w:t>Robert Fico</w:t>
      </w:r>
      <w:r w:rsidR="00A35951">
        <w:rPr>
          <w:rFonts w:ascii="Times New Roman" w:hAnsi="Times New Roman"/>
          <w:bCs w:val="0"/>
          <w:sz w:val="24"/>
        </w:rPr>
        <w:t>, v.r.</w:t>
      </w:r>
    </w:p>
    <w:p w:rsidR="0025414D" w:rsidRPr="0025414D" w:rsidP="0025414D">
      <w:pPr>
        <w:bidi w:val="0"/>
        <w:rPr>
          <w:rFonts w:ascii="Times New Roman" w:hAnsi="Times New Roman"/>
        </w:rPr>
      </w:pPr>
    </w:p>
    <w:p w:rsidR="0025414D" w:rsidP="0025414D">
      <w:pPr>
        <w:bidi w:val="0"/>
        <w:jc w:val="center"/>
        <w:rPr>
          <w:rFonts w:ascii="Times New Roman" w:hAnsi="Times New Roman"/>
        </w:rPr>
      </w:pPr>
      <w:r>
        <w:rPr>
          <w:rFonts w:ascii="Times New Roman" w:hAnsi="Times New Roman"/>
        </w:rPr>
        <w:t>predseda vlády Slovenskej republiky</w:t>
      </w:r>
    </w:p>
    <w:p w:rsidR="0025414D" w:rsidP="0025414D">
      <w:pPr>
        <w:bidi w:val="0"/>
        <w:rPr>
          <w:rFonts w:ascii="Times New Roman" w:hAnsi="Times New Roman"/>
        </w:rPr>
      </w:pPr>
    </w:p>
    <w:p w:rsidR="0025414D" w:rsidP="0025414D">
      <w:pPr>
        <w:bidi w:val="0"/>
        <w:rPr>
          <w:rFonts w:ascii="Times New Roman" w:hAnsi="Times New Roman"/>
        </w:rPr>
      </w:pPr>
    </w:p>
    <w:p w:rsidR="0025414D" w:rsidP="0025414D">
      <w:pPr>
        <w:bidi w:val="0"/>
        <w:rPr>
          <w:rFonts w:ascii="Times New Roman" w:hAnsi="Times New Roman"/>
        </w:rPr>
      </w:pPr>
    </w:p>
    <w:p w:rsidR="0025414D" w:rsidP="0025414D">
      <w:pPr>
        <w:bidi w:val="0"/>
        <w:rPr>
          <w:rFonts w:ascii="Times New Roman" w:hAnsi="Times New Roman"/>
        </w:rPr>
      </w:pPr>
    </w:p>
    <w:p w:rsidR="0025414D" w:rsidP="0025414D">
      <w:pPr>
        <w:bidi w:val="0"/>
        <w:rPr>
          <w:rFonts w:ascii="Times New Roman" w:hAnsi="Times New Roman"/>
        </w:rPr>
      </w:pPr>
    </w:p>
    <w:p w:rsidR="0025414D" w:rsidP="0025414D">
      <w:pPr>
        <w:pStyle w:val="Heading1"/>
        <w:bidi w:val="0"/>
        <w:rPr>
          <w:sz w:val="24"/>
        </w:rPr>
      </w:pPr>
      <w:r>
        <w:rPr>
          <w:sz w:val="24"/>
        </w:rPr>
        <w:t>Peter Kažimír</w:t>
      </w:r>
      <w:r w:rsidR="00A35951">
        <w:rPr>
          <w:sz w:val="24"/>
        </w:rPr>
        <w:t>, v.r.</w:t>
      </w:r>
    </w:p>
    <w:p w:rsidR="0025414D" w:rsidRPr="0025414D" w:rsidP="0025414D">
      <w:pPr>
        <w:bidi w:val="0"/>
        <w:rPr>
          <w:rFonts w:ascii="Times New Roman" w:hAnsi="Times New Roman"/>
        </w:rPr>
      </w:pPr>
    </w:p>
    <w:p w:rsidR="0025414D" w:rsidP="0025414D">
      <w:pPr>
        <w:bidi w:val="0"/>
        <w:jc w:val="center"/>
        <w:rPr>
          <w:rFonts w:ascii="Times New Roman" w:hAnsi="Times New Roman"/>
        </w:rPr>
      </w:pPr>
      <w:r>
        <w:rPr>
          <w:rFonts w:ascii="Times New Roman" w:hAnsi="Times New Roman"/>
        </w:rPr>
        <w:t xml:space="preserve">podpredseda vlády a minister financií </w:t>
      </w:r>
    </w:p>
    <w:p w:rsidR="0025414D" w:rsidP="0025414D">
      <w:pPr>
        <w:bidi w:val="0"/>
        <w:jc w:val="center"/>
        <w:rPr>
          <w:rFonts w:ascii="Times New Roman" w:hAnsi="Times New Roman"/>
        </w:rPr>
      </w:pPr>
      <w:r>
        <w:rPr>
          <w:rFonts w:ascii="Times New Roman" w:hAnsi="Times New Roman"/>
        </w:rPr>
        <w:t>Slovenskej republiky</w:t>
      </w:r>
    </w:p>
    <w:p w:rsidR="0025414D" w:rsidRPr="00F950BC" w:rsidP="0025414D">
      <w:pPr>
        <w:bidi w:val="0"/>
        <w:rPr>
          <w:rFonts w:ascii="Times New Roman" w:hAnsi="Times New Roman"/>
          <w:b/>
        </w:rPr>
      </w:pPr>
    </w:p>
    <w:p w:rsidR="00CA1300">
      <w:pPr>
        <w:bidi w:val="0"/>
        <w:rPr>
          <w:rFonts w:ascii="Times New Roman" w:hAnsi="Times New Roman"/>
        </w:rPr>
      </w:pPr>
    </w:p>
    <w:sectPr w:rsidSect="00D3362A">
      <w:footerReference w:type="default" r:id="rId4"/>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Verdana">
    <w:panose1 w:val="020B060403050404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951">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70C96">
      <w:rPr>
        <w:rFonts w:ascii="Times New Roman" w:hAnsi="Times New Roman"/>
        <w:noProof/>
      </w:rPr>
      <w:t>34</w:t>
    </w:r>
    <w:r>
      <w:rPr>
        <w:rFonts w:ascii="Times New Roman" w:hAnsi="Times New Roman"/>
      </w:rPr>
      <w:fldChar w:fldCharType="end"/>
    </w:r>
  </w:p>
  <w:p w:rsidR="00A35951">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v:imagedata r:id="rId1" o:title=""/>
      </v:shape>
    </w:pict>
  </w:numPicBullet>
  <w:numPicBullet w:numPicBulletId="1">
    <w:pict>
      <v:shape id="_x0000_i1026" type="#_x0000_t75" style="width:3in;height:3in" o:bullet="t" stroked="f">
        <v:imagedata r:id="rId2" o:title=""/>
      </v:shape>
    </w:pict>
  </w:numPicBullet>
  <w:abstractNum w:abstractNumId="0">
    <w:nsid w:val="01A40FCF"/>
    <w:multiLevelType w:val="hybridMultilevel"/>
    <w:tmpl w:val="78608D7E"/>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
    <w:nsid w:val="027F7616"/>
    <w:multiLevelType w:val="hybridMultilevel"/>
    <w:tmpl w:val="F184DAFC"/>
    <w:lvl w:ilvl="0">
      <w:start w:val="1"/>
      <w:numFmt w:val="bullet"/>
      <w:lvlText w:val=""/>
      <w:lvlJc w:val="left"/>
      <w:pPr>
        <w:ind w:left="764" w:hanging="360"/>
      </w:pPr>
      <w:rPr>
        <w:rFonts w:ascii="Symbol" w:hAnsi="Symbol" w:hint="default"/>
      </w:rPr>
    </w:lvl>
    <w:lvl w:ilvl="1">
      <w:start w:val="1"/>
      <w:numFmt w:val="bullet"/>
      <w:lvlText w:val="o"/>
      <w:lvlJc w:val="left"/>
      <w:pPr>
        <w:ind w:left="1484" w:hanging="360"/>
      </w:pPr>
      <w:rPr>
        <w:rFonts w:ascii="Courier New" w:hAnsi="Courier New" w:hint="default"/>
      </w:rPr>
    </w:lvl>
    <w:lvl w:ilvl="2">
      <w:start w:val="1"/>
      <w:numFmt w:val="bullet"/>
      <w:lvlText w:val=""/>
      <w:lvlJc w:val="left"/>
      <w:pPr>
        <w:ind w:left="2204" w:hanging="360"/>
      </w:pPr>
      <w:rPr>
        <w:rFonts w:ascii="Wingdings" w:hAnsi="Wingdings" w:hint="default"/>
      </w:rPr>
    </w:lvl>
    <w:lvl w:ilvl="3">
      <w:start w:val="1"/>
      <w:numFmt w:val="bullet"/>
      <w:lvlText w:val=""/>
      <w:lvlJc w:val="left"/>
      <w:pPr>
        <w:ind w:left="2924" w:hanging="360"/>
      </w:pPr>
      <w:rPr>
        <w:rFonts w:ascii="Symbol" w:hAnsi="Symbol" w:hint="default"/>
      </w:rPr>
    </w:lvl>
    <w:lvl w:ilvl="4">
      <w:start w:val="1"/>
      <w:numFmt w:val="bullet"/>
      <w:lvlText w:val="o"/>
      <w:lvlJc w:val="left"/>
      <w:pPr>
        <w:ind w:left="3644" w:hanging="360"/>
      </w:pPr>
      <w:rPr>
        <w:rFonts w:ascii="Courier New" w:hAnsi="Courier New" w:hint="default"/>
      </w:rPr>
    </w:lvl>
    <w:lvl w:ilvl="5">
      <w:start w:val="1"/>
      <w:numFmt w:val="bullet"/>
      <w:lvlText w:val=""/>
      <w:lvlJc w:val="left"/>
      <w:pPr>
        <w:ind w:left="4364" w:hanging="360"/>
      </w:pPr>
      <w:rPr>
        <w:rFonts w:ascii="Wingdings" w:hAnsi="Wingdings" w:hint="default"/>
      </w:rPr>
    </w:lvl>
    <w:lvl w:ilvl="6">
      <w:start w:val="1"/>
      <w:numFmt w:val="bullet"/>
      <w:lvlText w:val=""/>
      <w:lvlJc w:val="left"/>
      <w:pPr>
        <w:ind w:left="5084" w:hanging="360"/>
      </w:pPr>
      <w:rPr>
        <w:rFonts w:ascii="Symbol" w:hAnsi="Symbol" w:hint="default"/>
      </w:rPr>
    </w:lvl>
    <w:lvl w:ilvl="7">
      <w:start w:val="1"/>
      <w:numFmt w:val="bullet"/>
      <w:lvlText w:val="o"/>
      <w:lvlJc w:val="left"/>
      <w:pPr>
        <w:ind w:left="5804" w:hanging="360"/>
      </w:pPr>
      <w:rPr>
        <w:rFonts w:ascii="Courier New" w:hAnsi="Courier New" w:hint="default"/>
      </w:rPr>
    </w:lvl>
    <w:lvl w:ilvl="8">
      <w:start w:val="1"/>
      <w:numFmt w:val="bullet"/>
      <w:lvlText w:val=""/>
      <w:lvlJc w:val="left"/>
      <w:pPr>
        <w:ind w:left="6524" w:hanging="360"/>
      </w:pPr>
      <w:rPr>
        <w:rFonts w:ascii="Wingdings" w:hAnsi="Wingdings" w:hint="default"/>
      </w:rPr>
    </w:lvl>
  </w:abstractNum>
  <w:abstractNum w:abstractNumId="2">
    <w:nsid w:val="10DF6A71"/>
    <w:multiLevelType w:val="hybridMultilevel"/>
    <w:tmpl w:val="DC66DA34"/>
    <w:lvl w:ilvl="0">
      <w:start w:val="1"/>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3A83C25"/>
    <w:multiLevelType w:val="hybridMultilevel"/>
    <w:tmpl w:val="A32A2824"/>
    <w:lvl w:ilvl="0">
      <w:start w:val="1"/>
      <w:numFmt w:val="bullet"/>
      <w:lvlText w:val=""/>
      <w:lvlJc w:val="left"/>
      <w:pPr>
        <w:ind w:left="405" w:hanging="360"/>
      </w:pPr>
      <w:rPr>
        <w:rFonts w:ascii="Symbol" w:hAnsi="Symbol" w:hint="default"/>
      </w:rPr>
    </w:lvl>
    <w:lvl w:ilvl="1">
      <w:start w:val="1"/>
      <w:numFmt w:val="bullet"/>
      <w:lvlText w:val="o"/>
      <w:lvlJc w:val="left"/>
      <w:pPr>
        <w:ind w:left="1125" w:hanging="360"/>
      </w:pPr>
      <w:rPr>
        <w:rFonts w:ascii="Courier New" w:hAnsi="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hint="default"/>
      </w:rPr>
    </w:lvl>
    <w:lvl w:ilvl="8">
      <w:start w:val="1"/>
      <w:numFmt w:val="bullet"/>
      <w:lvlText w:val=""/>
      <w:lvlJc w:val="left"/>
      <w:pPr>
        <w:ind w:left="6165" w:hanging="360"/>
      </w:pPr>
      <w:rPr>
        <w:rFonts w:ascii="Wingdings" w:hAnsi="Wingdings" w:hint="default"/>
      </w:rPr>
    </w:lvl>
  </w:abstractNum>
  <w:abstractNum w:abstractNumId="4">
    <w:nsid w:val="186D4C49"/>
    <w:multiLevelType w:val="hybridMultilevel"/>
    <w:tmpl w:val="8658866E"/>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5">
    <w:nsid w:val="3F850B32"/>
    <w:multiLevelType w:val="hybridMultilevel"/>
    <w:tmpl w:val="586A431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6">
    <w:nsid w:val="44437644"/>
    <w:multiLevelType w:val="hybridMultilevel"/>
    <w:tmpl w:val="B4BC25C6"/>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nsid w:val="4A0C7ED4"/>
    <w:multiLevelType w:val="hybridMultilevel"/>
    <w:tmpl w:val="7F88049A"/>
    <w:lvl w:ilvl="0">
      <w:start w:val="1"/>
      <w:numFmt w:val="bullet"/>
      <w:pStyle w:val="Action"/>
      <w:lvlText w:val=""/>
      <w:lvlJc w:val="left"/>
      <w:pPr>
        <w:tabs>
          <w:tab w:val="num" w:pos="1211"/>
        </w:tabs>
        <w:ind w:left="1211" w:hanging="360"/>
      </w:pPr>
      <w:rPr>
        <w:rFonts w:ascii="Symbol" w:hAnsi="Symbol"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8">
    <w:nsid w:val="4F4D70F9"/>
    <w:multiLevelType w:val="hybridMultilevel"/>
    <w:tmpl w:val="C2D4D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ADE45D2"/>
    <w:multiLevelType w:val="hybridMultilevel"/>
    <w:tmpl w:val="B0789A54"/>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11">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EC612B4"/>
    <w:multiLevelType w:val="hybridMultilevel"/>
    <w:tmpl w:val="62ACBE8A"/>
    <w:lvl w:ilvl="0">
      <w:start w:val="1"/>
      <w:numFmt w:val="decimal"/>
      <w:lvlText w:val="%1."/>
      <w:lvlJc w:val="left"/>
      <w:pPr>
        <w:ind w:left="786" w:hanging="360"/>
      </w:pPr>
      <w:rPr>
        <w:rFonts w:cs="Arial Narrow"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3">
    <w:nsid w:val="607E07D0"/>
    <w:multiLevelType w:val="hybridMultilevel"/>
    <w:tmpl w:val="7E5635B4"/>
    <w:lvl w:ilvl="0">
      <w:start w:val="1"/>
      <w:numFmt w:val="upperLetter"/>
      <w:lvlText w:val="%1."/>
      <w:lvlJc w:val="left"/>
      <w:pPr>
        <w:ind w:left="720" w:hanging="360"/>
      </w:pPr>
      <w:rPr>
        <w:rFonts w:ascii="Arial" w:eastAsia="Times New Roman" w:hAnsi="Arial" w:cs="Arial"/>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3587D9C"/>
    <w:multiLevelType w:val="hybridMultilevel"/>
    <w:tmpl w:val="E278BF6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63DC34B7"/>
    <w:multiLevelType w:val="hybridMultilevel"/>
    <w:tmpl w:val="2C80850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6">
    <w:nsid w:val="67381AF0"/>
    <w:multiLevelType w:val="hybridMultilevel"/>
    <w:tmpl w:val="545C9D60"/>
    <w:lvl w:ilvl="0">
      <w:start w:val="6"/>
      <w:numFmt w:val="bullet"/>
      <w:lvlText w:val="-"/>
      <w:lvlJc w:val="left"/>
      <w:pPr>
        <w:tabs>
          <w:tab w:val="num" w:pos="900"/>
        </w:tabs>
        <w:ind w:left="900" w:hanging="39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2654E1F"/>
    <w:multiLevelType w:val="multilevel"/>
    <w:tmpl w:val="6E728302"/>
    <w:lvl w:ilvl="0">
      <w:start w:val="6"/>
      <w:numFmt w:val="bullet"/>
      <w:lvlText w:val="-"/>
      <w:lvlJc w:val="left"/>
      <w:pPr>
        <w:tabs>
          <w:tab w:val="num" w:pos="360"/>
        </w:tabs>
        <w:ind w:left="360" w:hanging="360"/>
      </w:pPr>
      <w:rPr>
        <w:rFonts w:ascii="Times New Roman" w:eastAsia="Times New Roman" w:hAnsi="Times New Roman" w:hint="default"/>
        <w:sz w:val="20"/>
      </w:rPr>
    </w:lvl>
    <w:lvl w:ilvl="1">
      <w:start w:val="1"/>
      <w:numFmt w:val="bullet"/>
      <w:lvlText w:val="o"/>
      <w:lvlPicBulletId w:val="0"/>
      <w:lvlJc w:val="left"/>
      <w:pPr>
        <w:tabs>
          <w:tab w:val="num" w:pos="1080"/>
        </w:tabs>
        <w:ind w:left="1080" w:hanging="360"/>
      </w:pPr>
      <w:rPr>
        <w:rFonts w:ascii="Courier New" w:hAnsi="Courier New" w:hint="default"/>
        <w:sz w:val="20"/>
      </w:rPr>
    </w:lvl>
    <w:lvl w:ilvl="2">
      <w:start w:val="1"/>
      <w:numFmt w:val="bullet"/>
      <w:lvlText w:val=""/>
      <w:lvlPicBulletId w:val="1"/>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nsid w:val="757C7713"/>
    <w:multiLevelType w:val="hybridMultilevel"/>
    <w:tmpl w:val="DF683C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6F911FB"/>
    <w:multiLevelType w:val="hybridMultilevel"/>
    <w:tmpl w:val="E278BF6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D3D6C67"/>
    <w:multiLevelType w:val="hybridMultilevel"/>
    <w:tmpl w:val="667ACDC6"/>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3"/>
  </w:num>
  <w:num w:numId="4">
    <w:abstractNumId w:val="10"/>
  </w:num>
  <w:num w:numId="5">
    <w:abstractNumId w:val="16"/>
    <w:lvlOverride w:ilvl="0"/>
    <w:lvlOverride w:ilvl="1"/>
    <w:lvlOverride w:ilvl="2"/>
    <w:lvlOverride w:ilvl="3"/>
    <w:lvlOverride w:ilvl="4"/>
    <w:lvlOverride w:ilvl="5"/>
    <w:lvlOverride w:ilvl="6"/>
    <w:lvlOverride w:ilvl="7"/>
    <w:lvlOverride w:ilvl="8"/>
  </w:num>
  <w:num w:numId="6">
    <w:abstractNumId w:val="9"/>
    <w:lvlOverride w:ilvl="0"/>
    <w:lvlOverride w:ilvl="1"/>
    <w:lvlOverride w:ilvl="2"/>
    <w:lvlOverride w:ilvl="3"/>
    <w:lvlOverride w:ilvl="4"/>
    <w:lvlOverride w:ilvl="5"/>
    <w:lvlOverride w:ilvl="6"/>
    <w:lvlOverride w:ilvl="7"/>
    <w:lvlOverride w:ilvl="8"/>
  </w:num>
  <w:num w:numId="7">
    <w:abstractNumId w:val="15"/>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 w:numId="11">
    <w:abstractNumId w:val="4"/>
    <w:lvlOverride w:ilvl="0"/>
    <w:lvlOverride w:ilvl="1"/>
    <w:lvlOverride w:ilvl="2"/>
    <w:lvlOverride w:ilvl="3"/>
    <w:lvlOverride w:ilvl="4"/>
    <w:lvlOverride w:ilvl="5"/>
    <w:lvlOverride w:ilvl="6"/>
    <w:lvlOverride w:ilvl="7"/>
    <w:lvlOverride w:ilvl="8"/>
  </w:num>
  <w:num w:numId="12">
    <w:abstractNumId w:val="11"/>
  </w:num>
  <w:num w:numId="13">
    <w:abstractNumId w:val="17"/>
  </w:num>
  <w:num w:numId="14">
    <w:abstractNumId w:val="12"/>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7"/>
  </w:num>
  <w:num w:numId="18">
    <w:abstractNumId w:val="13"/>
  </w:num>
  <w:num w:numId="19">
    <w:abstractNumId w:val="1"/>
  </w:num>
  <w:num w:numId="20">
    <w:abstractNumId w:val="14"/>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20"/>
  <w:displayHorizontalDrawingGridEvery w:val="2"/>
  <w:displayVerticalDrawingGridEvery w:val="2"/>
  <w:characterSpacingControl w:val="doNotCompress"/>
  <w:compat>
    <w:doNotUseIndentAsNumberingTabStop/>
    <w:allowSpaceOfSameStyleInTable/>
    <w:splitPgBreakAndParaMark/>
    <w:useAnsiKerningPairs/>
  </w:compat>
  <w:rsids>
    <w:rsidRoot w:val="00E644DF"/>
    <w:rsid w:val="0002201A"/>
    <w:rsid w:val="000E3BC6"/>
    <w:rsid w:val="00112055"/>
    <w:rsid w:val="00112C40"/>
    <w:rsid w:val="001301F3"/>
    <w:rsid w:val="001329F4"/>
    <w:rsid w:val="00177E75"/>
    <w:rsid w:val="001C2B3B"/>
    <w:rsid w:val="00207C1A"/>
    <w:rsid w:val="002334D1"/>
    <w:rsid w:val="0024166E"/>
    <w:rsid w:val="0025414D"/>
    <w:rsid w:val="00277A69"/>
    <w:rsid w:val="002971B2"/>
    <w:rsid w:val="002A0DDB"/>
    <w:rsid w:val="002A4E6D"/>
    <w:rsid w:val="002C6113"/>
    <w:rsid w:val="002D488F"/>
    <w:rsid w:val="00323053"/>
    <w:rsid w:val="00383D57"/>
    <w:rsid w:val="00393D31"/>
    <w:rsid w:val="003B5C1A"/>
    <w:rsid w:val="004545E5"/>
    <w:rsid w:val="0047032D"/>
    <w:rsid w:val="00490816"/>
    <w:rsid w:val="00495317"/>
    <w:rsid w:val="0049728D"/>
    <w:rsid w:val="0049774D"/>
    <w:rsid w:val="00497C87"/>
    <w:rsid w:val="004E71D6"/>
    <w:rsid w:val="00513729"/>
    <w:rsid w:val="005231B1"/>
    <w:rsid w:val="005E182D"/>
    <w:rsid w:val="00604D31"/>
    <w:rsid w:val="00651949"/>
    <w:rsid w:val="006C17D9"/>
    <w:rsid w:val="006C4102"/>
    <w:rsid w:val="006D18E5"/>
    <w:rsid w:val="007862DC"/>
    <w:rsid w:val="007D0941"/>
    <w:rsid w:val="00842526"/>
    <w:rsid w:val="008A66DF"/>
    <w:rsid w:val="008B68F9"/>
    <w:rsid w:val="00904741"/>
    <w:rsid w:val="00944548"/>
    <w:rsid w:val="00946E69"/>
    <w:rsid w:val="00972277"/>
    <w:rsid w:val="00980D5A"/>
    <w:rsid w:val="00982354"/>
    <w:rsid w:val="00986C44"/>
    <w:rsid w:val="009C01AF"/>
    <w:rsid w:val="009E4553"/>
    <w:rsid w:val="00A333DB"/>
    <w:rsid w:val="00A35951"/>
    <w:rsid w:val="00A8025E"/>
    <w:rsid w:val="00AE57C4"/>
    <w:rsid w:val="00AF25A9"/>
    <w:rsid w:val="00B322CC"/>
    <w:rsid w:val="00B364C3"/>
    <w:rsid w:val="00B43540"/>
    <w:rsid w:val="00B47582"/>
    <w:rsid w:val="00BC7B44"/>
    <w:rsid w:val="00BE72D1"/>
    <w:rsid w:val="00C22376"/>
    <w:rsid w:val="00C70C96"/>
    <w:rsid w:val="00CA1300"/>
    <w:rsid w:val="00CA6390"/>
    <w:rsid w:val="00CC1335"/>
    <w:rsid w:val="00CF6B38"/>
    <w:rsid w:val="00D203E0"/>
    <w:rsid w:val="00D3362A"/>
    <w:rsid w:val="00D7157D"/>
    <w:rsid w:val="00D90C4A"/>
    <w:rsid w:val="00DE3E93"/>
    <w:rsid w:val="00E20681"/>
    <w:rsid w:val="00E60ED5"/>
    <w:rsid w:val="00E644DF"/>
    <w:rsid w:val="00EA2339"/>
    <w:rsid w:val="00EB5033"/>
    <w:rsid w:val="00F57B36"/>
    <w:rsid w:val="00F6324F"/>
    <w:rsid w:val="00F756C2"/>
    <w:rsid w:val="00F950BC"/>
    <w:rsid w:val="00FB45E2"/>
    <w:rsid w:val="00FE1481"/>
    <w:rsid w:val="00FE734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Calibri" w:hAnsi="Arial Narro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4D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CA1300"/>
    <w:pPr>
      <w:keepNext/>
      <w:autoSpaceDE w:val="0"/>
      <w:autoSpaceDN w:val="0"/>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EA2339"/>
    <w:pPr>
      <w:keepNext/>
      <w:keepLines/>
      <w:widowControl w:val="0"/>
      <w:adjustRightInd w:val="0"/>
      <w:spacing w:before="200"/>
      <w:jc w:val="left"/>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25414D"/>
    <w:pPr>
      <w:keepNext/>
      <w:spacing w:before="240" w:after="60"/>
      <w:jc w:val="left"/>
      <w:outlineLvl w:val="2"/>
    </w:pPr>
    <w:rPr>
      <w:rFonts w:ascii="Cambria" w:hAnsi="Cambria"/>
      <w:b/>
      <w:bCs/>
      <w:sz w:val="26"/>
      <w:szCs w:val="26"/>
    </w:rPr>
  </w:style>
  <w:style w:type="paragraph" w:styleId="Heading4">
    <w:name w:val="heading 4"/>
    <w:basedOn w:val="Normal"/>
    <w:next w:val="Normal"/>
    <w:link w:val="Heading4Char"/>
    <w:uiPriority w:val="99"/>
    <w:qFormat/>
    <w:rsid w:val="00CA1300"/>
    <w:pPr>
      <w:keepNext/>
      <w:autoSpaceDE w:val="0"/>
      <w:autoSpaceDN w:val="0"/>
      <w:jc w:val="center"/>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sid w:val="00CA1300"/>
    <w:rPr>
      <w:rFonts w:ascii="Cambria" w:hAnsi="Cambria" w:cs="Times New Roman"/>
      <w:b/>
      <w:bCs/>
      <w:kern w:val="32"/>
      <w:sz w:val="32"/>
      <w:szCs w:val="32"/>
      <w:rtl w:val="0"/>
      <w:cs w:val="0"/>
    </w:rPr>
  </w:style>
  <w:style w:type="character" w:customStyle="1" w:styleId="Heading2Char">
    <w:name w:val="Heading 2 Char"/>
    <w:basedOn w:val="DefaultParagraphFont"/>
    <w:link w:val="Heading2"/>
    <w:uiPriority w:val="99"/>
    <w:locked/>
    <w:rsid w:val="00EA2339"/>
    <w:rPr>
      <w:rFonts w:ascii="Cambria" w:hAnsi="Cambria" w:cs="Times New Roman"/>
      <w:b/>
      <w:bCs/>
      <w:color w:val="4F81BD"/>
      <w:sz w:val="26"/>
      <w:szCs w:val="26"/>
      <w:rtl w:val="0"/>
      <w:cs w:val="0"/>
    </w:rPr>
  </w:style>
  <w:style w:type="character" w:customStyle="1" w:styleId="Heading3Char">
    <w:name w:val="Heading 3 Char"/>
    <w:basedOn w:val="DefaultParagraphFont"/>
    <w:link w:val="Heading3"/>
    <w:uiPriority w:val="9"/>
    <w:semiHidden/>
    <w:locked/>
    <w:rsid w:val="0025414D"/>
    <w:rPr>
      <w:rFonts w:ascii="Cambria" w:hAnsi="Cambria" w:cs="Times New Roman"/>
      <w:b/>
      <w:bCs/>
      <w:sz w:val="26"/>
      <w:szCs w:val="26"/>
      <w:rtl w:val="0"/>
      <w:cs w:val="0"/>
    </w:rPr>
  </w:style>
  <w:style w:type="character" w:customStyle="1" w:styleId="Heading4Char">
    <w:name w:val="Heading 4 Char"/>
    <w:basedOn w:val="DefaultParagraphFont"/>
    <w:link w:val="Heading4"/>
    <w:uiPriority w:val="99"/>
    <w:locked/>
    <w:rsid w:val="00CA1300"/>
    <w:rPr>
      <w:rFonts w:ascii="Calibri" w:hAnsi="Calibri" w:cs="Times New Roman"/>
      <w:b/>
      <w:bCs/>
      <w:sz w:val="28"/>
      <w:szCs w:val="28"/>
      <w:rtl w:val="0"/>
      <w:cs w:val="0"/>
    </w:rPr>
  </w:style>
  <w:style w:type="character" w:styleId="PlaceholderText">
    <w:name w:val="Placeholder Text"/>
    <w:basedOn w:val="DefaultParagraphFont"/>
    <w:uiPriority w:val="99"/>
    <w:semiHidden/>
    <w:rsid w:val="00E644DF"/>
    <w:rPr>
      <w:rFonts w:ascii="Times New Roman" w:hAnsi="Times New Roman" w:cs="Times New Roman"/>
      <w:color w:val="808080"/>
      <w:rtl w:val="0"/>
      <w:cs w:val="0"/>
    </w:rPr>
  </w:style>
  <w:style w:type="paragraph" w:styleId="BodyTextIndent">
    <w:name w:val="Body Text Indent"/>
    <w:basedOn w:val="Normal"/>
    <w:link w:val="BodyTextIndentChar"/>
    <w:uiPriority w:val="99"/>
    <w:unhideWhenUsed/>
    <w:rsid w:val="00E644DF"/>
    <w:pPr>
      <w:spacing w:after="120"/>
      <w:ind w:left="283"/>
      <w:jc w:val="left"/>
    </w:pPr>
  </w:style>
  <w:style w:type="character" w:customStyle="1" w:styleId="BodyTextIndentChar">
    <w:name w:val="Body Text Indent Char"/>
    <w:basedOn w:val="DefaultParagraphFont"/>
    <w:link w:val="BodyTextIndent"/>
    <w:uiPriority w:val="99"/>
    <w:semiHidden/>
    <w:locked/>
    <w:rsid w:val="00E644DF"/>
    <w:rPr>
      <w:rFonts w:ascii="Times New Roman" w:hAnsi="Times New Roman" w:cs="Times New Roman"/>
      <w:sz w:val="24"/>
      <w:szCs w:val="24"/>
      <w:rtl w:val="0"/>
      <w:cs w:val="0"/>
      <w:lang w:val="x-none" w:eastAsia="sk-SK"/>
    </w:rPr>
  </w:style>
  <w:style w:type="paragraph" w:styleId="NormalWeb">
    <w:name w:val="Normal (Web)"/>
    <w:aliases w:val="webb"/>
    <w:basedOn w:val="Normal"/>
    <w:uiPriority w:val="99"/>
    <w:rsid w:val="0049728D"/>
    <w:pPr>
      <w:spacing w:before="100" w:beforeAutospacing="1" w:after="100" w:afterAutospacing="1"/>
      <w:jc w:val="left"/>
    </w:pPr>
  </w:style>
  <w:style w:type="character" w:styleId="Emphasis">
    <w:name w:val="Emphasis"/>
    <w:basedOn w:val="DefaultParagraphFont"/>
    <w:uiPriority w:val="20"/>
    <w:qFormat/>
    <w:rsid w:val="00CA1300"/>
    <w:rPr>
      <w:rFonts w:cs="Times New Roman"/>
      <w:i/>
      <w:rtl w:val="0"/>
      <w:cs w:val="0"/>
    </w:rPr>
  </w:style>
  <w:style w:type="paragraph" w:styleId="BodyText2">
    <w:name w:val="Body Text 2"/>
    <w:basedOn w:val="Normal"/>
    <w:link w:val="BodyText2Char"/>
    <w:uiPriority w:val="99"/>
    <w:unhideWhenUsed/>
    <w:rsid w:val="00CA1300"/>
    <w:pPr>
      <w:spacing w:after="120" w:line="480" w:lineRule="auto"/>
      <w:jc w:val="left"/>
    </w:pPr>
  </w:style>
  <w:style w:type="character" w:customStyle="1" w:styleId="BodyText2Char">
    <w:name w:val="Body Text 2 Char"/>
    <w:basedOn w:val="DefaultParagraphFont"/>
    <w:link w:val="BodyText2"/>
    <w:uiPriority w:val="99"/>
    <w:locked/>
    <w:rsid w:val="00CA1300"/>
    <w:rPr>
      <w:rFonts w:ascii="Times New Roman" w:hAnsi="Times New Roman" w:cs="Times New Roman"/>
      <w:sz w:val="24"/>
      <w:szCs w:val="24"/>
      <w:rtl w:val="0"/>
      <w:cs w:val="0"/>
    </w:rPr>
  </w:style>
  <w:style w:type="paragraph" w:styleId="Header">
    <w:name w:val="header"/>
    <w:basedOn w:val="Normal"/>
    <w:link w:val="HeaderChar"/>
    <w:uiPriority w:val="99"/>
    <w:rsid w:val="00CA1300"/>
    <w:pPr>
      <w:tabs>
        <w:tab w:val="center" w:pos="4536"/>
        <w:tab w:val="right" w:pos="9072"/>
      </w:tabs>
      <w:autoSpaceDE w:val="0"/>
      <w:autoSpaceDN w:val="0"/>
      <w:jc w:val="left"/>
    </w:pPr>
  </w:style>
  <w:style w:type="character" w:customStyle="1" w:styleId="HeaderChar">
    <w:name w:val="Header Char"/>
    <w:basedOn w:val="DefaultParagraphFont"/>
    <w:link w:val="Header"/>
    <w:uiPriority w:val="99"/>
    <w:locked/>
    <w:rsid w:val="00CA1300"/>
    <w:rPr>
      <w:rFonts w:ascii="Times New Roman" w:hAnsi="Times New Roman" w:cs="Times New Roman"/>
      <w:sz w:val="24"/>
      <w:szCs w:val="24"/>
      <w:rtl w:val="0"/>
      <w:cs w:val="0"/>
    </w:rPr>
  </w:style>
  <w:style w:type="paragraph" w:customStyle="1" w:styleId="Normlny">
    <w:name w:val="_Normálny"/>
    <w:basedOn w:val="Normal"/>
    <w:uiPriority w:val="99"/>
    <w:rsid w:val="00CA1300"/>
    <w:pPr>
      <w:autoSpaceDE w:val="0"/>
      <w:autoSpaceDN w:val="0"/>
      <w:jc w:val="left"/>
    </w:pPr>
    <w:rPr>
      <w:sz w:val="20"/>
      <w:szCs w:val="20"/>
      <w:lang w:eastAsia="en-US"/>
    </w:rPr>
  </w:style>
  <w:style w:type="paragraph" w:customStyle="1" w:styleId="Default">
    <w:name w:val="Default"/>
    <w:rsid w:val="00CA1300"/>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A1300"/>
    <w:pPr>
      <w:jc w:val="left"/>
    </w:pPr>
    <w:rPr>
      <w:rFonts w:cs="Times New Roman"/>
      <w:color w:val="auto"/>
    </w:rPr>
  </w:style>
  <w:style w:type="paragraph" w:customStyle="1" w:styleId="Zkladntext">
    <w:name w:val="Základní text"/>
    <w:aliases w:val="Základný text Char Char"/>
    <w:rsid w:val="00CA1300"/>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M1">
    <w:name w:val="CM1"/>
    <w:basedOn w:val="Default"/>
    <w:next w:val="Default"/>
    <w:uiPriority w:val="99"/>
    <w:rsid w:val="00CA1300"/>
    <w:pPr>
      <w:jc w:val="left"/>
    </w:pPr>
    <w:rPr>
      <w:rFonts w:cs="Times New Roman"/>
      <w:color w:val="auto"/>
    </w:rPr>
  </w:style>
  <w:style w:type="paragraph" w:styleId="ListParagraph">
    <w:name w:val="List Paragraph"/>
    <w:basedOn w:val="Normal"/>
    <w:uiPriority w:val="99"/>
    <w:qFormat/>
    <w:rsid w:val="00CA1300"/>
    <w:pPr>
      <w:spacing w:after="200" w:line="276" w:lineRule="auto"/>
      <w:ind w:left="720"/>
      <w:contextualSpacing/>
      <w:jc w:val="left"/>
    </w:pPr>
    <w:rPr>
      <w:rFonts w:ascii="Calibri" w:hAnsi="Calibri"/>
      <w:sz w:val="22"/>
      <w:szCs w:val="22"/>
      <w:lang w:eastAsia="en-US"/>
    </w:rPr>
  </w:style>
  <w:style w:type="paragraph" w:styleId="Footer">
    <w:name w:val="footer"/>
    <w:basedOn w:val="Normal"/>
    <w:link w:val="FooterChar"/>
    <w:uiPriority w:val="99"/>
    <w:unhideWhenUsed/>
    <w:rsid w:val="00CA1300"/>
    <w:pPr>
      <w:tabs>
        <w:tab w:val="center" w:pos="4536"/>
        <w:tab w:val="right" w:pos="9072"/>
      </w:tabs>
      <w:jc w:val="left"/>
    </w:pPr>
  </w:style>
  <w:style w:type="character" w:customStyle="1" w:styleId="FooterChar">
    <w:name w:val="Footer Char"/>
    <w:basedOn w:val="DefaultParagraphFont"/>
    <w:link w:val="Footer"/>
    <w:uiPriority w:val="99"/>
    <w:locked/>
    <w:rsid w:val="00CA1300"/>
    <w:rPr>
      <w:rFonts w:ascii="Times New Roman" w:hAnsi="Times New Roman" w:cs="Times New Roman"/>
      <w:sz w:val="24"/>
      <w:szCs w:val="24"/>
      <w:rtl w:val="0"/>
      <w:cs w:val="0"/>
    </w:rPr>
  </w:style>
  <w:style w:type="character" w:styleId="PageNumber">
    <w:name w:val="page number"/>
    <w:basedOn w:val="DefaultParagraphFont"/>
    <w:uiPriority w:val="99"/>
    <w:rsid w:val="00EA2339"/>
    <w:rPr>
      <w:rFonts w:cs="Times New Roman"/>
      <w:rtl w:val="0"/>
      <w:cs w:val="0"/>
    </w:rPr>
  </w:style>
  <w:style w:type="paragraph" w:styleId="BodyText">
    <w:name w:val="Body Text"/>
    <w:basedOn w:val="Normal"/>
    <w:link w:val="BodyTextChar"/>
    <w:uiPriority w:val="99"/>
    <w:rsid w:val="00EA2339"/>
    <w:pPr>
      <w:spacing w:after="120"/>
      <w:jc w:val="left"/>
    </w:pPr>
  </w:style>
  <w:style w:type="character" w:customStyle="1" w:styleId="BodyTextChar">
    <w:name w:val="Body Text Char"/>
    <w:basedOn w:val="DefaultParagraphFont"/>
    <w:link w:val="BodyText"/>
    <w:uiPriority w:val="99"/>
    <w:locked/>
    <w:rsid w:val="00EA2339"/>
    <w:rPr>
      <w:rFonts w:ascii="Times New Roman" w:hAnsi="Times New Roman" w:cs="Times New Roman"/>
      <w:sz w:val="24"/>
      <w:szCs w:val="24"/>
      <w:rtl w:val="0"/>
      <w:cs w:val="0"/>
    </w:rPr>
  </w:style>
  <w:style w:type="paragraph" w:styleId="Title">
    <w:name w:val="Title"/>
    <w:basedOn w:val="Normal"/>
    <w:link w:val="TitleChar"/>
    <w:uiPriority w:val="99"/>
    <w:qFormat/>
    <w:rsid w:val="00EA2339"/>
    <w:pPr>
      <w:jc w:val="center"/>
    </w:pPr>
    <w:rPr>
      <w:sz w:val="28"/>
      <w:szCs w:val="20"/>
    </w:rPr>
  </w:style>
  <w:style w:type="character" w:customStyle="1" w:styleId="TitleChar">
    <w:name w:val="Title Char"/>
    <w:basedOn w:val="DefaultParagraphFont"/>
    <w:link w:val="Title"/>
    <w:uiPriority w:val="99"/>
    <w:locked/>
    <w:rsid w:val="00EA2339"/>
    <w:rPr>
      <w:rFonts w:ascii="Times New Roman" w:hAnsi="Times New Roman" w:cs="Times New Roman"/>
      <w:sz w:val="28"/>
      <w:rtl w:val="0"/>
      <w:cs w:val="0"/>
    </w:rPr>
  </w:style>
  <w:style w:type="paragraph" w:styleId="BodyTextIndent3">
    <w:name w:val="Body Text Indent 3"/>
    <w:basedOn w:val="Normal"/>
    <w:link w:val="BodyTextIndent3Char"/>
    <w:uiPriority w:val="99"/>
    <w:rsid w:val="00EA2339"/>
    <w:pPr>
      <w:spacing w:after="120"/>
      <w:ind w:left="283"/>
      <w:jc w:val="left"/>
    </w:pPr>
    <w:rPr>
      <w:sz w:val="16"/>
      <w:szCs w:val="16"/>
    </w:rPr>
  </w:style>
  <w:style w:type="character" w:customStyle="1" w:styleId="BodyTextIndent3Char">
    <w:name w:val="Body Text Indent 3 Char"/>
    <w:basedOn w:val="DefaultParagraphFont"/>
    <w:link w:val="BodyTextIndent3"/>
    <w:uiPriority w:val="99"/>
    <w:locked/>
    <w:rsid w:val="00EA2339"/>
    <w:rPr>
      <w:rFonts w:ascii="Times New Roman" w:hAnsi="Times New Roman" w:cs="Times New Roman"/>
      <w:sz w:val="16"/>
      <w:szCs w:val="16"/>
      <w:rtl w:val="0"/>
      <w:cs w:val="0"/>
    </w:rPr>
  </w:style>
  <w:style w:type="paragraph" w:customStyle="1" w:styleId="Action">
    <w:name w:val="Action"/>
    <w:basedOn w:val="BodyText"/>
    <w:uiPriority w:val="99"/>
    <w:rsid w:val="00EA2339"/>
    <w:pPr>
      <w:numPr>
        <w:numId w:val="17"/>
      </w:numPr>
      <w:tabs>
        <w:tab w:val="num" w:pos="1211"/>
      </w:tabs>
      <w:spacing w:line="240" w:lineRule="atLeast"/>
      <w:ind w:left="1208" w:hanging="357"/>
      <w:jc w:val="both"/>
    </w:pPr>
    <w:rPr>
      <w:rFonts w:ascii="Verdana" w:hAnsi="Verdana" w:cs="Verdana"/>
      <w:i/>
      <w:iCs/>
      <w:sz w:val="22"/>
      <w:szCs w:val="22"/>
      <w:lang w:eastAsia="en-US"/>
    </w:rPr>
  </w:style>
  <w:style w:type="character" w:customStyle="1" w:styleId="StyleHeading4UnderlineChar">
    <w:name w:val="Style Heading 4 + Underline Char"/>
    <w:basedOn w:val="DefaultParagraphFont"/>
    <w:uiPriority w:val="99"/>
    <w:rsid w:val="00EA2339"/>
    <w:rPr>
      <w:rFonts w:ascii="Verdana" w:hAnsi="Verdana" w:cs="Verdana"/>
      <w:kern w:val="20"/>
      <w:sz w:val="22"/>
      <w:szCs w:val="22"/>
      <w:u w:val="single"/>
      <w:rtl w:val="0"/>
      <w:cs w:val="0"/>
      <w:lang w:val="en-US" w:eastAsia="en-US"/>
    </w:rPr>
  </w:style>
  <w:style w:type="character" w:styleId="Hyperlink">
    <w:name w:val="Hyperlink"/>
    <w:basedOn w:val="DefaultParagraphFont"/>
    <w:uiPriority w:val="99"/>
    <w:rsid w:val="00EA2339"/>
    <w:rPr>
      <w:rFonts w:cs="Times New Roman"/>
      <w:color w:val="0000FF"/>
      <w:u w:val="single"/>
      <w:rtl w:val="0"/>
      <w:cs w:val="0"/>
    </w:rPr>
  </w:style>
  <w:style w:type="paragraph" w:styleId="BalloonText">
    <w:name w:val="Balloon Text"/>
    <w:basedOn w:val="Normal"/>
    <w:link w:val="BalloonTextChar"/>
    <w:uiPriority w:val="99"/>
    <w:semiHidden/>
    <w:rsid w:val="00EA2339"/>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2339"/>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34</Pages>
  <Words>11463</Words>
  <Characters>65342</Characters>
  <Application>Microsoft Office Word</Application>
  <DocSecurity>0</DocSecurity>
  <Lines>0</Lines>
  <Paragraphs>0</Paragraphs>
  <ScaleCrop>false</ScaleCrop>
  <Company>MF SR</Company>
  <LinksUpToDate>false</LinksUpToDate>
  <CharactersWithSpaces>76652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mvidova</dc:creator>
  <cp:lastModifiedBy>Gašparíková, Jarmila</cp:lastModifiedBy>
  <cp:revision>2</cp:revision>
  <cp:lastPrinted>2012-09-28T14:45:00Z</cp:lastPrinted>
  <dcterms:created xsi:type="dcterms:W3CDTF">2012-09-28T17:03:00Z</dcterms:created>
  <dcterms:modified xsi:type="dcterms:W3CDTF">2012-09-28T17:03:00Z</dcterms:modified>
</cp:coreProperties>
</file>