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BD6" w:rsidRPr="00587E07" w:rsidP="00A31EC0">
      <w:pPr>
        <w:bidi w:val="0"/>
        <w:jc w:val="center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Dôvodová správa</w:t>
      </w:r>
    </w:p>
    <w:p w:rsidR="00D72BD6" w:rsidRPr="00587E07" w:rsidP="00A31EC0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D72BD6" w:rsidRPr="00587E07" w:rsidP="008A3F15">
      <w:pPr>
        <w:bidi w:val="0"/>
        <w:rPr>
          <w:rFonts w:asciiTheme="majorBidi" w:hAnsiTheme="majorBidi" w:cstheme="majorBidi"/>
          <w:b/>
          <w:bCs/>
        </w:rPr>
      </w:pPr>
      <w:r w:rsidRPr="00587E07" w:rsidR="008A3F15">
        <w:rPr>
          <w:rFonts w:asciiTheme="majorBidi" w:hAnsiTheme="majorBidi" w:cstheme="majorBidi"/>
          <w:b/>
          <w:bCs/>
        </w:rPr>
        <w:t>A</w:t>
      </w:r>
      <w:r w:rsidRPr="00587E07">
        <w:rPr>
          <w:rFonts w:asciiTheme="majorBidi" w:hAnsiTheme="majorBidi" w:cstheme="majorBidi"/>
          <w:b/>
          <w:bCs/>
        </w:rPr>
        <w:t>. Všeobecná časť</w:t>
      </w:r>
    </w:p>
    <w:p w:rsidR="001C307D" w:rsidRPr="00587E07" w:rsidP="00A31EC0">
      <w:pPr>
        <w:bidi w:val="0"/>
        <w:jc w:val="center"/>
        <w:rPr>
          <w:rFonts w:asciiTheme="majorBidi" w:hAnsiTheme="majorBidi" w:cstheme="majorBidi"/>
          <w:b/>
          <w:bCs/>
        </w:rPr>
      </w:pPr>
    </w:p>
    <w:p w:rsidR="00E75F6B" w:rsidRPr="00587E07" w:rsidP="00E940F8">
      <w:pPr>
        <w:bidi w:val="0"/>
        <w:jc w:val="both"/>
        <w:rPr>
          <w:rFonts w:asciiTheme="majorBidi" w:hAnsiTheme="majorBidi" w:cstheme="majorBidi"/>
        </w:rPr>
      </w:pPr>
      <w:r w:rsidRPr="00587E07" w:rsidR="00E940F8">
        <w:rPr>
          <w:rFonts w:asciiTheme="majorBidi" w:hAnsiTheme="majorBidi" w:cstheme="majorBidi"/>
          <w:b/>
          <w:bCs/>
        </w:rPr>
        <w:tab/>
      </w:r>
      <w:r w:rsidRPr="00587E07" w:rsidR="00C12215">
        <w:rPr>
          <w:rFonts w:asciiTheme="majorBidi" w:hAnsiTheme="majorBidi" w:cstheme="majorBidi"/>
        </w:rPr>
        <w:t>Navrhuje sa zrušiť</w:t>
      </w:r>
      <w:r w:rsidRPr="00587E07" w:rsidR="00B87E3C">
        <w:rPr>
          <w:rFonts w:asciiTheme="majorBidi" w:hAnsiTheme="majorBidi" w:cstheme="majorBidi"/>
        </w:rPr>
        <w:t xml:space="preserve"> Kompetenčné centrum finančných operácií</w:t>
      </w:r>
      <w:r w:rsidRPr="00587E07" w:rsidR="00C12215">
        <w:rPr>
          <w:rFonts w:asciiTheme="majorBidi" w:hAnsiTheme="majorBidi" w:cstheme="majorBidi"/>
        </w:rPr>
        <w:t>,</w:t>
      </w:r>
      <w:r w:rsidRPr="00587E07" w:rsidR="00AD4056">
        <w:rPr>
          <w:rFonts w:asciiTheme="majorBidi" w:hAnsiTheme="majorBidi" w:cstheme="majorBidi"/>
        </w:rPr>
        <w:t xml:space="preserve"> ktoré</w:t>
      </w:r>
      <w:r w:rsidRPr="00587E07" w:rsidR="00C12215">
        <w:rPr>
          <w:rFonts w:asciiTheme="majorBidi" w:hAnsiTheme="majorBidi" w:cstheme="majorBidi"/>
        </w:rPr>
        <w:t xml:space="preserve"> </w:t>
      </w:r>
      <w:r w:rsidRPr="00587E07" w:rsidR="00AD4056">
        <w:rPr>
          <w:rFonts w:asciiTheme="majorBidi" w:hAnsiTheme="majorBidi" w:cstheme="majorBidi"/>
        </w:rPr>
        <w:t>ako</w:t>
      </w:r>
      <w:r w:rsidRPr="00587E07" w:rsidR="00C12215">
        <w:rPr>
          <w:rFonts w:asciiTheme="majorBidi" w:hAnsiTheme="majorBidi" w:cstheme="majorBidi"/>
        </w:rPr>
        <w:t xml:space="preserve"> </w:t>
      </w:r>
      <w:r w:rsidRPr="00587E07" w:rsidR="00AD4056">
        <w:rPr>
          <w:rFonts w:asciiTheme="majorBidi" w:hAnsiTheme="majorBidi" w:cstheme="majorBidi"/>
        </w:rPr>
        <w:t xml:space="preserve">preddavková organizácia napojená na rozpočet Finančného riaditeľstva SR, zabezpečovalo administratívnu a informatickú podporu orgánom finančnej správy a </w:t>
      </w:r>
      <w:r w:rsidRPr="00587E07" w:rsidR="00C12215">
        <w:rPr>
          <w:rFonts w:asciiTheme="majorBidi" w:hAnsiTheme="majorBidi" w:cstheme="majorBidi"/>
        </w:rPr>
        <w:t>jeho</w:t>
      </w:r>
      <w:r w:rsidRPr="00587E07" w:rsidR="00B87E3C">
        <w:rPr>
          <w:rFonts w:asciiTheme="majorBidi" w:hAnsiTheme="majorBidi" w:cstheme="majorBidi"/>
        </w:rPr>
        <w:t xml:space="preserve"> kompetencie sa presúvajú na Finančné riaditeľstvo SR.</w:t>
      </w:r>
      <w:r w:rsidRPr="00587E07">
        <w:rPr>
          <w:rFonts w:asciiTheme="majorBidi" w:hAnsiTheme="majorBidi" w:cstheme="majorBidi"/>
        </w:rPr>
        <w:t xml:space="preserve"> </w:t>
      </w:r>
      <w:r w:rsidRPr="00587E07" w:rsidR="00FA3239">
        <w:rPr>
          <w:rFonts w:asciiTheme="majorBidi" w:hAnsiTheme="majorBidi" w:cstheme="majorBidi"/>
        </w:rPr>
        <w:t>V súvislosti s t</w:t>
      </w:r>
      <w:r w:rsidRPr="00587E07" w:rsidR="00C12215">
        <w:rPr>
          <w:rFonts w:asciiTheme="majorBidi" w:hAnsiTheme="majorBidi" w:cstheme="majorBidi"/>
        </w:rPr>
        <w:t>outo</w:t>
      </w:r>
      <w:r w:rsidRPr="00587E07" w:rsidR="00FA3239">
        <w:rPr>
          <w:rFonts w:asciiTheme="majorBidi" w:hAnsiTheme="majorBidi" w:cstheme="majorBidi"/>
        </w:rPr>
        <w:t xml:space="preserve"> zme</w:t>
      </w:r>
      <w:r w:rsidRPr="00587E07" w:rsidR="00C12215">
        <w:rPr>
          <w:rFonts w:asciiTheme="majorBidi" w:hAnsiTheme="majorBidi" w:cstheme="majorBidi"/>
        </w:rPr>
        <w:t>nou</w:t>
      </w:r>
      <w:r w:rsidRPr="00587E07" w:rsidR="00FA3239">
        <w:rPr>
          <w:rFonts w:asciiTheme="majorBidi" w:hAnsiTheme="majorBidi" w:cstheme="majorBidi"/>
        </w:rPr>
        <w:t xml:space="preserve"> je potrebné upraviť aj vybrané súvisiace právne predpisy</w:t>
      </w:r>
      <w:r w:rsidRPr="00587E07" w:rsidR="00B87E3C">
        <w:rPr>
          <w:rFonts w:asciiTheme="majorBidi" w:hAnsiTheme="majorBidi" w:cstheme="majorBidi"/>
        </w:rPr>
        <w:t>.</w:t>
      </w:r>
      <w:r w:rsidRPr="00587E07">
        <w:rPr>
          <w:rFonts w:asciiTheme="majorBidi" w:hAnsiTheme="majorBidi" w:cstheme="majorBidi"/>
        </w:rPr>
        <w:t xml:space="preserve"> </w:t>
      </w:r>
      <w:r w:rsidRPr="00213FE8" w:rsidR="0031379C">
        <w:rPr>
          <w:rFonts w:asciiTheme="majorBidi" w:hAnsiTheme="majorBidi" w:cstheme="majorBidi"/>
        </w:rPr>
        <w:t>Navrhuje sa presunúť správ</w:t>
      </w:r>
      <w:r w:rsidR="000435C8">
        <w:rPr>
          <w:rFonts w:asciiTheme="majorBidi" w:hAnsiTheme="majorBidi" w:cstheme="majorBidi"/>
        </w:rPr>
        <w:t>u</w:t>
      </w:r>
      <w:r w:rsidRPr="00213FE8" w:rsidR="0031379C">
        <w:rPr>
          <w:rFonts w:asciiTheme="majorBidi" w:hAnsiTheme="majorBidi" w:cstheme="majorBidi"/>
        </w:rPr>
        <w:t xml:space="preserve"> informačných systémov finančne</w:t>
      </w:r>
      <w:r w:rsidR="000435C8">
        <w:rPr>
          <w:rFonts w:asciiTheme="majorBidi" w:hAnsiTheme="majorBidi" w:cstheme="majorBidi"/>
        </w:rPr>
        <w:t>j</w:t>
      </w:r>
      <w:r w:rsidRPr="00213FE8" w:rsidR="0031379C">
        <w:rPr>
          <w:rFonts w:asciiTheme="majorBidi" w:hAnsiTheme="majorBidi" w:cstheme="majorBidi"/>
        </w:rPr>
        <w:t xml:space="preserve"> správy na Ministerstvo financií SR.</w:t>
      </w:r>
    </w:p>
    <w:p w:rsidR="00E75F6B" w:rsidRPr="00587E07" w:rsidP="00E940F8">
      <w:pPr>
        <w:bidi w:val="0"/>
        <w:jc w:val="both"/>
        <w:rPr>
          <w:rFonts w:asciiTheme="majorBidi" w:hAnsiTheme="majorBidi" w:cstheme="majorBidi"/>
        </w:rPr>
      </w:pPr>
    </w:p>
    <w:p w:rsidR="00B87E3C" w:rsidRPr="00587E07" w:rsidP="00E940F8">
      <w:pPr>
        <w:bidi w:val="0"/>
        <w:jc w:val="both"/>
        <w:rPr>
          <w:rFonts w:asciiTheme="majorBidi" w:hAnsiTheme="majorBidi" w:cstheme="majorBidi"/>
        </w:rPr>
      </w:pPr>
      <w:r w:rsidRPr="00587E07" w:rsidR="00E75F6B">
        <w:rPr>
          <w:rFonts w:asciiTheme="majorBidi" w:hAnsiTheme="majorBidi" w:cstheme="majorBidi"/>
        </w:rPr>
        <w:tab/>
        <w:t>Ďalej sa navrhuje presunúť sídlo Finančného riaditeľstva SR do Banskej Bystrice.</w:t>
      </w:r>
    </w:p>
    <w:p w:rsidR="00C12215" w:rsidRPr="00587E07" w:rsidP="00E940F8">
      <w:pPr>
        <w:bidi w:val="0"/>
        <w:jc w:val="both"/>
        <w:rPr>
          <w:rFonts w:asciiTheme="majorBidi" w:hAnsiTheme="majorBidi" w:cstheme="majorBidi"/>
        </w:rPr>
      </w:pPr>
    </w:p>
    <w:p w:rsidR="00915A12" w:rsidRPr="00587E07" w:rsidP="00E940F8">
      <w:pPr>
        <w:bidi w:val="0"/>
        <w:jc w:val="both"/>
        <w:rPr>
          <w:rFonts w:asciiTheme="majorBidi" w:hAnsiTheme="majorBidi" w:cstheme="majorBidi"/>
          <w:color w:val="231F20"/>
        </w:rPr>
      </w:pPr>
      <w:r w:rsidRPr="00587E07" w:rsidR="00C12215">
        <w:rPr>
          <w:rFonts w:asciiTheme="majorBidi" w:hAnsiTheme="majorBidi" w:cstheme="majorBidi"/>
        </w:rPr>
        <w:tab/>
        <w:t xml:space="preserve">Rovnako sa navrhuje </w:t>
      </w:r>
      <w:r w:rsidRPr="00587E07" w:rsidR="00AD4056">
        <w:rPr>
          <w:rFonts w:asciiTheme="majorBidi" w:hAnsiTheme="majorBidi" w:cstheme="majorBidi"/>
        </w:rPr>
        <w:t xml:space="preserve">zrušiť </w:t>
      </w:r>
      <w:r w:rsidRPr="00587E07" w:rsidR="00C12215">
        <w:rPr>
          <w:rFonts w:asciiTheme="majorBidi" w:hAnsiTheme="majorBidi" w:cstheme="majorBidi"/>
        </w:rPr>
        <w:t xml:space="preserve">zákon o finančnej správe z dôvodu posúdenia </w:t>
      </w:r>
      <w:r w:rsidRPr="00587E07" w:rsidR="00C12215">
        <w:rPr>
          <w:rFonts w:asciiTheme="majorBidi" w:hAnsiTheme="majorBidi" w:cstheme="majorBidi"/>
          <w:color w:val="231F20"/>
        </w:rPr>
        <w:t>opodstatnenosti zlúčenia daňových úradov a colných úradov</w:t>
      </w:r>
      <w:r w:rsidRPr="00587E07" w:rsidR="00462566">
        <w:rPr>
          <w:rFonts w:asciiTheme="majorBidi" w:hAnsiTheme="majorBidi" w:cstheme="majorBidi"/>
          <w:color w:val="231F20"/>
        </w:rPr>
        <w:t>.</w:t>
      </w:r>
    </w:p>
    <w:p w:rsidR="00C12215" w:rsidRPr="00587E07" w:rsidP="00E940F8">
      <w:pPr>
        <w:bidi w:val="0"/>
        <w:jc w:val="both"/>
        <w:rPr>
          <w:rFonts w:asciiTheme="majorBidi" w:hAnsiTheme="majorBidi" w:cstheme="majorBidi"/>
        </w:rPr>
      </w:pPr>
    </w:p>
    <w:p w:rsidR="00915A12" w:rsidRPr="00587E07" w:rsidP="00E940F8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ab/>
        <w:t>Návrh zákona má</w:t>
      </w:r>
      <w:r w:rsidRPr="00587E07" w:rsidR="003B7DD8">
        <w:rPr>
          <w:rFonts w:asciiTheme="majorBidi" w:hAnsiTheme="majorBidi" w:cstheme="majorBidi"/>
        </w:rPr>
        <w:t xml:space="preserve"> negatívny</w:t>
      </w:r>
      <w:r w:rsidRPr="00587E07">
        <w:rPr>
          <w:rFonts w:asciiTheme="majorBidi" w:hAnsiTheme="majorBidi" w:cstheme="majorBidi"/>
        </w:rPr>
        <w:t xml:space="preserve"> vplyv</w:t>
      </w:r>
      <w:r w:rsidRPr="00587E07" w:rsidR="003B7DD8">
        <w:rPr>
          <w:rFonts w:asciiTheme="majorBidi" w:hAnsiTheme="majorBidi" w:cstheme="majorBidi"/>
        </w:rPr>
        <w:t xml:space="preserve"> na rozpočet verejnej správy a nemá vplyvy</w:t>
      </w:r>
      <w:r w:rsidRPr="00587E07">
        <w:rPr>
          <w:rFonts w:asciiTheme="majorBidi" w:hAnsiTheme="majorBidi" w:cstheme="majorBidi"/>
        </w:rPr>
        <w:t xml:space="preserve"> na podnikateľské prostredie, na zamestnanosť, nemá sociálne vplyvy, vplyvy na životné prostredie a ani vplyvy na informatizáciu spoločnosti.</w:t>
      </w:r>
    </w:p>
    <w:p w:rsidR="00D72BD6" w:rsidRPr="00587E07" w:rsidP="001C307D">
      <w:pPr>
        <w:bidi w:val="0"/>
        <w:ind w:firstLine="708"/>
        <w:jc w:val="both"/>
        <w:rPr>
          <w:rFonts w:asciiTheme="majorBidi" w:hAnsiTheme="majorBidi" w:cstheme="majorBidi"/>
        </w:rPr>
      </w:pPr>
    </w:p>
    <w:p w:rsidR="009F0326" w:rsidRPr="00587E07" w:rsidP="001C307D">
      <w:pPr>
        <w:bidi w:val="0"/>
        <w:ind w:firstLine="708"/>
        <w:jc w:val="both"/>
        <w:rPr>
          <w:rFonts w:asciiTheme="majorBidi" w:hAnsiTheme="majorBidi" w:cstheme="majorBidi"/>
        </w:rPr>
      </w:pPr>
      <w:r w:rsidRPr="00587E07" w:rsidR="001C307D">
        <w:rPr>
          <w:rFonts w:asciiTheme="majorBidi" w:hAnsiTheme="majorBidi" w:cstheme="majorBidi"/>
        </w:rPr>
        <w:t>Návrh zákona je v súlade s Ústavou Slovenskej republiky, inými zákonmi a všeobecne záväznými právnymi predpismi, ako aj s medzinárodnými zmluvami, ktorými je Slovenská republika viazaná.</w:t>
      </w:r>
    </w:p>
    <w:p w:rsidR="00D72017" w:rsidRPr="00587E07" w:rsidP="001C307D">
      <w:pPr>
        <w:bidi w:val="0"/>
        <w:ind w:firstLine="708"/>
        <w:jc w:val="both"/>
        <w:rPr>
          <w:rFonts w:asciiTheme="majorBidi" w:hAnsiTheme="majorBidi" w:cstheme="majorBidi"/>
        </w:rPr>
      </w:pPr>
      <w:r w:rsidRPr="00587E07" w:rsidR="00D72BD6">
        <w:rPr>
          <w:rFonts w:asciiTheme="majorBidi" w:hAnsiTheme="majorBidi" w:cstheme="majorBidi"/>
        </w:rPr>
        <w:tab/>
      </w:r>
    </w:p>
    <w:p w:rsidR="006F1E25" w:rsidRPr="00587E07" w:rsidP="00A31EC0">
      <w:pPr>
        <w:bidi w:val="0"/>
        <w:jc w:val="both"/>
        <w:rPr>
          <w:rFonts w:asciiTheme="majorBidi" w:hAnsiTheme="majorBidi" w:cstheme="majorBidi"/>
        </w:rPr>
      </w:pPr>
      <w:r w:rsidRPr="00587E07" w:rsidR="008E4C14">
        <w:rPr>
          <w:rFonts w:asciiTheme="majorBidi" w:hAnsiTheme="majorBidi" w:cstheme="majorBidi"/>
        </w:rPr>
        <w:tab/>
        <w:t xml:space="preserve">Účinnosť zákona sa navrhuje od 31. decembra 2012, </w:t>
      </w:r>
      <w:r w:rsidRPr="00587E07" w:rsidR="00462566">
        <w:rPr>
          <w:rFonts w:asciiTheme="majorBidi" w:hAnsiTheme="majorBidi" w:cstheme="majorBidi"/>
          <w:bCs/>
        </w:rPr>
        <w:t xml:space="preserve">okrem čl. I až III a čl. IV bodov 1 až </w:t>
      </w:r>
      <w:r w:rsidR="00724597">
        <w:rPr>
          <w:rFonts w:asciiTheme="majorBidi" w:hAnsiTheme="majorBidi" w:cstheme="majorBidi"/>
          <w:bCs/>
        </w:rPr>
        <w:t>7</w:t>
      </w:r>
      <w:r w:rsidRPr="00587E07" w:rsidR="00462566">
        <w:rPr>
          <w:rFonts w:asciiTheme="majorBidi" w:hAnsiTheme="majorBidi" w:cstheme="majorBidi"/>
          <w:bCs/>
        </w:rPr>
        <w:t>, ktoré nadobúdajú účinnosť 1. januára 2013.</w:t>
      </w:r>
    </w:p>
    <w:p w:rsidR="00004C3A" w:rsidRPr="00587E07" w:rsidP="00587E07">
      <w:pPr>
        <w:bidi w:val="0"/>
        <w:jc w:val="center"/>
        <w:rPr>
          <w:rFonts w:asciiTheme="majorBidi" w:hAnsiTheme="majorBidi" w:cstheme="majorBidi"/>
          <w:b/>
          <w:bCs/>
        </w:rPr>
      </w:pPr>
      <w:r w:rsidRPr="00587E07" w:rsidR="007D31FC">
        <w:rPr>
          <w:rFonts w:asciiTheme="majorBidi" w:hAnsiTheme="majorBidi" w:cstheme="majorBidi"/>
        </w:rPr>
        <w:br w:type="page"/>
      </w:r>
      <w:r w:rsidRPr="00587E07">
        <w:rPr>
          <w:rFonts w:asciiTheme="majorBidi" w:hAnsiTheme="majorBidi" w:cstheme="majorBidi"/>
          <w:b/>
          <w:bCs/>
        </w:rPr>
        <w:t>Doložka vybraných vplyvov</w:t>
      </w:r>
    </w:p>
    <w:p w:rsidR="00004C3A" w:rsidRPr="00587E07" w:rsidP="00A31EC0">
      <w:pPr>
        <w:bidi w:val="0"/>
        <w:rPr>
          <w:rFonts w:asciiTheme="majorBidi" w:hAnsiTheme="majorBidi" w:cstheme="majorBidi"/>
          <w:b/>
          <w:bCs/>
        </w:rPr>
      </w:pPr>
    </w:p>
    <w:p w:rsidR="00004C3A" w:rsidRPr="00587E07" w:rsidP="00A31EC0">
      <w:pPr>
        <w:bidi w:val="0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A.1. Názov materiálu:</w:t>
      </w:r>
    </w:p>
    <w:p w:rsidR="001C307D" w:rsidRPr="00587E07" w:rsidP="001C307D">
      <w:pPr>
        <w:bidi w:val="0"/>
        <w:jc w:val="both"/>
        <w:rPr>
          <w:rFonts w:asciiTheme="majorBidi" w:hAnsiTheme="majorBidi" w:cstheme="majorBidi"/>
        </w:rPr>
      </w:pPr>
      <w:r w:rsidRPr="00587E07" w:rsidR="00004C3A">
        <w:rPr>
          <w:rFonts w:asciiTheme="majorBidi" w:hAnsiTheme="majorBidi" w:cstheme="majorBidi"/>
        </w:rPr>
        <w:t xml:space="preserve">Návrh </w:t>
      </w:r>
      <w:r w:rsidRPr="00587E07" w:rsidR="0097774F">
        <w:rPr>
          <w:rFonts w:asciiTheme="majorBidi" w:hAnsiTheme="majorBidi" w:cstheme="majorBidi"/>
        </w:rPr>
        <w:t xml:space="preserve">zákona, ktorým </w:t>
      </w:r>
      <w:r w:rsidRPr="00587E07">
        <w:rPr>
          <w:rFonts w:asciiTheme="majorBidi" w:hAnsiTheme="majorBidi" w:cstheme="majorBidi"/>
        </w:rPr>
        <w:t>sa mení</w:t>
      </w:r>
      <w:r w:rsidRPr="00587E07" w:rsidR="007D31FC">
        <w:rPr>
          <w:rFonts w:asciiTheme="majorBidi" w:hAnsiTheme="majorBidi" w:cstheme="majorBidi"/>
        </w:rPr>
        <w:t xml:space="preserve"> a dopĺňa</w:t>
      </w:r>
      <w:r w:rsidRPr="00587E07">
        <w:rPr>
          <w:rFonts w:asciiTheme="majorBidi" w:hAnsiTheme="majorBidi" w:cstheme="majorBidi"/>
        </w:rPr>
        <w:t xml:space="preserve"> zákon č. 3</w:t>
      </w:r>
      <w:r w:rsidRPr="00587E07" w:rsidR="004B2F4D">
        <w:rPr>
          <w:rFonts w:asciiTheme="majorBidi" w:hAnsiTheme="majorBidi" w:cstheme="majorBidi"/>
        </w:rPr>
        <w:t>33</w:t>
      </w:r>
      <w:r w:rsidRPr="00587E07">
        <w:rPr>
          <w:rFonts w:asciiTheme="majorBidi" w:hAnsiTheme="majorBidi" w:cstheme="majorBidi"/>
        </w:rPr>
        <w:t xml:space="preserve">/2011 Z. z. o </w:t>
      </w:r>
      <w:r w:rsidRPr="00587E07" w:rsidR="004B2F4D">
        <w:rPr>
          <w:rFonts w:asciiTheme="majorBidi" w:hAnsiTheme="majorBidi" w:cstheme="majorBidi"/>
        </w:rPr>
        <w:t>orgánoch štátnej správy v oblasti daní, poplatkov a</w:t>
      </w:r>
      <w:r w:rsidR="00C95703">
        <w:rPr>
          <w:rFonts w:asciiTheme="majorBidi" w:hAnsiTheme="majorBidi" w:cstheme="majorBidi"/>
        </w:rPr>
        <w:t> </w:t>
      </w:r>
      <w:r w:rsidRPr="00587E07" w:rsidR="004B2F4D">
        <w:rPr>
          <w:rFonts w:asciiTheme="majorBidi" w:hAnsiTheme="majorBidi" w:cstheme="majorBidi"/>
        </w:rPr>
        <w:t>colníctva</w:t>
      </w:r>
      <w:r w:rsidR="00C95703">
        <w:rPr>
          <w:rFonts w:asciiTheme="majorBidi" w:hAnsiTheme="majorBidi" w:cstheme="majorBidi"/>
        </w:rPr>
        <w:t xml:space="preserve"> v znení neskorších predpisov</w:t>
      </w:r>
      <w:r w:rsidRPr="00587E07" w:rsidR="004B2F4D">
        <w:rPr>
          <w:rFonts w:asciiTheme="majorBidi" w:hAnsiTheme="majorBidi" w:cstheme="majorBidi"/>
        </w:rPr>
        <w:t xml:space="preserve"> </w:t>
      </w:r>
      <w:r w:rsidRPr="00587E07">
        <w:rPr>
          <w:rFonts w:asciiTheme="majorBidi" w:hAnsiTheme="majorBidi" w:cstheme="majorBidi"/>
        </w:rPr>
        <w:t>a ktorým sa menia a dopĺňajú niektoré zákony</w:t>
      </w:r>
      <w:r w:rsidR="00054BA0">
        <w:rPr>
          <w:rFonts w:asciiTheme="majorBidi" w:hAnsiTheme="majorBidi" w:cstheme="majorBidi"/>
        </w:rPr>
        <w:t xml:space="preserve"> </w:t>
      </w:r>
    </w:p>
    <w:p w:rsidR="00004C3A" w:rsidRPr="00587E07" w:rsidP="001C307D">
      <w:pPr>
        <w:bidi w:val="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 xml:space="preserve">       </w:t>
      </w:r>
    </w:p>
    <w:p w:rsidR="00004C3A" w:rsidRPr="00587E07" w:rsidP="00A31EC0">
      <w:pPr>
        <w:bidi w:val="0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 xml:space="preserve">       Termín začatia a ukončenia PPK: </w:t>
      </w:r>
    </w:p>
    <w:p w:rsidR="00004C3A" w:rsidRPr="00587E07" w:rsidP="00A31EC0">
      <w:pPr>
        <w:bidi w:val="0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 xml:space="preserve">       </w:t>
      </w:r>
      <w:r w:rsidRPr="00587E07">
        <w:rPr>
          <w:rFonts w:asciiTheme="majorBidi" w:hAnsiTheme="majorBidi" w:cstheme="majorBidi"/>
        </w:rPr>
        <w:t>bezpredmetné</w:t>
      </w:r>
    </w:p>
    <w:p w:rsidR="00004C3A" w:rsidRPr="00587E07" w:rsidP="00A31EC0">
      <w:pPr>
        <w:bidi w:val="0"/>
        <w:rPr>
          <w:rFonts w:asciiTheme="majorBidi" w:hAnsiTheme="majorBidi" w:cstheme="majorBidi"/>
          <w:b/>
          <w:bCs/>
        </w:rPr>
      </w:pPr>
    </w:p>
    <w:p w:rsidR="00004C3A" w:rsidRPr="00587E07" w:rsidP="00A31EC0">
      <w:pPr>
        <w:bidi w:val="0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A.2. Vplyvy:</w:t>
      </w:r>
    </w:p>
    <w:p w:rsidR="00004C3A" w:rsidRPr="00587E07" w:rsidP="00A31EC0">
      <w:pPr>
        <w:bidi w:val="0"/>
        <w:rPr>
          <w:rFonts w:asciiTheme="majorBidi" w:hAnsiTheme="majorBidi" w:cstheme="majorBidi"/>
        </w:rPr>
      </w:pPr>
    </w:p>
    <w:tbl>
      <w:tblPr>
        <w:tblStyle w:val="TableNormal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48"/>
        <w:gridCol w:w="1440"/>
        <w:gridCol w:w="1260"/>
        <w:gridCol w:w="1260"/>
      </w:tblGrid>
      <w:tr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Pozitívne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Žiadne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Negatívne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1. Vplyvy na rozpočet verejnej správy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 w:rsidR="003B7DD8">
              <w:rPr>
                <w:rFonts w:asciiTheme="majorBidi" w:hAnsiTheme="majorBidi" w:cstheme="majorBidi"/>
              </w:rPr>
              <w:t>x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2. Vplyvy na podnikateľské prostredie</w:t>
            </w:r>
          </w:p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-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 w:rsidR="001C307D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 xml:space="preserve">3. Sociálne vplyvy </w:t>
            </w:r>
          </w:p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- vplyvy na hospodárenie obyvateľstva,</w:t>
            </w:r>
          </w:p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- sociálnu exklúziu,</w:t>
            </w:r>
          </w:p>
          <w:p w:rsidR="00004C3A" w:rsidRPr="00587E07" w:rsidP="00A31EC0">
            <w:pPr>
              <w:bidi w:val="0"/>
              <w:spacing w:after="0" w:line="240" w:lineRule="auto"/>
              <w:ind w:left="170" w:hanging="170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  <w:lang w:val="pt-BR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val="pt-BR"/>
              </w:rPr>
            </w:pPr>
            <w:r w:rsidRPr="00587E07">
              <w:rPr>
                <w:rFonts w:asciiTheme="majorBidi" w:hAnsiTheme="majorBidi" w:cstheme="majorBidi"/>
                <w:lang w:val="pt-BR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7E07" w:rsidR="00DF7730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4C3A" w:rsidRPr="00587E07" w:rsidP="00A31E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  <w:b/>
          <w:bCs/>
        </w:rPr>
      </w:pPr>
    </w:p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  <w:b/>
          <w:bCs/>
        </w:rPr>
      </w:pPr>
    </w:p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A.3. Poznámky</w:t>
      </w:r>
    </w:p>
    <w:p w:rsidR="004D29F4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</w:p>
    <w:p w:rsidR="00DF7730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  <w:r w:rsidRPr="00587E07" w:rsidR="004D29F4">
        <w:rPr>
          <w:rFonts w:asciiTheme="majorBidi" w:hAnsiTheme="majorBidi" w:cstheme="majorBidi"/>
        </w:rPr>
        <w:t xml:space="preserve">Vytvorenie sídla Finančného riaditeľstva SR v Banskej Bystrici nevyžaduje dodatočné náklady na zabezpečenie priestorov, nakoľko v súčasných priestoroch Finančného riaditeľstva SR existujú kapacitné možnosti na vytvorenie sídla tejto organizácie v Banskej Bystrici.       </w:t>
      </w:r>
    </w:p>
    <w:p w:rsidR="008B7560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  <w:r w:rsidRPr="00587E07" w:rsidR="003B6238">
        <w:rPr>
          <w:rFonts w:asciiTheme="majorBidi" w:hAnsiTheme="majorBidi" w:cstheme="majorBidi"/>
        </w:rPr>
        <w:t>Jednorazové náklady spojené so zmenou sídla Finančného riaditeľstva SR z Bratislavy do Banskej Bystrice potrebné na zabezpečenie súvisiacich administratívnych a prevádzkových úkonov sú</w:t>
      </w:r>
      <w:r w:rsidRPr="00587E07">
        <w:rPr>
          <w:rFonts w:asciiTheme="majorBidi" w:hAnsiTheme="majorBidi" w:cstheme="majorBidi"/>
        </w:rPr>
        <w:t xml:space="preserve"> v </w:t>
      </w:r>
      <w:r w:rsidRPr="00587E07" w:rsidR="003B6238">
        <w:rPr>
          <w:rFonts w:asciiTheme="majorBidi" w:hAnsiTheme="majorBidi" w:cstheme="majorBidi"/>
        </w:rPr>
        <w:t>zanedbateľn</w:t>
      </w:r>
      <w:r w:rsidRPr="00587E07">
        <w:rPr>
          <w:rFonts w:asciiTheme="majorBidi" w:hAnsiTheme="majorBidi" w:cstheme="majorBidi"/>
        </w:rPr>
        <w:t>ej výške.</w:t>
      </w:r>
      <w:r w:rsidRPr="00587E07" w:rsidR="00001C5B">
        <w:rPr>
          <w:rFonts w:asciiTheme="majorBidi" w:hAnsiTheme="majorBidi" w:cstheme="majorBidi"/>
        </w:rPr>
        <w:t xml:space="preserve"> </w:t>
      </w:r>
    </w:p>
    <w:p w:rsidR="003B7DD8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Súvisiace výdavky budú zabezpečené v rámci schválených limitov kapitoly Ministerstva financií Slovenskej republiky na príslušný rozpočtový rok</w:t>
      </w:r>
      <w:r w:rsidRPr="00587E07" w:rsidR="003B6238">
        <w:rPr>
          <w:rFonts w:asciiTheme="majorBidi" w:hAnsiTheme="majorBidi" w:cstheme="majorBidi"/>
        </w:rPr>
        <w:t>.</w:t>
      </w:r>
    </w:p>
    <w:p w:rsidR="003B7DD8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</w:p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 xml:space="preserve">A.4. Alternatívne riešenia </w:t>
      </w:r>
    </w:p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Bezpredmetné</w:t>
      </w:r>
    </w:p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</w:p>
    <w:p w:rsidR="00004C3A" w:rsidRPr="00587E07" w:rsidP="00A31EC0">
      <w:pPr>
        <w:pStyle w:val="BodyText"/>
        <w:bidi w:val="0"/>
        <w:spacing w:after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  <w:b/>
          <w:bCs/>
        </w:rPr>
        <w:t xml:space="preserve">A.5. Stanovisko gestorov </w:t>
      </w:r>
    </w:p>
    <w:p w:rsidR="0097774F" w:rsidRPr="00587E07" w:rsidP="0097774F">
      <w:pPr>
        <w:bidi w:val="0"/>
        <w:jc w:val="center"/>
        <w:rPr>
          <w:rFonts w:asciiTheme="majorBidi" w:hAnsiTheme="majorBidi" w:cstheme="majorBidi"/>
          <w:b/>
          <w:bCs/>
        </w:rPr>
      </w:pPr>
      <w:r w:rsidRPr="00587E07" w:rsidR="004B2F4D">
        <w:rPr>
          <w:rFonts w:asciiTheme="majorBidi" w:hAnsiTheme="majorBidi" w:cstheme="majorBidi"/>
        </w:rPr>
        <w:br w:type="page"/>
      </w:r>
      <w:r w:rsidRPr="00587E07">
        <w:rPr>
          <w:rFonts w:asciiTheme="majorBidi" w:hAnsiTheme="majorBidi" w:cstheme="majorBidi"/>
          <w:b/>
          <w:bCs/>
        </w:rPr>
        <w:t>DOLOŽKA ZLUČITEĽNOSTI</w:t>
      </w:r>
    </w:p>
    <w:p w:rsidR="0097774F" w:rsidRPr="00587E07" w:rsidP="0097774F">
      <w:pPr>
        <w:pBdr>
          <w:bottom w:val="single" w:sz="12" w:space="1" w:color="auto"/>
        </w:pBdr>
        <w:bidi w:val="0"/>
        <w:spacing w:after="120"/>
        <w:ind w:left="283"/>
        <w:jc w:val="center"/>
        <w:rPr>
          <w:rFonts w:asciiTheme="majorBidi" w:hAnsiTheme="majorBidi" w:cstheme="majorBidi"/>
          <w:b/>
        </w:rPr>
      </w:pPr>
      <w:r w:rsidRPr="00587E07">
        <w:rPr>
          <w:rFonts w:asciiTheme="majorBidi" w:hAnsiTheme="majorBidi" w:cstheme="majorBidi"/>
          <w:b/>
        </w:rPr>
        <w:t xml:space="preserve">návrhu zákona, </w:t>
      </w:r>
      <w:r w:rsidRPr="00587E07">
        <w:rPr>
          <w:rFonts w:asciiTheme="majorBidi" w:hAnsiTheme="majorBidi" w:cstheme="majorBidi"/>
          <w:b/>
          <w:bCs/>
        </w:rPr>
        <w:t xml:space="preserve">ktorým  sa mení a dopĺňa zákon č. 333/2011 Z. z. o orgánoch štátnej správy v oblasti daní, poplatkov a colníctva </w:t>
      </w:r>
      <w:r w:rsidR="00C95703">
        <w:rPr>
          <w:rFonts w:asciiTheme="majorBidi" w:hAnsiTheme="majorBidi" w:cstheme="majorBidi"/>
          <w:b/>
          <w:bCs/>
        </w:rPr>
        <w:t>v znení neskorších predpisov</w:t>
      </w:r>
      <w:r w:rsidRPr="00587E07" w:rsidR="00C95703">
        <w:rPr>
          <w:rFonts w:asciiTheme="majorBidi" w:hAnsiTheme="majorBidi" w:cstheme="majorBidi"/>
          <w:b/>
        </w:rPr>
        <w:t xml:space="preserve"> </w:t>
      </w:r>
      <w:r w:rsidRPr="00587E07">
        <w:rPr>
          <w:rFonts w:asciiTheme="majorBidi" w:hAnsiTheme="majorBidi" w:cstheme="majorBidi"/>
          <w:b/>
          <w:bCs/>
        </w:rPr>
        <w:t>a ktorým sa menia a dopĺňajú niektoré zákony</w:t>
      </w:r>
      <w:r w:rsidR="00054BA0">
        <w:rPr>
          <w:rFonts w:asciiTheme="majorBidi" w:hAnsiTheme="majorBidi" w:cstheme="majorBidi"/>
          <w:b/>
          <w:bCs/>
        </w:rPr>
        <w:t xml:space="preserve"> </w:t>
      </w:r>
      <w:r w:rsidRPr="00587E07">
        <w:rPr>
          <w:rFonts w:asciiTheme="majorBidi" w:hAnsiTheme="majorBidi" w:cstheme="majorBidi"/>
          <w:b/>
        </w:rPr>
        <w:t>s právom Európskej únie</w:t>
      </w:r>
    </w:p>
    <w:p w:rsidR="0097774F" w:rsidRPr="00587E07" w:rsidP="0097774F">
      <w:pPr>
        <w:autoSpaceDE w:val="0"/>
        <w:autoSpaceDN w:val="0"/>
        <w:bidi w:val="0"/>
        <w:spacing w:after="100" w:afterAutospacing="1"/>
        <w:jc w:val="center"/>
        <w:rPr>
          <w:rFonts w:asciiTheme="majorBidi" w:hAnsiTheme="majorBidi" w:cstheme="majorBidi"/>
          <w:b/>
          <w:bCs/>
        </w:rPr>
      </w:pPr>
    </w:p>
    <w:p w:rsidR="0097774F" w:rsidRPr="00587E07" w:rsidP="0097774F">
      <w:pPr>
        <w:numPr>
          <w:numId w:val="4"/>
        </w:numPr>
        <w:autoSpaceDE w:val="0"/>
        <w:bidi w:val="0"/>
        <w:spacing w:after="12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  <w:b/>
          <w:bCs/>
        </w:rPr>
        <w:t>Predkladateľ zákona:</w:t>
      </w:r>
    </w:p>
    <w:p w:rsidR="0097774F" w:rsidRPr="00587E07" w:rsidP="0097774F">
      <w:pPr>
        <w:autoSpaceDE w:val="0"/>
        <w:autoSpaceDN w:val="0"/>
        <w:bidi w:val="0"/>
        <w:ind w:firstLine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 xml:space="preserve">Vláda Slovenskej republiky. </w:t>
      </w:r>
    </w:p>
    <w:p w:rsidR="0097774F" w:rsidRPr="00587E07" w:rsidP="0097774F">
      <w:pPr>
        <w:autoSpaceDE w:val="0"/>
        <w:autoSpaceDN w:val="0"/>
        <w:bidi w:val="0"/>
        <w:jc w:val="both"/>
        <w:rPr>
          <w:rFonts w:asciiTheme="majorBidi" w:hAnsiTheme="majorBidi" w:cstheme="majorBidi"/>
          <w:b/>
          <w:bCs/>
        </w:rPr>
      </w:pPr>
    </w:p>
    <w:p w:rsidR="0097774F" w:rsidRPr="00587E07" w:rsidP="0097774F">
      <w:pPr>
        <w:numPr>
          <w:numId w:val="4"/>
        </w:numPr>
        <w:autoSpaceDE w:val="0"/>
        <w:bidi w:val="0"/>
        <w:spacing w:after="12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Názov návrhu zákona:</w:t>
      </w:r>
    </w:p>
    <w:p w:rsidR="0097774F" w:rsidRPr="00587E07" w:rsidP="0097774F">
      <w:pPr>
        <w:autoSpaceDE w:val="0"/>
        <w:autoSpaceDN w:val="0"/>
        <w:bidi w:val="0"/>
        <w:ind w:left="425"/>
        <w:jc w:val="both"/>
        <w:rPr>
          <w:rFonts w:asciiTheme="majorBidi" w:hAnsiTheme="majorBidi" w:cstheme="majorBidi"/>
          <w:bCs/>
        </w:rPr>
      </w:pPr>
      <w:r w:rsidRPr="00587E07">
        <w:rPr>
          <w:rFonts w:asciiTheme="majorBidi" w:hAnsiTheme="majorBidi" w:cstheme="majorBidi"/>
        </w:rPr>
        <w:t>Návrh zákona,</w:t>
      </w:r>
      <w:r w:rsidRPr="00587E07">
        <w:rPr>
          <w:rFonts w:asciiTheme="majorBidi" w:hAnsiTheme="majorBidi" w:cstheme="majorBidi"/>
          <w:bCs/>
        </w:rPr>
        <w:t xml:space="preserve"> ktorým  sa mení a dopĺňa zákon č. 333/2011 Z. z. o orgánoch štátnej správy v oblasti daní, poplatkov a colníctva </w:t>
      </w:r>
      <w:r w:rsidR="00C95703">
        <w:rPr>
          <w:rFonts w:asciiTheme="majorBidi" w:hAnsiTheme="majorBidi" w:cstheme="majorBidi"/>
          <w:bCs/>
        </w:rPr>
        <w:t>v znení neskorších predpisov</w:t>
      </w:r>
      <w:r w:rsidRPr="00587E07" w:rsidR="00C95703">
        <w:rPr>
          <w:rFonts w:asciiTheme="majorBidi" w:hAnsiTheme="majorBidi" w:cstheme="majorBidi"/>
          <w:bCs/>
        </w:rPr>
        <w:t xml:space="preserve"> </w:t>
      </w:r>
      <w:r w:rsidRPr="00587E07">
        <w:rPr>
          <w:rFonts w:asciiTheme="majorBidi" w:hAnsiTheme="majorBidi" w:cstheme="majorBidi"/>
          <w:bCs/>
        </w:rPr>
        <w:t>a ktorým sa menia a dopĺňajú niektoré zákony</w:t>
      </w:r>
      <w:r w:rsidRPr="00587E07">
        <w:rPr>
          <w:rFonts w:asciiTheme="majorBidi" w:hAnsiTheme="majorBidi" w:cstheme="majorBidi"/>
        </w:rPr>
        <w:t>.</w:t>
      </w:r>
    </w:p>
    <w:p w:rsidR="0097774F" w:rsidRPr="00587E07" w:rsidP="0097774F">
      <w:pPr>
        <w:autoSpaceDE w:val="0"/>
        <w:autoSpaceDN w:val="0"/>
        <w:bidi w:val="0"/>
        <w:jc w:val="both"/>
        <w:rPr>
          <w:rFonts w:asciiTheme="majorBidi" w:hAnsiTheme="majorBidi" w:cstheme="majorBidi"/>
          <w:b/>
          <w:bCs/>
        </w:rPr>
      </w:pPr>
    </w:p>
    <w:p w:rsidR="0097774F" w:rsidRPr="00587E07" w:rsidP="0097774F">
      <w:pPr>
        <w:numPr>
          <w:numId w:val="4"/>
        </w:numPr>
        <w:autoSpaceDE w:val="0"/>
        <w:bidi w:val="0"/>
        <w:spacing w:after="12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 xml:space="preserve">Problematika návrhu zákona: </w:t>
      </w:r>
    </w:p>
    <w:p w:rsidR="0097774F" w:rsidRPr="00587E07" w:rsidP="0097774F">
      <w:pPr>
        <w:numPr>
          <w:ilvl w:val="1"/>
          <w:numId w:val="4"/>
        </w:numPr>
        <w:bidi w:val="0"/>
        <w:spacing w:after="120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>je upravená v práve Európskej únie:</w:t>
      </w:r>
    </w:p>
    <w:p w:rsidR="0097774F" w:rsidRPr="00587E07" w:rsidP="0097774F">
      <w:pPr>
        <w:bidi w:val="0"/>
        <w:spacing w:after="120"/>
        <w:ind w:left="900" w:hanging="425"/>
        <w:rPr>
          <w:rFonts w:asciiTheme="majorBidi" w:hAnsiTheme="majorBidi" w:cstheme="majorBidi"/>
          <w:b/>
          <w:bCs/>
          <w:iCs/>
          <w:lang w:eastAsia="cs-CZ"/>
        </w:rPr>
      </w:pPr>
      <w:r w:rsidRPr="00587E07">
        <w:rPr>
          <w:rFonts w:asciiTheme="majorBidi" w:hAnsiTheme="majorBidi" w:cstheme="majorBidi"/>
          <w:b/>
          <w:bCs/>
          <w:iCs/>
          <w:lang w:eastAsia="cs-CZ"/>
        </w:rPr>
        <w:t xml:space="preserve">Primárne právo: </w:t>
      </w:r>
    </w:p>
    <w:p w:rsidR="0097774F" w:rsidRPr="00587E07" w:rsidP="0097774F">
      <w:pPr>
        <w:numPr>
          <w:numId w:val="17"/>
        </w:numPr>
        <w:bidi w:val="0"/>
        <w:spacing w:after="120"/>
        <w:ind w:left="851" w:hanging="425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 xml:space="preserve">   v čl. 3 ods. 1 písm. a), čl. 28 až 37, čl. 110 a 113 Zmluvy o fungovaní Európskej únie (</w:t>
      </w:r>
      <w:r w:rsidRPr="00587E07">
        <w:rPr>
          <w:rFonts w:asciiTheme="majorBidi" w:hAnsiTheme="majorBidi" w:cstheme="majorBidi"/>
        </w:rPr>
        <w:t>Ú.v. EÚ C 83, 30.3. 2010),</w:t>
      </w:r>
    </w:p>
    <w:p w:rsidR="0097774F" w:rsidRPr="00587E07" w:rsidP="0097774F">
      <w:pPr>
        <w:bidi w:val="0"/>
        <w:spacing w:after="120"/>
        <w:ind w:left="283"/>
        <w:jc w:val="both"/>
        <w:rPr>
          <w:rFonts w:asciiTheme="majorBidi" w:hAnsiTheme="majorBidi" w:cstheme="majorBidi"/>
          <w:b/>
          <w:bCs/>
          <w:i/>
          <w:iCs/>
        </w:rPr>
      </w:pPr>
      <w:r w:rsidRPr="00587E07">
        <w:rPr>
          <w:rFonts w:asciiTheme="majorBidi" w:hAnsiTheme="majorBidi" w:cstheme="majorBidi"/>
          <w:b/>
          <w:bCs/>
          <w:iCs/>
        </w:rPr>
        <w:t>Sekundárne právo</w:t>
      </w:r>
      <w:r w:rsidRPr="00587E07">
        <w:rPr>
          <w:rFonts w:asciiTheme="majorBidi" w:hAnsiTheme="majorBidi" w:cstheme="majorBidi"/>
          <w:b/>
          <w:bCs/>
          <w:i/>
          <w:iCs/>
        </w:rPr>
        <w:t xml:space="preserve">  </w:t>
      </w:r>
      <w:r w:rsidRPr="00587E07">
        <w:rPr>
          <w:rFonts w:asciiTheme="majorBidi" w:hAnsiTheme="majorBidi" w:cstheme="majorBidi"/>
        </w:rPr>
        <w:t>(prijaté po nadobudnutí platnosti Lisabonskej zmluvy, ktorou sa mení a dopĺňa Zmluva o Európskom spoločenstve a Zmluva o Európskej únii - po 30. novembri 2009):</w:t>
      </w:r>
    </w:p>
    <w:p w:rsidR="0097774F" w:rsidRPr="00587E07" w:rsidP="0097774F">
      <w:pPr>
        <w:numPr>
          <w:numId w:val="19"/>
        </w:numPr>
        <w:autoSpaceDE w:val="0"/>
        <w:autoSpaceDN w:val="0"/>
        <w:bidi w:val="0"/>
        <w:adjustRightInd w:val="0"/>
        <w:spacing w:before="120" w:after="120"/>
        <w:ind w:left="782" w:hanging="357"/>
        <w:jc w:val="both"/>
        <w:rPr>
          <w:rFonts w:asciiTheme="majorBidi" w:hAnsiTheme="majorBidi" w:cstheme="majorBidi"/>
          <w:bCs/>
          <w:iCs/>
          <w:u w:val="single"/>
        </w:rPr>
      </w:pPr>
      <w:r w:rsidRPr="00587E07">
        <w:rPr>
          <w:rFonts w:asciiTheme="majorBidi" w:hAnsiTheme="majorBidi" w:cstheme="majorBidi"/>
          <w:bCs/>
          <w:iCs/>
          <w:u w:val="single"/>
        </w:rPr>
        <w:t>legislatívne akty:</w:t>
      </w:r>
    </w:p>
    <w:p w:rsidR="0097774F" w:rsidRPr="00587E07" w:rsidP="0097774F">
      <w:pPr>
        <w:numPr>
          <w:numId w:val="20"/>
        </w:numPr>
        <w:bidi w:val="0"/>
        <w:spacing w:after="12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 xml:space="preserve">nariadenie </w:t>
      </w:r>
      <w:r w:rsidRPr="00587E07">
        <w:rPr>
          <w:rFonts w:asciiTheme="majorBidi" w:hAnsiTheme="majorBidi" w:cstheme="majorBidi"/>
          <w:bCs/>
        </w:rPr>
        <w:t xml:space="preserve">Rady (EÚ) č. </w:t>
      </w:r>
      <w:r w:rsidRPr="00587E07">
        <w:rPr>
          <w:rFonts w:asciiTheme="majorBidi" w:hAnsiTheme="majorBidi" w:cstheme="majorBidi"/>
          <w:bCs/>
          <w:u w:val="single"/>
        </w:rPr>
        <w:t>389/2012</w:t>
      </w:r>
      <w:r w:rsidRPr="00587E07">
        <w:rPr>
          <w:rFonts w:asciiTheme="majorBidi" w:hAnsiTheme="majorBidi" w:cstheme="majorBidi"/>
          <w:bCs/>
        </w:rPr>
        <w:t xml:space="preserve"> z 2. mája 2012 o administratívnej spolupráci v oblasti spotrebných daní a zrušení nariadenia (ES) č. 2073/2004</w:t>
      </w:r>
      <w:r w:rsidRPr="00587E07">
        <w:rPr>
          <w:rFonts w:asciiTheme="majorBidi" w:hAnsiTheme="majorBidi" w:cstheme="majorBidi"/>
        </w:rPr>
        <w:t xml:space="preserve"> (</w:t>
      </w:r>
      <w:r w:rsidRPr="00587E07">
        <w:rPr>
          <w:rFonts w:asciiTheme="majorBidi" w:hAnsiTheme="majorBidi" w:cstheme="majorBidi"/>
          <w:iCs/>
        </w:rPr>
        <w:t>Ú.v. EÚ</w:t>
      </w:r>
      <w:r w:rsidRPr="00587E07">
        <w:rPr>
          <w:rFonts w:asciiTheme="majorBidi" w:hAnsiTheme="majorBidi" w:cstheme="majorBidi"/>
        </w:rPr>
        <w:t xml:space="preserve"> </w:t>
      </w:r>
      <w:r w:rsidRPr="00587E07">
        <w:rPr>
          <w:rFonts w:asciiTheme="majorBidi" w:hAnsiTheme="majorBidi" w:cstheme="majorBidi"/>
          <w:iCs/>
        </w:rPr>
        <w:t>L 121,</w:t>
      </w:r>
      <w:r w:rsidR="00E03BC0">
        <w:rPr>
          <w:rFonts w:asciiTheme="majorBidi" w:hAnsiTheme="majorBidi" w:cstheme="majorBidi"/>
          <w:iCs/>
        </w:rPr>
        <w:br/>
      </w:r>
      <w:r w:rsidRPr="00587E07">
        <w:rPr>
          <w:rFonts w:asciiTheme="majorBidi" w:hAnsiTheme="majorBidi" w:cstheme="majorBidi"/>
          <w:iCs/>
        </w:rPr>
        <w:t>8.</w:t>
      </w:r>
      <w:r w:rsidR="00472CD1">
        <w:rPr>
          <w:rFonts w:asciiTheme="majorBidi" w:hAnsiTheme="majorBidi" w:cstheme="majorBidi"/>
          <w:iCs/>
        </w:rPr>
        <w:t xml:space="preserve"> </w:t>
      </w:r>
      <w:r w:rsidRPr="00587E07">
        <w:rPr>
          <w:rFonts w:asciiTheme="majorBidi" w:hAnsiTheme="majorBidi" w:cstheme="majorBidi"/>
          <w:iCs/>
        </w:rPr>
        <w:t>5.</w:t>
      </w:r>
      <w:r w:rsidR="000B3FC3">
        <w:rPr>
          <w:rFonts w:asciiTheme="majorBidi" w:hAnsiTheme="majorBidi" w:cstheme="majorBidi"/>
          <w:iCs/>
        </w:rPr>
        <w:t xml:space="preserve"> </w:t>
      </w:r>
      <w:r w:rsidRPr="00587E07">
        <w:rPr>
          <w:rFonts w:asciiTheme="majorBidi" w:hAnsiTheme="majorBidi" w:cstheme="majorBidi"/>
          <w:iCs/>
        </w:rPr>
        <w:t>2012),</w:t>
      </w:r>
    </w:p>
    <w:p w:rsidR="0097774F" w:rsidRPr="00587E07" w:rsidP="0097774F">
      <w:pPr>
        <w:autoSpaceDE w:val="0"/>
        <w:autoSpaceDN w:val="0"/>
        <w:bidi w:val="0"/>
        <w:adjustRightInd w:val="0"/>
        <w:ind w:left="454"/>
        <w:jc w:val="both"/>
        <w:rPr>
          <w:rFonts w:asciiTheme="majorBidi" w:hAnsiTheme="majorBidi" w:cstheme="majorBidi"/>
          <w:b/>
          <w:bCs/>
          <w:iCs/>
        </w:rPr>
      </w:pPr>
    </w:p>
    <w:p w:rsidR="0097774F" w:rsidRPr="00587E07" w:rsidP="0097774F">
      <w:pPr>
        <w:autoSpaceDE w:val="0"/>
        <w:autoSpaceDN w:val="0"/>
        <w:bidi w:val="0"/>
        <w:adjustRightInd w:val="0"/>
        <w:ind w:left="284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  <w:b/>
          <w:bCs/>
          <w:iCs/>
        </w:rPr>
        <w:t xml:space="preserve">Sekundárne právo </w:t>
      </w:r>
      <w:r w:rsidRPr="00587E07">
        <w:rPr>
          <w:rFonts w:asciiTheme="majorBidi" w:hAnsiTheme="majorBidi" w:cstheme="majorBidi"/>
        </w:rPr>
        <w:t>(prijaté pred nadobudnutím platnosti Lisabonskej zmluvy, ktorou sa mení a dopĺňa Zmluva o Európskom spoločenstve a Zmluva o Európskej únii - do 30. novembra 2009):</w:t>
      </w:r>
    </w:p>
    <w:p w:rsidR="0097774F" w:rsidRPr="00587E07" w:rsidP="0097774F">
      <w:pPr>
        <w:autoSpaceDE w:val="0"/>
        <w:autoSpaceDN w:val="0"/>
        <w:bidi w:val="0"/>
        <w:adjustRightInd w:val="0"/>
        <w:ind w:left="454"/>
        <w:rPr>
          <w:rFonts w:asciiTheme="majorBidi" w:hAnsiTheme="majorBidi" w:cstheme="majorBidi"/>
          <w:b/>
          <w:bCs/>
          <w:iCs/>
        </w:rPr>
      </w:pP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 xml:space="preserve">nariadenie Rady (EHS) č. </w:t>
      </w:r>
      <w:r w:rsidRPr="00587E07">
        <w:rPr>
          <w:rFonts w:asciiTheme="majorBidi" w:hAnsiTheme="majorBidi" w:cstheme="majorBidi"/>
          <w:u w:val="single"/>
        </w:rPr>
        <w:t>2913/92</w:t>
      </w:r>
      <w:r w:rsidRPr="00587E07">
        <w:rPr>
          <w:rFonts w:asciiTheme="majorBidi" w:hAnsiTheme="majorBidi" w:cstheme="majorBidi"/>
        </w:rPr>
        <w:t xml:space="preserve"> z 12. októbra 1992, ktorým sa ustanovuje Colný kódex Spoločenstva (Mimoriadne vydanie Ú. v. EÚ, kap. 2/zv. 4) v platnom znení,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bidi w:val="0"/>
        <w:spacing w:after="120"/>
        <w:ind w:left="709" w:hanging="425"/>
        <w:jc w:val="both"/>
        <w:rPr>
          <w:rFonts w:asciiTheme="majorBidi" w:hAnsiTheme="majorBidi" w:cstheme="majorBidi"/>
          <w:color w:val="000000"/>
        </w:rPr>
      </w:pPr>
      <w:r w:rsidRPr="00587E07">
        <w:rPr>
          <w:rFonts w:asciiTheme="majorBidi" w:hAnsiTheme="majorBidi" w:cstheme="majorBidi"/>
          <w:color w:val="000000"/>
        </w:rPr>
        <w:t xml:space="preserve">nariadenie Komisie (EHS) č. </w:t>
      </w:r>
      <w:r w:rsidRPr="00587E07">
        <w:rPr>
          <w:rFonts w:asciiTheme="majorBidi" w:hAnsiTheme="majorBidi" w:cstheme="majorBidi"/>
          <w:color w:val="000000"/>
          <w:u w:val="single"/>
        </w:rPr>
        <w:t>2454/93</w:t>
      </w:r>
      <w:r w:rsidRPr="00587E07">
        <w:rPr>
          <w:rFonts w:asciiTheme="majorBidi" w:hAnsiTheme="majorBidi" w:cstheme="majorBidi"/>
          <w:color w:val="000000"/>
        </w:rPr>
        <w:t xml:space="preserve"> z 2. júla 1993, ktorým sa vykonáva  nariadenie Rady (EHS) č. 2913/92, ktorým sa ustanovuje Colný kódex spoločenstva (Mimoriadne vydanie Ú. v. EÚ, kap. 2/zv. 6) v platnom znení,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bidi w:val="0"/>
        <w:spacing w:after="120"/>
        <w:ind w:left="709" w:hanging="425"/>
        <w:jc w:val="both"/>
        <w:rPr>
          <w:rFonts w:asciiTheme="majorBidi" w:hAnsiTheme="majorBidi" w:cstheme="majorBidi"/>
          <w:color w:val="000000"/>
        </w:rPr>
      </w:pPr>
      <w:r w:rsidRPr="00587E07">
        <w:rPr>
          <w:rFonts w:asciiTheme="majorBidi" w:hAnsiTheme="majorBidi" w:cstheme="majorBidi"/>
          <w:color w:val="000000"/>
        </w:rPr>
        <w:t>nariadenie Rady (ES) č. </w:t>
      </w:r>
      <w:r w:rsidRPr="00587E07">
        <w:rPr>
          <w:rFonts w:asciiTheme="majorBidi" w:hAnsiTheme="majorBidi" w:cstheme="majorBidi"/>
          <w:color w:val="000000"/>
          <w:u w:val="single"/>
        </w:rPr>
        <w:t>515/97</w:t>
      </w:r>
      <w:r w:rsidRPr="00587E07">
        <w:rPr>
          <w:rFonts w:asciiTheme="majorBidi" w:hAnsiTheme="majorBidi" w:cstheme="majorBidi"/>
          <w:color w:val="000000"/>
        </w:rPr>
        <w:t xml:space="preserve"> z 13. marca 1997 o vzájomnej pomoci medzi správnymi orgánmi členských štátov a o spolupráci medzi správnymi orgánmi členských štátov a Komisiou pri zabezpečovaní riadneho uplatňovania predpisov o colných a poľnohospodárskych záležitostiach (Mimoriadne vydanie Ú. v. EÚ, kap. 2/zv. 8) v platnom znení,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autoSpaceDE w:val="0"/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nariadenie Rady (ES) č. </w:t>
      </w:r>
      <w:r w:rsidRPr="00587E07">
        <w:rPr>
          <w:rFonts w:asciiTheme="majorBidi" w:hAnsiTheme="majorBidi" w:cstheme="majorBidi"/>
          <w:u w:val="single"/>
        </w:rPr>
        <w:t>1383/2003</w:t>
      </w:r>
      <w:r w:rsidRPr="00587E07">
        <w:rPr>
          <w:rFonts w:asciiTheme="majorBidi" w:hAnsiTheme="majorBidi" w:cstheme="majorBidi"/>
        </w:rPr>
        <w:t xml:space="preserve"> z 22. júla 2003, ktoré sa týka colného konania pri tovare podozrivom z porušovania niektorých práv duševného vlastníctva a opatrení, ktoré sa majú prijať pri tovare, u ktorého sa zistilo, že sa takéto práva porušili (Mimoriadne vydanie Ú. v. EÚ, kap. 2/zv. 13),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autoSpaceDE w:val="0"/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nariadenie Komisie (ES) č. </w:t>
      </w:r>
      <w:r w:rsidRPr="00587E07">
        <w:rPr>
          <w:rFonts w:asciiTheme="majorBidi" w:hAnsiTheme="majorBidi" w:cstheme="majorBidi"/>
          <w:u w:val="single"/>
        </w:rPr>
        <w:t>1891/2004</w:t>
      </w:r>
      <w:r w:rsidRPr="00587E07">
        <w:rPr>
          <w:rFonts w:asciiTheme="majorBidi" w:hAnsiTheme="majorBidi" w:cstheme="majorBidi"/>
        </w:rPr>
        <w:t xml:space="preserve"> z 21. októbra 2004, ktorým sa vykonáva nariadenie Rady (ES) č. 1383/2003 o prijatí opatrení colnými orgánmi pri tovare, pri ktorom je podozrenie z porušovania niektorých práv duševného vlastníctva a opatrení, ktoré sa majú prijať pri tovare, pri ktorom sa zistilo, že sa práva duševného vlastníctva porušili (</w:t>
      </w:r>
      <w:r w:rsidRPr="00587E07">
        <w:rPr>
          <w:rFonts w:asciiTheme="majorBidi" w:hAnsiTheme="majorBidi" w:cstheme="majorBidi"/>
          <w:iCs/>
        </w:rPr>
        <w:t>Ú. v. EÚ L 328, 30.10.2004) v platnom znení,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autoSpaceDE w:val="0"/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  <w:iCs/>
        </w:rPr>
        <w:t xml:space="preserve">nariadenie </w:t>
      </w:r>
      <w:r w:rsidRPr="00587E07">
        <w:rPr>
          <w:rFonts w:asciiTheme="majorBidi" w:hAnsiTheme="majorBidi" w:cstheme="majorBidi"/>
          <w:bCs/>
        </w:rPr>
        <w:t xml:space="preserve">Európskeho parlamentu a Rady (ES) </w:t>
      </w:r>
      <w:r w:rsidRPr="00587E07">
        <w:rPr>
          <w:rFonts w:asciiTheme="majorBidi" w:hAnsiTheme="majorBidi" w:cstheme="majorBidi"/>
        </w:rPr>
        <w:t>č. </w:t>
      </w:r>
      <w:r w:rsidRPr="00587E07">
        <w:rPr>
          <w:rFonts w:asciiTheme="majorBidi" w:hAnsiTheme="majorBidi" w:cstheme="majorBidi"/>
          <w:u w:val="single"/>
        </w:rPr>
        <w:t>638/2004</w:t>
      </w:r>
      <w:r w:rsidRPr="00587E07">
        <w:rPr>
          <w:rFonts w:asciiTheme="majorBidi" w:hAnsiTheme="majorBidi" w:cstheme="majorBidi"/>
        </w:rPr>
        <w:t xml:space="preserve"> Európskeho parlamentu a Rady z 31. marca 2004 o štatistike spoločenstva o obchodovaní s tovarom medzi členskými štátmi a o zrušení nariadenia Rady (EHS) č. 3330/91</w:t>
      </w:r>
      <w:r w:rsidRPr="00587E07">
        <w:rPr>
          <w:rFonts w:asciiTheme="majorBidi" w:hAnsiTheme="majorBidi" w:cstheme="majorBidi"/>
          <w:i/>
          <w:iCs/>
        </w:rPr>
        <w:t xml:space="preserve"> </w:t>
      </w:r>
      <w:r w:rsidRPr="00587E07">
        <w:rPr>
          <w:rFonts w:asciiTheme="majorBidi" w:hAnsiTheme="majorBidi" w:cstheme="majorBidi"/>
        </w:rPr>
        <w:t>(Mimoriadne vydanie Ú. v. EÚ, kap. 2/zv. 16) v platnom znení,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autoSpaceDE w:val="0"/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nariadenie Komisie (ES) č. </w:t>
      </w:r>
      <w:r w:rsidRPr="00587E07">
        <w:rPr>
          <w:rFonts w:asciiTheme="majorBidi" w:hAnsiTheme="majorBidi" w:cstheme="majorBidi"/>
          <w:u w:val="single"/>
        </w:rPr>
        <w:t>1277/2005</w:t>
      </w:r>
      <w:r w:rsidRPr="00587E07">
        <w:rPr>
          <w:rFonts w:asciiTheme="majorBidi" w:hAnsiTheme="majorBidi" w:cstheme="majorBidi"/>
        </w:rPr>
        <w:t xml:space="preserve"> z 27. júla 2005, ktorým sa ustanovujú vykonávacie pravidlá pre nariadenie Európskeho parlamentu a Rady (ES) č. 273/2004 o prekurzoroch drog a pre nariadenie Rady (ES) č. 111/2005, ktorým sa stanovujú pravidlá sledovania obchodu s drogovými prekurzormi medzi Spoločenstvom a tretími krajinami (</w:t>
      </w:r>
      <w:r w:rsidRPr="00587E07">
        <w:rPr>
          <w:rFonts w:asciiTheme="majorBidi" w:hAnsiTheme="majorBidi" w:cstheme="majorBidi"/>
          <w:iCs/>
        </w:rPr>
        <w:t>Ú. v. EÚ L 202, 3.8.2005) v platnom znení,</w:t>
      </w:r>
      <w:r w:rsidRPr="00587E07">
        <w:rPr>
          <w:rFonts w:asciiTheme="majorBidi" w:hAnsiTheme="majorBidi" w:cstheme="majorBidi"/>
          <w:i/>
          <w:iCs/>
        </w:rPr>
        <w:t xml:space="preserve"> 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autoSpaceDE w:val="0"/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  <w:iCs/>
        </w:rPr>
        <w:t xml:space="preserve">nariadenie </w:t>
      </w:r>
      <w:r w:rsidRPr="00587E07">
        <w:rPr>
          <w:rFonts w:asciiTheme="majorBidi" w:hAnsiTheme="majorBidi" w:cstheme="majorBidi"/>
        </w:rPr>
        <w:t>Komisie (ES) č. </w:t>
      </w:r>
      <w:r w:rsidRPr="00587E07">
        <w:rPr>
          <w:rFonts w:asciiTheme="majorBidi" w:hAnsiTheme="majorBidi" w:cstheme="majorBidi"/>
          <w:u w:val="single"/>
        </w:rPr>
        <w:t>1276/2008</w:t>
      </w:r>
      <w:r w:rsidRPr="00587E07">
        <w:rPr>
          <w:rFonts w:asciiTheme="majorBidi" w:hAnsiTheme="majorBidi" w:cstheme="majorBidi"/>
        </w:rPr>
        <w:t xml:space="preserve"> zo 17. decembra 2008 o monitorovaní vývozu poľnohospodárskych výrobkov, na ktoré sa poskytujú náhrady alebo iné sumy, prostredníctvom fyzických kontrol (</w:t>
      </w:r>
      <w:r w:rsidRPr="00587E07">
        <w:rPr>
          <w:rFonts w:asciiTheme="majorBidi" w:hAnsiTheme="majorBidi" w:cstheme="majorBidi"/>
          <w:iCs/>
        </w:rPr>
        <w:t>Ú. v. EÚ L 339, 18.12.2008) v platnom znení,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autoSpaceDE w:val="0"/>
        <w:bidi w:val="0"/>
        <w:adjustRightInd w:val="0"/>
        <w:spacing w:after="120"/>
        <w:ind w:left="709" w:hanging="425"/>
        <w:jc w:val="both"/>
        <w:rPr>
          <w:rFonts w:asciiTheme="majorBidi" w:hAnsiTheme="majorBidi" w:cstheme="majorBidi"/>
          <w:i/>
        </w:rPr>
      </w:pPr>
      <w:r w:rsidRPr="00587E07">
        <w:rPr>
          <w:rFonts w:asciiTheme="majorBidi" w:hAnsiTheme="majorBidi" w:cstheme="majorBidi"/>
          <w:iCs/>
        </w:rPr>
        <w:t xml:space="preserve">nariadenie Rady (ES) č. </w:t>
      </w:r>
      <w:r w:rsidRPr="00587E07">
        <w:rPr>
          <w:rFonts w:asciiTheme="majorBidi" w:hAnsiTheme="majorBidi" w:cstheme="majorBidi"/>
          <w:u w:val="single"/>
        </w:rPr>
        <w:t>1186/2009</w:t>
      </w:r>
      <w:r w:rsidRPr="00587E07">
        <w:rPr>
          <w:rFonts w:asciiTheme="majorBidi" w:hAnsiTheme="majorBidi" w:cstheme="majorBidi"/>
        </w:rPr>
        <w:t xml:space="preserve"> zo 16. novembra 2009 ustanovujúce systém Spoločenstva pre oslobodenie od cla (</w:t>
      </w:r>
      <w:r w:rsidRPr="00587E07">
        <w:rPr>
          <w:rFonts w:asciiTheme="majorBidi" w:hAnsiTheme="majorBidi" w:cstheme="majorBidi"/>
          <w:iCs/>
        </w:rPr>
        <w:t>Ú. v. EÚ L 324, 10.12.2009),</w:t>
      </w:r>
    </w:p>
    <w:p w:rsidR="0097774F" w:rsidRPr="00587E07" w:rsidP="0097774F">
      <w:pPr>
        <w:numPr>
          <w:numId w:val="16"/>
        </w:numPr>
        <w:tabs>
          <w:tab w:val="left" w:pos="284"/>
          <w:tab w:val="num" w:pos="709"/>
        </w:tabs>
        <w:bidi w:val="0"/>
        <w:ind w:left="709" w:hanging="425"/>
        <w:jc w:val="both"/>
        <w:rPr>
          <w:rFonts w:asciiTheme="majorBidi" w:hAnsiTheme="majorBidi" w:cstheme="majorBidi"/>
          <w:color w:val="000000"/>
        </w:rPr>
      </w:pPr>
      <w:r w:rsidRPr="00587E07">
        <w:rPr>
          <w:rFonts w:asciiTheme="majorBidi" w:hAnsiTheme="majorBidi" w:cstheme="majorBidi"/>
          <w:color w:val="000000"/>
        </w:rPr>
        <w:t xml:space="preserve">rozhodnutie Rady </w:t>
      </w:r>
      <w:r w:rsidRPr="00587E07">
        <w:rPr>
          <w:rFonts w:asciiTheme="majorBidi" w:hAnsiTheme="majorBidi" w:cstheme="majorBidi"/>
          <w:color w:val="000000"/>
          <w:u w:val="single"/>
        </w:rPr>
        <w:t>2009/917/SVV</w:t>
      </w:r>
      <w:r w:rsidRPr="00587E07">
        <w:rPr>
          <w:rFonts w:asciiTheme="majorBidi" w:hAnsiTheme="majorBidi" w:cstheme="majorBidi"/>
          <w:color w:val="000000"/>
        </w:rPr>
        <w:t xml:space="preserve"> z 30. novembra 2009 o využívaní informačných technológií na colné účely (Ú. v. EÚ, L 323, 10. 12. 2009).</w:t>
      </w:r>
    </w:p>
    <w:p w:rsidR="0097774F" w:rsidRPr="00587E07" w:rsidP="0097774F">
      <w:pPr>
        <w:autoSpaceDE w:val="0"/>
        <w:bidi w:val="0"/>
        <w:adjustRightInd w:val="0"/>
        <w:spacing w:after="120"/>
        <w:jc w:val="both"/>
        <w:rPr>
          <w:rFonts w:asciiTheme="majorBidi" w:hAnsiTheme="majorBidi" w:cstheme="majorBidi"/>
          <w:i/>
        </w:rPr>
      </w:pPr>
    </w:p>
    <w:p w:rsidR="0097774F" w:rsidRPr="00587E07" w:rsidP="0097774F">
      <w:pPr>
        <w:numPr>
          <w:ilvl w:val="1"/>
          <w:numId w:val="4"/>
        </w:numPr>
        <w:bidi w:val="0"/>
        <w:spacing w:after="120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>je obsiahnutá v judikatúre Súdneho dvora Európskej únie:</w:t>
      </w:r>
    </w:p>
    <w:p w:rsidR="0097774F" w:rsidRPr="00587E07" w:rsidP="0097774F">
      <w:pPr>
        <w:numPr>
          <w:numId w:val="16"/>
        </w:numPr>
        <w:bidi w:val="0"/>
        <w:spacing w:after="120"/>
        <w:ind w:left="896" w:hanging="47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 xml:space="preserve">rozhodnutie Súdneho dvora </w:t>
      </w:r>
      <w:r w:rsidRPr="00587E07">
        <w:rPr>
          <w:rFonts w:asciiTheme="majorBidi" w:hAnsiTheme="majorBidi" w:cstheme="majorBidi"/>
        </w:rPr>
        <w:t>vo veci C - 272/03, Hauptzollamt  Neubrandenburg v. Jens Christian Siig, rok 2004</w:t>
      </w:r>
      <w:r w:rsidRPr="00587E07">
        <w:rPr>
          <w:rFonts w:asciiTheme="majorBidi" w:hAnsiTheme="majorBidi" w:cstheme="majorBidi"/>
          <w:lang w:val="cs-CZ"/>
        </w:rPr>
        <w:t>,</w:t>
      </w:r>
    </w:p>
    <w:p w:rsidR="0097774F" w:rsidRPr="00587E07" w:rsidP="0097774F">
      <w:pPr>
        <w:numPr>
          <w:numId w:val="16"/>
        </w:numPr>
        <w:bidi w:val="0"/>
        <w:spacing w:after="120"/>
        <w:ind w:left="896" w:hanging="47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</w:rPr>
        <w:t xml:space="preserve">rozhodnutie Súdneho dvora vo veci C - 400/03, Waterman SAS, predtým Waterman SA v. Directeur général des douanes et droits indirects, rok 2004, </w:t>
      </w:r>
    </w:p>
    <w:p w:rsidR="0097774F" w:rsidRPr="00587E07" w:rsidP="0097774F">
      <w:pPr>
        <w:numPr>
          <w:numId w:val="16"/>
        </w:numPr>
        <w:bidi w:val="0"/>
        <w:spacing w:after="120"/>
        <w:ind w:left="896" w:hanging="47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</w:rPr>
        <w:t>rozhodnutie Súdneho dvora vo veci C - 194/94 CIA Security International SA proti Signalson SA a Securitel SPRI, rok 1996,</w:t>
      </w:r>
    </w:p>
    <w:p w:rsidR="0097774F" w:rsidRPr="00587E07" w:rsidP="0097774F">
      <w:pPr>
        <w:numPr>
          <w:numId w:val="16"/>
        </w:numPr>
        <w:bidi w:val="0"/>
        <w:spacing w:after="120"/>
        <w:ind w:left="896" w:hanging="47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</w:rPr>
        <w:t>rozhodnutie Súdneho dvora  vo veci C - 443/98 Unilever Italia, SpA proti Central Food SpA, rok 2000.</w:t>
      </w:r>
    </w:p>
    <w:p w:rsidR="0097774F" w:rsidRPr="00587E07" w:rsidP="0097774F">
      <w:pPr>
        <w:numPr>
          <w:numId w:val="4"/>
        </w:numPr>
        <w:autoSpaceDE w:val="0"/>
        <w:bidi w:val="0"/>
        <w:spacing w:after="12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Záväzky Slovenskej republiky vo vzťahu k Európskej únii:</w:t>
      </w:r>
    </w:p>
    <w:p w:rsidR="0097774F" w:rsidRPr="00587E07" w:rsidP="0097774F">
      <w:pPr>
        <w:numPr>
          <w:numId w:val="18"/>
        </w:numPr>
        <w:tabs>
          <w:tab w:val="left" w:pos="425"/>
        </w:tabs>
        <w:bidi w:val="0"/>
        <w:spacing w:after="12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 xml:space="preserve">Lehota </w:t>
      </w:r>
      <w:r w:rsidRPr="00587E07">
        <w:rPr>
          <w:rFonts w:asciiTheme="majorBidi" w:hAnsiTheme="majorBidi" w:cstheme="majorBidi"/>
        </w:rPr>
        <w:t xml:space="preserve">na prebratie smernice alebo lehota </w:t>
      </w:r>
      <w:r w:rsidRPr="00587E07">
        <w:rPr>
          <w:rFonts w:asciiTheme="majorBidi" w:hAnsiTheme="majorBidi" w:cstheme="majorBidi"/>
          <w:lang w:eastAsia="cs-CZ"/>
        </w:rPr>
        <w:t>na implementáciu nariadenia alebo rozhodnutia: bezpredmetné.</w:t>
      </w:r>
    </w:p>
    <w:p w:rsidR="0097774F" w:rsidRPr="00587E07" w:rsidP="0097774F">
      <w:pPr>
        <w:numPr>
          <w:numId w:val="18"/>
        </w:numPr>
        <w:tabs>
          <w:tab w:val="left" w:pos="425"/>
        </w:tabs>
        <w:bidi w:val="0"/>
        <w:spacing w:after="12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97774F" w:rsidRPr="00587E07" w:rsidP="0097774F">
      <w:pPr>
        <w:numPr>
          <w:numId w:val="18"/>
        </w:numPr>
        <w:tabs>
          <w:tab w:val="left" w:pos="425"/>
        </w:tabs>
        <w:bidi w:val="0"/>
        <w:spacing w:after="12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>Proti SR nebolo začaté konanie o porušení Zmluvy o fungovaní Európskej únie podľa čl. 258 až 260 Zmluvy o fungovaní Európskej únie.</w:t>
      </w:r>
    </w:p>
    <w:p w:rsidR="0097774F" w:rsidRPr="00587E07" w:rsidP="0097774F">
      <w:pPr>
        <w:numPr>
          <w:numId w:val="18"/>
        </w:numPr>
        <w:tabs>
          <w:tab w:val="left" w:pos="425"/>
        </w:tabs>
        <w:bidi w:val="0"/>
        <w:spacing w:after="120"/>
        <w:jc w:val="both"/>
        <w:rPr>
          <w:rFonts w:asciiTheme="majorBidi" w:hAnsiTheme="majorBidi" w:cstheme="majorBidi"/>
          <w:lang w:eastAsia="cs-CZ"/>
        </w:rPr>
      </w:pPr>
      <w:r w:rsidRPr="00587E07">
        <w:rPr>
          <w:rFonts w:asciiTheme="majorBidi" w:hAnsiTheme="majorBidi" w:cstheme="majorBidi"/>
          <w:lang w:eastAsia="cs-CZ"/>
        </w:rPr>
        <w:t xml:space="preserve"> Bezpredmetné. </w:t>
      </w:r>
    </w:p>
    <w:p w:rsidR="0097774F" w:rsidRPr="00587E07" w:rsidP="0097774F">
      <w:pPr>
        <w:autoSpaceDE w:val="0"/>
        <w:bidi w:val="0"/>
        <w:spacing w:after="12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>5.     Stupeň zlučiteľnosti návrhu zákona s právom Európskej únie:</w:t>
      </w:r>
    </w:p>
    <w:p w:rsidR="0097774F" w:rsidRPr="00587E07" w:rsidP="0097774F">
      <w:pPr>
        <w:autoSpaceDE w:val="0"/>
        <w:autoSpaceDN w:val="0"/>
        <w:bidi w:val="0"/>
        <w:spacing w:after="120"/>
        <w:ind w:left="36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</w:rPr>
        <w:t>Úplný.</w:t>
      </w:r>
    </w:p>
    <w:p w:rsidR="0097774F" w:rsidRPr="00587E07" w:rsidP="0097774F">
      <w:pPr>
        <w:autoSpaceDE w:val="0"/>
        <w:autoSpaceDN w:val="0"/>
        <w:bidi w:val="0"/>
        <w:jc w:val="both"/>
        <w:rPr>
          <w:rFonts w:asciiTheme="majorBidi" w:hAnsiTheme="majorBidi" w:cstheme="majorBidi"/>
          <w:b/>
          <w:bCs/>
        </w:rPr>
      </w:pPr>
    </w:p>
    <w:p w:rsidR="0097774F" w:rsidRPr="00587E07" w:rsidP="0097774F">
      <w:pPr>
        <w:tabs>
          <w:tab w:val="left" w:pos="360"/>
        </w:tabs>
        <w:autoSpaceDE w:val="0"/>
        <w:bidi w:val="0"/>
        <w:spacing w:after="120"/>
        <w:jc w:val="both"/>
        <w:rPr>
          <w:rFonts w:asciiTheme="majorBidi" w:hAnsiTheme="majorBidi" w:cstheme="majorBidi"/>
          <w:b/>
          <w:bCs/>
        </w:rPr>
      </w:pPr>
      <w:r w:rsidRPr="00587E07">
        <w:rPr>
          <w:rFonts w:asciiTheme="majorBidi" w:hAnsiTheme="majorBidi" w:cstheme="majorBidi"/>
          <w:b/>
          <w:bCs/>
        </w:rPr>
        <w:t xml:space="preserve">6.     Gestor a spolupracujúce rezorty: </w:t>
      </w:r>
    </w:p>
    <w:p w:rsidR="00587E07" w:rsidP="00587E07">
      <w:pPr>
        <w:bidi w:val="0"/>
        <w:spacing w:before="100" w:beforeAutospacing="1" w:after="100" w:afterAutospacing="1"/>
        <w:ind w:left="426"/>
        <w:jc w:val="both"/>
        <w:outlineLvl w:val="1"/>
        <w:rPr>
          <w:rFonts w:asciiTheme="majorBidi" w:hAnsiTheme="majorBidi" w:cstheme="majorBidi"/>
          <w:bCs/>
        </w:rPr>
      </w:pPr>
      <w:r w:rsidRPr="00587E07" w:rsidR="0097774F">
        <w:rPr>
          <w:rFonts w:asciiTheme="majorBidi" w:hAnsiTheme="majorBidi" w:cstheme="majorBidi"/>
          <w:bCs/>
        </w:rPr>
        <w:t>Ministerstvo financií SR, Ministerstvo spravodlivosti SR, Ministerstvo hospodárstva SR, Úrad na ochranu osobných údajov SR a</w:t>
      </w:r>
      <w:r w:rsidRPr="00587E07" w:rsidR="0097774F">
        <w:rPr>
          <w:rFonts w:asciiTheme="majorBidi" w:hAnsiTheme="majorBidi" w:cstheme="majorBidi"/>
          <w:b/>
          <w:bCs/>
        </w:rPr>
        <w:t xml:space="preserve"> </w:t>
      </w:r>
      <w:r w:rsidRPr="00587E07" w:rsidR="0097774F">
        <w:rPr>
          <w:rFonts w:asciiTheme="majorBidi" w:hAnsiTheme="majorBidi" w:cstheme="majorBidi"/>
          <w:bCs/>
        </w:rPr>
        <w:t xml:space="preserve">Ministerstvo pôdohospodárstva </w:t>
      </w:r>
      <w:r w:rsidRPr="00587E07" w:rsidR="0097774F">
        <w:rPr>
          <w:rFonts w:asciiTheme="majorBidi" w:hAnsiTheme="majorBidi" w:cstheme="majorBidi"/>
          <w:bCs/>
          <w:color w:val="000000"/>
        </w:rPr>
        <w:t xml:space="preserve">a  rozvoja vidieka </w:t>
      </w:r>
      <w:r w:rsidRPr="00587E07" w:rsidR="0097774F">
        <w:rPr>
          <w:rFonts w:asciiTheme="majorBidi" w:hAnsiTheme="majorBidi" w:cstheme="majorBidi"/>
          <w:bCs/>
        </w:rPr>
        <w:t>SR.</w:t>
      </w:r>
    </w:p>
    <w:p w:rsidR="00D72BD6" w:rsidRPr="00587E07" w:rsidP="00587E07">
      <w:pPr>
        <w:bidi w:val="0"/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bCs/>
        </w:rPr>
      </w:pPr>
      <w:r w:rsidR="00587E07">
        <w:rPr>
          <w:rFonts w:asciiTheme="majorBidi" w:hAnsiTheme="majorBidi" w:cstheme="majorBidi"/>
          <w:bCs/>
        </w:rPr>
        <w:br w:type="page"/>
      </w:r>
      <w:r w:rsidRPr="00587E07" w:rsidR="008A3F15">
        <w:rPr>
          <w:rFonts w:asciiTheme="majorBidi" w:hAnsiTheme="majorBidi" w:cstheme="majorBidi"/>
          <w:b/>
          <w:bCs/>
        </w:rPr>
        <w:t xml:space="preserve">B. </w:t>
      </w:r>
      <w:r w:rsidRPr="00587E07">
        <w:rPr>
          <w:rFonts w:asciiTheme="majorBidi" w:hAnsiTheme="majorBidi" w:cstheme="majorBidi"/>
          <w:b/>
          <w:bCs/>
        </w:rPr>
        <w:t>Osobitná časť</w:t>
      </w:r>
    </w:p>
    <w:p w:rsidR="00D72BD6" w:rsidRPr="00587E07" w:rsidP="00A31EC0">
      <w:pPr>
        <w:bidi w:val="0"/>
        <w:jc w:val="both"/>
        <w:rPr>
          <w:rFonts w:asciiTheme="majorBidi" w:hAnsiTheme="majorBidi" w:cstheme="majorBidi"/>
          <w:b/>
          <w:bCs/>
          <w:color w:val="231F20"/>
        </w:rPr>
      </w:pPr>
      <w:r w:rsidRPr="00587E07" w:rsidR="00487DCC">
        <w:rPr>
          <w:rFonts w:asciiTheme="majorBidi" w:hAnsiTheme="majorBidi" w:cstheme="majorBidi"/>
          <w:b/>
          <w:bCs/>
          <w:color w:val="231F20"/>
        </w:rPr>
        <w:t>K čl. I</w:t>
      </w:r>
    </w:p>
    <w:p w:rsidR="00487DCC" w:rsidRPr="00587E07" w:rsidP="00A31EC0">
      <w:pPr>
        <w:bidi w:val="0"/>
        <w:jc w:val="both"/>
        <w:rPr>
          <w:rFonts w:asciiTheme="majorBidi" w:hAnsiTheme="majorBidi" w:cstheme="majorBidi"/>
          <w:b/>
          <w:bCs/>
          <w:color w:val="231F20"/>
        </w:rPr>
      </w:pPr>
    </w:p>
    <w:p w:rsidR="004B2F4D" w:rsidRPr="00587E07" w:rsidP="004B2F4D">
      <w:pPr>
        <w:bidi w:val="0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 xml:space="preserve">K bodom 1 až </w:t>
      </w:r>
      <w:r w:rsidRPr="00587E07" w:rsidR="00E75F6B">
        <w:rPr>
          <w:rFonts w:asciiTheme="majorBidi" w:hAnsiTheme="majorBidi" w:cstheme="majorBidi"/>
        </w:rPr>
        <w:t>3</w:t>
      </w:r>
      <w:r w:rsidR="000F2BAB">
        <w:rPr>
          <w:rFonts w:asciiTheme="majorBidi" w:hAnsiTheme="majorBidi" w:cstheme="majorBidi"/>
        </w:rPr>
        <w:t>,</w:t>
      </w:r>
      <w:r w:rsidRPr="00587E07" w:rsidR="00E75F6B">
        <w:rPr>
          <w:rFonts w:asciiTheme="majorBidi" w:hAnsiTheme="majorBidi" w:cstheme="majorBidi"/>
        </w:rPr>
        <w:t xml:space="preserve"> </w:t>
      </w:r>
      <w:r w:rsidR="000F2BAB">
        <w:rPr>
          <w:rFonts w:asciiTheme="majorBidi" w:hAnsiTheme="majorBidi" w:cstheme="majorBidi"/>
        </w:rPr>
        <w:t xml:space="preserve">6 a </w:t>
      </w:r>
      <w:r w:rsidR="0073464A">
        <w:rPr>
          <w:rFonts w:asciiTheme="majorBidi" w:hAnsiTheme="majorBidi" w:cstheme="majorBidi"/>
        </w:rPr>
        <w:t>10</w:t>
      </w:r>
      <w:r w:rsidRPr="00587E07" w:rsidR="00E75F6B">
        <w:rPr>
          <w:rFonts w:asciiTheme="majorBidi" w:hAnsiTheme="majorBidi" w:cstheme="majorBidi"/>
        </w:rPr>
        <w:t xml:space="preserve"> až </w:t>
      </w:r>
      <w:r w:rsidRPr="00587E07">
        <w:rPr>
          <w:rFonts w:asciiTheme="majorBidi" w:hAnsiTheme="majorBidi" w:cstheme="majorBidi"/>
        </w:rPr>
        <w:t>1</w:t>
      </w:r>
      <w:r w:rsidR="00EF2EE2">
        <w:rPr>
          <w:rFonts w:asciiTheme="majorBidi" w:hAnsiTheme="majorBidi" w:cstheme="majorBidi"/>
        </w:rPr>
        <w:t>5</w:t>
      </w:r>
    </w:p>
    <w:p w:rsidR="004B2F4D" w:rsidRPr="00587E07" w:rsidP="004B2F4D">
      <w:pPr>
        <w:pStyle w:val="BodyTextIndent"/>
        <w:bidi w:val="0"/>
        <w:spacing w:after="0"/>
        <w:ind w:left="0" w:firstLine="708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Navrhuje sa zrušiť Kompetenčné centrum finančnej správy s cieľom racionalizácie organizačnej štruktúry finančnej správy. V súvislosti s týmto zrušením sa časť kompetencií presúva na Finančné riaditeľstvo SR. Rovnako je potrebné vykonať legislatívno-technické úpravy vybraných ustanovení.</w:t>
      </w:r>
    </w:p>
    <w:p w:rsidR="00E75F6B" w:rsidP="004B2F4D">
      <w:pPr>
        <w:pStyle w:val="BodyTextIndent"/>
        <w:bidi w:val="0"/>
        <w:spacing w:after="0"/>
        <w:ind w:left="0" w:firstLine="708"/>
        <w:jc w:val="both"/>
        <w:rPr>
          <w:rFonts w:asciiTheme="majorBidi" w:hAnsiTheme="majorBidi" w:cstheme="majorBidi"/>
        </w:rPr>
      </w:pPr>
    </w:p>
    <w:p w:rsidR="0031379C" w:rsidRPr="00213FE8" w:rsidP="0031379C">
      <w:pPr>
        <w:pStyle w:val="Zarkazkladnhotextu1"/>
        <w:bidi w:val="0"/>
        <w:rPr>
          <w:rFonts w:asciiTheme="majorBidi" w:hAnsiTheme="majorBidi" w:cstheme="majorBidi"/>
        </w:rPr>
      </w:pPr>
      <w:r w:rsidRPr="00213FE8">
        <w:rPr>
          <w:rFonts w:asciiTheme="majorBidi" w:hAnsiTheme="majorBidi" w:cstheme="majorBidi"/>
        </w:rPr>
        <w:t>K bodom 4, 7 a 1</w:t>
      </w:r>
      <w:r w:rsidR="00EF2EE2">
        <w:rPr>
          <w:rFonts w:asciiTheme="majorBidi" w:hAnsiTheme="majorBidi" w:cstheme="majorBidi"/>
        </w:rPr>
        <w:t>6</w:t>
      </w:r>
    </w:p>
    <w:p w:rsidR="0031379C" w:rsidP="0031379C">
      <w:pPr>
        <w:pStyle w:val="Zarkazkladnhotextu1"/>
        <w:bidi w:val="0"/>
        <w:rPr>
          <w:rFonts w:asciiTheme="majorBidi" w:hAnsiTheme="majorBidi" w:cstheme="majorBidi"/>
        </w:rPr>
      </w:pPr>
      <w:r w:rsidRPr="00213FE8">
        <w:rPr>
          <w:rFonts w:asciiTheme="majorBidi" w:hAnsiTheme="majorBidi" w:cstheme="majorBidi"/>
        </w:rPr>
        <w:tab/>
        <w:t>Navrhuje sa presunúť správ</w:t>
      </w:r>
      <w:r w:rsidR="00003DF6">
        <w:rPr>
          <w:rFonts w:asciiTheme="majorBidi" w:hAnsiTheme="majorBidi" w:cstheme="majorBidi"/>
        </w:rPr>
        <w:t>u</w:t>
      </w:r>
      <w:r w:rsidRPr="00213FE8">
        <w:rPr>
          <w:rFonts w:asciiTheme="majorBidi" w:hAnsiTheme="majorBidi" w:cstheme="majorBidi"/>
        </w:rPr>
        <w:t xml:space="preserve"> informačných systémov finančne</w:t>
      </w:r>
      <w:r w:rsidR="00003DF6">
        <w:rPr>
          <w:rFonts w:asciiTheme="majorBidi" w:hAnsiTheme="majorBidi" w:cstheme="majorBidi"/>
        </w:rPr>
        <w:t>j</w:t>
      </w:r>
      <w:r w:rsidRPr="00213FE8">
        <w:rPr>
          <w:rFonts w:asciiTheme="majorBidi" w:hAnsiTheme="majorBidi" w:cstheme="majorBidi"/>
        </w:rPr>
        <w:t xml:space="preserve"> spr</w:t>
      </w:r>
      <w:r w:rsidR="000F4452">
        <w:rPr>
          <w:rFonts w:asciiTheme="majorBidi" w:hAnsiTheme="majorBidi" w:cstheme="majorBidi"/>
        </w:rPr>
        <w:t>ávy späť na Ministerstvo financií SR, keďže sa neosvedčil presun tak zložitej a komplexnej agendy</w:t>
      </w:r>
      <w:r w:rsidR="00E03BC0">
        <w:rPr>
          <w:rFonts w:asciiTheme="majorBidi" w:hAnsiTheme="majorBidi" w:cstheme="majorBidi"/>
        </w:rPr>
        <w:t>, akou je správa</w:t>
      </w:r>
      <w:r w:rsidR="000F4452">
        <w:rPr>
          <w:rFonts w:asciiTheme="majorBidi" w:hAnsiTheme="majorBidi" w:cstheme="majorBidi"/>
        </w:rPr>
        <w:t xml:space="preserve"> informačných systémov na nižší stupeň (finančné riaditeľstvo). </w:t>
      </w:r>
      <w:r w:rsidRPr="00213FE8">
        <w:rPr>
          <w:rFonts w:asciiTheme="majorBidi" w:hAnsiTheme="majorBidi" w:cstheme="majorBidi"/>
        </w:rPr>
        <w:t>V záujme zachovania právnej istoty sa navrhuje prechodné ustanovenie k úprave presunu správy informačných systémov na ministerstvo financií.</w:t>
      </w:r>
    </w:p>
    <w:p w:rsidR="0031379C" w:rsidRPr="00587E07" w:rsidP="004B2F4D">
      <w:pPr>
        <w:pStyle w:val="BodyTextIndent"/>
        <w:bidi w:val="0"/>
        <w:spacing w:after="0"/>
        <w:ind w:left="0" w:firstLine="708"/>
        <w:jc w:val="both"/>
        <w:rPr>
          <w:rFonts w:asciiTheme="majorBidi" w:hAnsiTheme="majorBidi" w:cstheme="majorBidi"/>
        </w:rPr>
      </w:pPr>
    </w:p>
    <w:p w:rsidR="00E75F6B" w:rsidRPr="00587E07" w:rsidP="00E75F6B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>
        <w:rPr>
          <w:rFonts w:asciiTheme="majorBidi" w:hAnsiTheme="majorBidi" w:cstheme="majorBidi"/>
          <w:bCs/>
        </w:rPr>
        <w:t xml:space="preserve">K bodu </w:t>
      </w:r>
      <w:r w:rsidR="0031379C">
        <w:rPr>
          <w:rFonts w:asciiTheme="majorBidi" w:hAnsiTheme="majorBidi" w:cstheme="majorBidi"/>
          <w:bCs/>
        </w:rPr>
        <w:t>5</w:t>
      </w:r>
    </w:p>
    <w:p w:rsidR="00E75F6B" w:rsidP="00E75F6B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>
        <w:rPr>
          <w:rFonts w:asciiTheme="majorBidi" w:hAnsiTheme="majorBidi" w:cstheme="majorBidi"/>
          <w:bCs/>
        </w:rPr>
        <w:tab/>
        <w:t>Navrhuje sa presunúť sídlo Finančného riaditeľstva SR do Banskej Bystrice.</w:t>
      </w:r>
      <w:r w:rsidR="000F4383">
        <w:rPr>
          <w:rFonts w:asciiTheme="majorBidi" w:hAnsiTheme="majorBidi" w:cstheme="majorBidi"/>
          <w:bCs/>
        </w:rPr>
        <w:t xml:space="preserve"> </w:t>
      </w:r>
      <w:r w:rsidRPr="000F4383" w:rsidR="000F4383">
        <w:rPr>
          <w:rFonts w:asciiTheme="majorBidi" w:hAnsiTheme="majorBidi" w:cstheme="majorBidi"/>
          <w:bCs/>
        </w:rPr>
        <w:t>Sídlo finančného riaditeľstva sa presúva z dôvodu optimalizácie priestorového rozmiestnenia finančnej správy.</w:t>
      </w:r>
    </w:p>
    <w:p w:rsidR="000F2BAB" w:rsidP="00E75F6B">
      <w:pPr>
        <w:pStyle w:val="Zarkazkladnhotextu1"/>
        <w:bidi w:val="0"/>
        <w:rPr>
          <w:rFonts w:asciiTheme="majorBidi" w:hAnsiTheme="majorBidi" w:cstheme="majorBidi"/>
          <w:bCs/>
        </w:rPr>
      </w:pPr>
    </w:p>
    <w:p w:rsidR="000F2BAB" w:rsidRPr="00587E07" w:rsidP="000F2BAB">
      <w:pPr>
        <w:pStyle w:val="Zarkazkladnhotextu1"/>
        <w:bidi w:val="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K bod</w:t>
      </w:r>
      <w:r w:rsidR="0073464A">
        <w:rPr>
          <w:rFonts w:asciiTheme="majorBidi" w:hAnsiTheme="majorBidi" w:cstheme="majorBidi"/>
          <w:bCs/>
        </w:rPr>
        <w:t>om</w:t>
      </w:r>
      <w:r>
        <w:rPr>
          <w:rFonts w:asciiTheme="majorBidi" w:hAnsiTheme="majorBidi" w:cstheme="majorBidi"/>
          <w:bCs/>
        </w:rPr>
        <w:t xml:space="preserve"> </w:t>
      </w:r>
      <w:r w:rsidR="00213FE8">
        <w:rPr>
          <w:rFonts w:asciiTheme="majorBidi" w:hAnsiTheme="majorBidi" w:cstheme="majorBidi"/>
          <w:bCs/>
        </w:rPr>
        <w:t>8</w:t>
      </w:r>
      <w:r w:rsidR="0073464A">
        <w:rPr>
          <w:rFonts w:asciiTheme="majorBidi" w:hAnsiTheme="majorBidi" w:cstheme="majorBidi"/>
          <w:bCs/>
        </w:rPr>
        <w:t xml:space="preserve"> a 9</w:t>
      </w:r>
    </w:p>
    <w:p w:rsidR="000F2BAB" w:rsidRPr="00587E07" w:rsidP="00E75F6B">
      <w:pPr>
        <w:pStyle w:val="Zarkazkladnhotextu1"/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Aktualizujú sa poznámky pod čiarou.</w:t>
      </w:r>
    </w:p>
    <w:p w:rsidR="00C17949" w:rsidRPr="00587E07" w:rsidP="00A31EC0">
      <w:pPr>
        <w:bidi w:val="0"/>
        <w:ind w:firstLine="708"/>
        <w:jc w:val="both"/>
        <w:rPr>
          <w:rFonts w:asciiTheme="majorBidi" w:hAnsiTheme="majorBidi" w:cstheme="majorBidi"/>
        </w:rPr>
      </w:pPr>
    </w:p>
    <w:p w:rsidR="00487DCC" w:rsidRPr="00587E07" w:rsidP="00C17949">
      <w:pPr>
        <w:bidi w:val="0"/>
        <w:jc w:val="both"/>
        <w:rPr>
          <w:rFonts w:asciiTheme="majorBidi" w:hAnsiTheme="majorBidi" w:cstheme="majorBidi"/>
          <w:b/>
          <w:bCs/>
          <w:color w:val="231F20"/>
        </w:rPr>
      </w:pPr>
      <w:r w:rsidRPr="00587E07">
        <w:rPr>
          <w:rFonts w:asciiTheme="majorBidi" w:hAnsiTheme="majorBidi" w:cstheme="majorBidi"/>
          <w:b/>
          <w:bCs/>
          <w:color w:val="231F20"/>
        </w:rPr>
        <w:t>K čl. II</w:t>
      </w:r>
    </w:p>
    <w:p w:rsidR="00487DCC" w:rsidRPr="00587E07" w:rsidP="00A31EC0">
      <w:pPr>
        <w:bidi w:val="0"/>
        <w:ind w:firstLine="708"/>
        <w:jc w:val="both"/>
        <w:rPr>
          <w:rFonts w:asciiTheme="majorBidi" w:hAnsiTheme="majorBidi" w:cstheme="majorBidi"/>
          <w:b/>
          <w:bCs/>
          <w:color w:val="231F20"/>
        </w:rPr>
      </w:pPr>
    </w:p>
    <w:p w:rsidR="00487DCC" w:rsidRPr="00587E07" w:rsidP="00A31EC0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K bod</w:t>
      </w:r>
      <w:r w:rsidRPr="00587E07" w:rsidR="0049249D">
        <w:rPr>
          <w:rFonts w:asciiTheme="majorBidi" w:hAnsiTheme="majorBidi" w:cstheme="majorBidi"/>
        </w:rPr>
        <w:t>om</w:t>
      </w:r>
      <w:r w:rsidRPr="00587E07">
        <w:rPr>
          <w:rFonts w:asciiTheme="majorBidi" w:hAnsiTheme="majorBidi" w:cstheme="majorBidi"/>
        </w:rPr>
        <w:t xml:space="preserve"> 1 </w:t>
      </w:r>
      <w:r w:rsidRPr="00587E07" w:rsidR="0049249D">
        <w:rPr>
          <w:rFonts w:asciiTheme="majorBidi" w:hAnsiTheme="majorBidi" w:cstheme="majorBidi"/>
        </w:rPr>
        <w:t xml:space="preserve">a </w:t>
      </w:r>
      <w:r w:rsidRPr="00587E07" w:rsidR="00D12731">
        <w:rPr>
          <w:rFonts w:asciiTheme="majorBidi" w:hAnsiTheme="majorBidi" w:cstheme="majorBidi"/>
        </w:rPr>
        <w:t>3</w:t>
      </w:r>
    </w:p>
    <w:p w:rsidR="00487DCC" w:rsidRPr="00587E07" w:rsidP="00EE64F0">
      <w:pPr>
        <w:bidi w:val="0"/>
        <w:ind w:firstLine="708"/>
        <w:jc w:val="both"/>
        <w:rPr>
          <w:rFonts w:asciiTheme="majorBidi" w:hAnsiTheme="majorBidi" w:cstheme="majorBidi"/>
        </w:rPr>
      </w:pPr>
      <w:r w:rsidRPr="00587E07" w:rsidR="0049249D">
        <w:rPr>
          <w:rFonts w:asciiTheme="majorBidi" w:hAnsiTheme="majorBidi" w:cstheme="majorBidi"/>
        </w:rPr>
        <w:t>V súvislosti so zrušením Kompetenčného centra finančných operácií je potrebné upraviť nasledovné ustanovenia tohto predpisu.</w:t>
      </w:r>
    </w:p>
    <w:p w:rsidR="00D12731" w:rsidRPr="00587E07" w:rsidP="00EE64F0">
      <w:pPr>
        <w:bidi w:val="0"/>
        <w:ind w:firstLine="708"/>
        <w:jc w:val="both"/>
        <w:rPr>
          <w:rFonts w:asciiTheme="majorBidi" w:hAnsiTheme="majorBidi" w:cstheme="majorBidi"/>
        </w:rPr>
      </w:pPr>
    </w:p>
    <w:p w:rsidR="00D12731" w:rsidRPr="00587E07" w:rsidP="00D12731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K bodu 2</w:t>
      </w:r>
    </w:p>
    <w:p w:rsidR="00D12731" w:rsidRPr="00587E07" w:rsidP="00EE64F0">
      <w:pPr>
        <w:bidi w:val="0"/>
        <w:ind w:firstLine="708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Navrhovaná zmena je zosúladením právnej úpravy § 100 ods. 4 zákona č. 200/1998 Z. z. o štátnej službe colníkov a o zmene a doplnení niektorých ďalších zákonov v znení neskorších predpisov s právnou úpravou § 130 ods. 5 Zákonníka práce. Predmetný návrh umožňuje vytvoriť jednotný postup pri vydávaní dokladu o mzde, resp. funkčnom plate, pri jeho vyúčtovaní elektronickými prostriedkami, v prostredí jedného zamestnávateľa a služobného úradu, ktorý zamestnáva štátnych zamestnancov, zamestnancov pri výkone práce vo verejnom záujme a napr. colníkov.</w:t>
      </w:r>
    </w:p>
    <w:p w:rsidR="00521DF3" w:rsidRPr="00587E07" w:rsidP="004B2F4D">
      <w:pPr>
        <w:bidi w:val="0"/>
        <w:jc w:val="both"/>
        <w:rPr>
          <w:rFonts w:asciiTheme="majorBidi" w:hAnsiTheme="majorBidi" w:cstheme="majorBidi"/>
          <w:b/>
          <w:bCs/>
          <w:color w:val="000000"/>
        </w:rPr>
      </w:pPr>
      <w:r w:rsidRPr="00587E07" w:rsidR="00487DCC">
        <w:rPr>
          <w:rFonts w:asciiTheme="majorBidi" w:hAnsiTheme="majorBidi" w:cstheme="majorBidi"/>
        </w:rPr>
        <w:t xml:space="preserve">            </w:t>
      </w:r>
    </w:p>
    <w:p w:rsidR="00487DCC" w:rsidRPr="00587E07" w:rsidP="00C17949">
      <w:pPr>
        <w:bidi w:val="0"/>
        <w:jc w:val="both"/>
        <w:rPr>
          <w:rFonts w:asciiTheme="majorBidi" w:hAnsiTheme="majorBidi" w:cstheme="majorBidi"/>
          <w:b/>
          <w:bCs/>
          <w:color w:val="000000"/>
        </w:rPr>
      </w:pPr>
      <w:r w:rsidRPr="00587E07">
        <w:rPr>
          <w:rFonts w:asciiTheme="majorBidi" w:hAnsiTheme="majorBidi" w:cstheme="majorBidi"/>
          <w:b/>
          <w:bCs/>
          <w:color w:val="000000"/>
        </w:rPr>
        <w:t>K čl. III</w:t>
      </w:r>
    </w:p>
    <w:p w:rsidR="00487DCC" w:rsidRPr="00587E07" w:rsidP="00A31EC0">
      <w:pPr>
        <w:bidi w:val="0"/>
        <w:ind w:firstLine="708"/>
        <w:jc w:val="both"/>
        <w:rPr>
          <w:rFonts w:asciiTheme="majorBidi" w:hAnsiTheme="majorBidi" w:cstheme="majorBidi"/>
          <w:b/>
          <w:bCs/>
          <w:color w:val="000000"/>
        </w:rPr>
      </w:pPr>
    </w:p>
    <w:p w:rsidR="00487DCC" w:rsidRPr="00587E07" w:rsidP="00A31EC0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>
        <w:rPr>
          <w:rFonts w:asciiTheme="majorBidi" w:hAnsiTheme="majorBidi" w:cstheme="majorBidi"/>
          <w:bCs/>
        </w:rPr>
        <w:t>K bodu 1</w:t>
      </w:r>
    </w:p>
    <w:p w:rsidR="00487DCC" w:rsidRPr="00587E07" w:rsidP="00A31EC0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 w:rsidR="00904782">
        <w:rPr>
          <w:rFonts w:asciiTheme="majorBidi" w:hAnsiTheme="majorBidi" w:cstheme="majorBidi"/>
          <w:bCs/>
        </w:rPr>
        <w:tab/>
      </w:r>
      <w:r w:rsidRPr="00587E07" w:rsidR="006D58B7">
        <w:rPr>
          <w:rFonts w:asciiTheme="majorBidi" w:hAnsiTheme="majorBidi" w:cstheme="majorBidi"/>
          <w:bCs/>
        </w:rPr>
        <w:t>Ide o odstránenie nezrovnalosti v súvislosti s ustanovením postavenia, organizácie, právomoci a pôsobnosti Finančného riaditeľstva SR v zákone č. 333/2011 Z. z. o orgánoch štátnej správy v oblasti daní, poplatkov a colníctva.</w:t>
      </w:r>
    </w:p>
    <w:p w:rsidR="006D58B7" w:rsidRPr="00587E07" w:rsidP="00A31EC0">
      <w:pPr>
        <w:pStyle w:val="Zarkazkladnhotextu1"/>
        <w:bidi w:val="0"/>
        <w:rPr>
          <w:rFonts w:asciiTheme="majorBidi" w:hAnsiTheme="majorBidi" w:cstheme="majorBidi"/>
          <w:bCs/>
        </w:rPr>
      </w:pPr>
    </w:p>
    <w:p w:rsidR="00587E07" w:rsidRPr="00587E07" w:rsidP="00587E07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>
        <w:rPr>
          <w:rFonts w:asciiTheme="majorBidi" w:hAnsiTheme="majorBidi" w:cstheme="majorBidi"/>
          <w:bCs/>
        </w:rPr>
        <w:t>K bodom 2 a 3</w:t>
      </w:r>
    </w:p>
    <w:p w:rsidR="00587E07" w:rsidRPr="00587E07" w:rsidP="00587E07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>
        <w:rPr>
          <w:rFonts w:asciiTheme="majorBidi" w:hAnsiTheme="majorBidi" w:cstheme="majorBidi"/>
          <w:bCs/>
        </w:rPr>
        <w:tab/>
      </w:r>
      <w:r w:rsidRPr="00801C23" w:rsidR="00801C23">
        <w:rPr>
          <w:rFonts w:asciiTheme="majorBidi" w:hAnsiTheme="majorBidi" w:cstheme="majorBidi"/>
          <w:bCs/>
        </w:rPr>
        <w:t>Zákonom č. 331/2011 Z. z., ktorý v čl. VI novelizoval zákon č. 652/2004 Z. z. o orgánoch štátnej správy v colníctve a o zmene a doplnení niektorých zákonov, s účinnosťou od 1. 1. 2012 došlo k zmene v kompetencii pri vykonávaní operatívno-pátracej činnosti, a to z určených organizačných útvarov colnej správy na určených colníkov Kriminálneho úradu finančnej správy. V súvislosti s bodom 32 Akčného plánu boja proti daňovým podvodom na roky 2012 až 2016 (Program boja proti korupcii vo finančnej správe) sa navrhuje, aby operatívno-pátraciu činnosť vykonávali aj určení pracovníci Finančného riaditeľstva SR, ktorí ju v súlade s navrhovaným § 4 ods. 3 písm. a</w:t>
      </w:r>
      <w:r w:rsidR="00003DF6">
        <w:rPr>
          <w:rFonts w:asciiTheme="majorBidi" w:hAnsiTheme="majorBidi" w:cstheme="majorBidi"/>
          <w:bCs/>
        </w:rPr>
        <w:t>c</w:t>
      </w:r>
      <w:r w:rsidRPr="00801C23" w:rsidR="00801C23">
        <w:rPr>
          <w:rFonts w:asciiTheme="majorBidi" w:hAnsiTheme="majorBidi" w:cstheme="majorBidi"/>
          <w:bCs/>
        </w:rPr>
        <w:t>) zákona č. 333/2011 Z. z. a § 31 ods. 2 zákona č. 652/2004 Z. z. budú využívať na odhaľovanie, zisťovanie, dokumentovanie a preverovanie porušovania povinností pracovníkov finančnej správy pri výkone štátnej služby alebo práce vo verejnom záujme.</w:t>
      </w:r>
    </w:p>
    <w:p w:rsidR="00801C23" w:rsidP="00A31EC0">
      <w:pPr>
        <w:pStyle w:val="Zarkazkladnhotextu1"/>
        <w:bidi w:val="0"/>
        <w:rPr>
          <w:rFonts w:asciiTheme="majorBidi" w:hAnsiTheme="majorBidi" w:cstheme="majorBidi"/>
          <w:bCs/>
        </w:rPr>
      </w:pPr>
    </w:p>
    <w:p w:rsidR="00487DCC" w:rsidRPr="00587E07" w:rsidP="00A31EC0">
      <w:pPr>
        <w:pStyle w:val="Zarkazkladnhotextu1"/>
        <w:bidi w:val="0"/>
        <w:rPr>
          <w:rFonts w:asciiTheme="majorBidi" w:hAnsiTheme="majorBidi" w:cstheme="majorBidi"/>
          <w:bCs/>
        </w:rPr>
      </w:pPr>
      <w:r w:rsidRPr="00587E07" w:rsidR="00D12731">
        <w:rPr>
          <w:rFonts w:asciiTheme="majorBidi" w:hAnsiTheme="majorBidi" w:cstheme="majorBidi"/>
          <w:bCs/>
        </w:rPr>
        <w:t xml:space="preserve">K bodu </w:t>
      </w:r>
      <w:r w:rsidRPr="00587E07" w:rsidR="00587E07">
        <w:rPr>
          <w:rFonts w:asciiTheme="majorBidi" w:hAnsiTheme="majorBidi" w:cstheme="majorBidi"/>
          <w:bCs/>
        </w:rPr>
        <w:t>4</w:t>
      </w:r>
      <w:r w:rsidRPr="00587E07" w:rsidR="00D12731">
        <w:rPr>
          <w:rFonts w:asciiTheme="majorBidi" w:hAnsiTheme="majorBidi" w:cstheme="majorBidi"/>
          <w:bCs/>
        </w:rPr>
        <w:t xml:space="preserve"> </w:t>
      </w:r>
    </w:p>
    <w:p w:rsidR="00487DCC" w:rsidRPr="00587E07" w:rsidP="0049249D">
      <w:pPr>
        <w:pStyle w:val="Zarkazkladnhotextu1"/>
        <w:bidi w:val="0"/>
        <w:ind w:firstLine="708"/>
        <w:rPr>
          <w:rFonts w:asciiTheme="majorBidi" w:hAnsiTheme="majorBidi" w:cstheme="majorBidi"/>
        </w:rPr>
      </w:pPr>
      <w:r w:rsidRPr="00587E07" w:rsidR="00904782">
        <w:rPr>
          <w:rFonts w:asciiTheme="majorBidi" w:hAnsiTheme="majorBidi" w:cstheme="majorBidi"/>
        </w:rPr>
        <w:t>Táto úprava sa navrhuje v</w:t>
      </w:r>
      <w:r w:rsidRPr="00587E07" w:rsidR="0049249D">
        <w:rPr>
          <w:rFonts w:asciiTheme="majorBidi" w:hAnsiTheme="majorBidi" w:cstheme="majorBidi"/>
        </w:rPr>
        <w:t xml:space="preserve"> súvislosti so zrušením Kompetenčného centra finančných operácií </w:t>
      </w:r>
      <w:r w:rsidRPr="00587E07" w:rsidR="00904782">
        <w:rPr>
          <w:rFonts w:asciiTheme="majorBidi" w:hAnsiTheme="majorBidi" w:cstheme="majorBidi"/>
        </w:rPr>
        <w:t>a</w:t>
      </w:r>
      <w:r w:rsidRPr="00587E07" w:rsidR="0049249D">
        <w:rPr>
          <w:rFonts w:asciiTheme="majorBidi" w:hAnsiTheme="majorBidi" w:cstheme="majorBidi"/>
        </w:rPr>
        <w:t xml:space="preserve"> </w:t>
      </w:r>
      <w:r w:rsidRPr="00587E07" w:rsidR="00904782">
        <w:rPr>
          <w:rFonts w:asciiTheme="majorBidi" w:hAnsiTheme="majorBidi" w:cstheme="majorBidi"/>
        </w:rPr>
        <w:t>presunom kompetencie prevádzkovateľa informačných systémov na Finančné riaditeľstvo SR</w:t>
      </w:r>
      <w:r w:rsidRPr="00587E07" w:rsidR="0049249D">
        <w:rPr>
          <w:rFonts w:asciiTheme="majorBidi" w:hAnsiTheme="majorBidi" w:cstheme="majorBidi"/>
        </w:rPr>
        <w:t>.</w:t>
      </w:r>
    </w:p>
    <w:p w:rsidR="00EE64F0" w:rsidRPr="00587E07" w:rsidP="00A31EC0">
      <w:pPr>
        <w:bidi w:val="0"/>
        <w:ind w:firstLine="708"/>
        <w:jc w:val="both"/>
        <w:rPr>
          <w:rFonts w:asciiTheme="majorBidi" w:hAnsiTheme="majorBidi" w:cstheme="majorBidi"/>
          <w:b/>
          <w:bCs/>
          <w:color w:val="000000"/>
        </w:rPr>
      </w:pPr>
    </w:p>
    <w:p w:rsidR="00EE64F0" w:rsidRPr="00587E07" w:rsidP="00C17949">
      <w:pPr>
        <w:bidi w:val="0"/>
        <w:jc w:val="both"/>
        <w:rPr>
          <w:rFonts w:asciiTheme="majorBidi" w:hAnsiTheme="majorBidi" w:cstheme="majorBidi"/>
          <w:b/>
          <w:bCs/>
          <w:color w:val="000000"/>
        </w:rPr>
      </w:pPr>
      <w:r w:rsidRPr="00587E07">
        <w:rPr>
          <w:rFonts w:asciiTheme="majorBidi" w:hAnsiTheme="majorBidi" w:cstheme="majorBidi"/>
          <w:b/>
          <w:bCs/>
          <w:color w:val="000000"/>
        </w:rPr>
        <w:t xml:space="preserve">K čl. </w:t>
      </w:r>
      <w:r w:rsidRPr="00587E07" w:rsidR="00BE4213">
        <w:rPr>
          <w:rFonts w:asciiTheme="majorBidi" w:hAnsiTheme="majorBidi" w:cstheme="majorBidi"/>
          <w:b/>
          <w:bCs/>
          <w:color w:val="000000"/>
        </w:rPr>
        <w:t>I</w:t>
      </w:r>
      <w:r w:rsidRPr="00587E07">
        <w:rPr>
          <w:rFonts w:asciiTheme="majorBidi" w:hAnsiTheme="majorBidi" w:cstheme="majorBidi"/>
          <w:b/>
          <w:bCs/>
          <w:color w:val="000000"/>
        </w:rPr>
        <w:t>V</w:t>
      </w:r>
    </w:p>
    <w:p w:rsidR="007C1B3C" w:rsidRPr="00587E07" w:rsidP="00A31EC0">
      <w:pPr>
        <w:bidi w:val="0"/>
        <w:ind w:firstLine="708"/>
        <w:jc w:val="both"/>
        <w:rPr>
          <w:rFonts w:asciiTheme="majorBidi" w:hAnsiTheme="majorBidi" w:cstheme="majorBidi"/>
          <w:b/>
          <w:bCs/>
          <w:color w:val="000000"/>
        </w:rPr>
      </w:pPr>
    </w:p>
    <w:p w:rsidR="007C1B3C" w:rsidRPr="00587E07" w:rsidP="007C1B3C">
      <w:pPr>
        <w:bidi w:val="0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K bodom 1 až 3</w:t>
      </w:r>
    </w:p>
    <w:p w:rsidR="007C1B3C" w:rsidRPr="00587E07" w:rsidP="007C1B3C">
      <w:pPr>
        <w:bidi w:val="0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ab/>
        <w:t>Aktualizujú sa poznámky pod čiarou.</w:t>
      </w:r>
    </w:p>
    <w:p w:rsidR="007C1B3C" w:rsidRPr="00587E07" w:rsidP="007C1B3C">
      <w:pPr>
        <w:bidi w:val="0"/>
        <w:rPr>
          <w:rFonts w:asciiTheme="majorBidi" w:hAnsiTheme="majorBidi" w:cstheme="majorBidi"/>
        </w:rPr>
      </w:pPr>
    </w:p>
    <w:p w:rsidR="007C1B3C" w:rsidP="007C1B3C">
      <w:pPr>
        <w:bidi w:val="0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K bodu 4</w:t>
      </w:r>
    </w:p>
    <w:p w:rsidR="00AD76EB" w:rsidP="005F2CFE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Navrhuje sa zosúladiť znenie </w:t>
      </w:r>
      <w:r w:rsidR="005F2CFE">
        <w:rPr>
          <w:rFonts w:asciiTheme="majorBidi" w:hAnsiTheme="majorBidi" w:cstheme="majorBidi"/>
        </w:rPr>
        <w:t>právnej úpravy postavenia štatutárov jednotlivých orgánov finančnej správy (§ 5 ods. 4 zákona č. 333/2011 Z. z. o orgánoch štátnej správy v oblasti daní, poplatkov a colníctva, § 9 ods. 6 zákona č. 652/2004 Z. z. o orgánoch štátnej správy v oblasti colníctva)</w:t>
      </w:r>
      <w:r w:rsidR="008A2FA6">
        <w:rPr>
          <w:rFonts w:asciiTheme="majorBidi" w:hAnsiTheme="majorBidi" w:cstheme="majorBidi"/>
        </w:rPr>
        <w:t>.</w:t>
      </w:r>
    </w:p>
    <w:p w:rsidR="008A2FA6" w:rsidP="005F2CFE">
      <w:pPr>
        <w:bidi w:val="0"/>
        <w:jc w:val="both"/>
        <w:rPr>
          <w:rFonts w:asciiTheme="majorBidi" w:hAnsiTheme="majorBidi" w:cstheme="majorBidi"/>
        </w:rPr>
      </w:pPr>
    </w:p>
    <w:p w:rsidR="008A2FA6" w:rsidRPr="00587E07" w:rsidP="008A2FA6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>K bodu 5</w:t>
      </w:r>
    </w:p>
    <w:p w:rsidR="00D02E93" w:rsidRPr="00587E07" w:rsidP="00BE2488">
      <w:pPr>
        <w:bidi w:val="0"/>
        <w:ind w:firstLine="708"/>
        <w:jc w:val="both"/>
        <w:rPr>
          <w:rFonts w:asciiTheme="majorBidi" w:hAnsiTheme="majorBidi" w:cstheme="majorBidi"/>
          <w:color w:val="000000"/>
        </w:rPr>
      </w:pPr>
      <w:r w:rsidRPr="00587E07">
        <w:rPr>
          <w:rFonts w:asciiTheme="majorBidi" w:hAnsiTheme="majorBidi" w:cstheme="majorBidi"/>
          <w:color w:val="000000"/>
        </w:rPr>
        <w:t>Zmena pôsobnosti Daňového úradu pre vybrané daňové subjekty je navrhovaná z dôvodu zabezpečenia jednotnej správy daní všetkých špecifických a veľkých daňových subjektov na celom území Slovenskej republiky.</w:t>
      </w:r>
    </w:p>
    <w:p w:rsidR="00BE2488" w:rsidRPr="00587E07" w:rsidP="00BE2488">
      <w:pPr>
        <w:bidi w:val="0"/>
        <w:jc w:val="both"/>
        <w:rPr>
          <w:rFonts w:asciiTheme="majorBidi" w:hAnsiTheme="majorBidi" w:cstheme="majorBidi"/>
          <w:color w:val="000000"/>
        </w:rPr>
      </w:pPr>
    </w:p>
    <w:p w:rsidR="00C17949" w:rsidRPr="00587E07" w:rsidP="005B1506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 xml:space="preserve">K bodu </w:t>
      </w:r>
      <w:r w:rsidR="008A2FA6">
        <w:rPr>
          <w:rFonts w:asciiTheme="majorBidi" w:hAnsiTheme="majorBidi" w:cstheme="majorBidi"/>
        </w:rPr>
        <w:t>6</w:t>
      </w:r>
    </w:p>
    <w:p w:rsidR="00C17949" w:rsidRPr="00587E07" w:rsidP="005B1506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ab/>
        <w:t>Upravujú sa písmená obsahujúce kompetencie, ktoré vykonáva Daňový úrad pre vybrané daňové subjekty.</w:t>
      </w:r>
    </w:p>
    <w:p w:rsidR="00C17949" w:rsidRPr="00587E07" w:rsidP="00BE2488">
      <w:pPr>
        <w:bidi w:val="0"/>
        <w:rPr>
          <w:rFonts w:asciiTheme="majorBidi" w:hAnsiTheme="majorBidi" w:cstheme="majorBidi"/>
        </w:rPr>
      </w:pPr>
    </w:p>
    <w:p w:rsidR="00BE2488" w:rsidRPr="00587E07" w:rsidP="00BE2488">
      <w:pPr>
        <w:bidi w:val="0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 xml:space="preserve">K bodu </w:t>
      </w:r>
      <w:r w:rsidR="008A2FA6">
        <w:rPr>
          <w:rFonts w:asciiTheme="majorBidi" w:hAnsiTheme="majorBidi" w:cstheme="majorBidi"/>
        </w:rPr>
        <w:t>7</w:t>
      </w:r>
    </w:p>
    <w:p w:rsidR="00BE2488" w:rsidRPr="00587E07" w:rsidP="00BE2488">
      <w:pPr>
        <w:bidi w:val="0"/>
        <w:jc w:val="both"/>
        <w:rPr>
          <w:rFonts w:asciiTheme="majorBidi" w:hAnsiTheme="majorBidi" w:cstheme="majorBidi"/>
          <w:color w:val="000000"/>
        </w:rPr>
      </w:pPr>
      <w:r w:rsidRPr="00587E07">
        <w:rPr>
          <w:rFonts w:asciiTheme="majorBidi" w:hAnsiTheme="majorBidi" w:cstheme="majorBidi"/>
          <w:color w:val="000000"/>
        </w:rPr>
        <w:tab/>
        <w:t xml:space="preserve">V súvislosti s bodom </w:t>
      </w:r>
      <w:r w:rsidR="00405CC8">
        <w:rPr>
          <w:rFonts w:asciiTheme="majorBidi" w:hAnsiTheme="majorBidi" w:cstheme="majorBidi"/>
          <w:color w:val="000000"/>
        </w:rPr>
        <w:t>5</w:t>
      </w:r>
      <w:r w:rsidRPr="00587E07">
        <w:rPr>
          <w:rFonts w:asciiTheme="majorBidi" w:hAnsiTheme="majorBidi" w:cstheme="majorBidi"/>
          <w:color w:val="000000"/>
        </w:rPr>
        <w:t xml:space="preserve"> sa navrhuje prechodné ustanovenie.</w:t>
      </w:r>
    </w:p>
    <w:p w:rsidR="00A1730F" w:rsidRPr="00587E07" w:rsidP="00BE2488">
      <w:pPr>
        <w:bidi w:val="0"/>
        <w:jc w:val="both"/>
        <w:rPr>
          <w:rFonts w:asciiTheme="majorBidi" w:hAnsiTheme="majorBidi" w:cstheme="majorBidi"/>
          <w:color w:val="000000"/>
        </w:rPr>
      </w:pPr>
    </w:p>
    <w:p w:rsidR="00487DCC" w:rsidRPr="00587E07" w:rsidP="00D12731">
      <w:pPr>
        <w:bidi w:val="0"/>
        <w:jc w:val="both"/>
        <w:rPr>
          <w:rFonts w:asciiTheme="majorBidi" w:hAnsiTheme="majorBidi" w:cstheme="majorBidi"/>
          <w:bCs/>
          <w:color w:val="000000"/>
        </w:rPr>
      </w:pPr>
      <w:r w:rsidRPr="00587E07" w:rsidR="00C17949">
        <w:rPr>
          <w:rFonts w:asciiTheme="majorBidi" w:hAnsiTheme="majorBidi" w:cstheme="majorBidi"/>
          <w:bCs/>
          <w:color w:val="000000"/>
        </w:rPr>
        <w:t xml:space="preserve">K bodu </w:t>
      </w:r>
      <w:r w:rsidR="008A2FA6">
        <w:rPr>
          <w:rFonts w:asciiTheme="majorBidi" w:hAnsiTheme="majorBidi" w:cstheme="majorBidi"/>
          <w:bCs/>
          <w:color w:val="000000"/>
        </w:rPr>
        <w:t>8</w:t>
      </w:r>
    </w:p>
    <w:p w:rsidR="00A31EC0" w:rsidRPr="00587E07" w:rsidP="000B53DC">
      <w:pPr>
        <w:bidi w:val="0"/>
        <w:ind w:firstLine="708"/>
        <w:jc w:val="both"/>
        <w:rPr>
          <w:rFonts w:asciiTheme="majorBidi" w:hAnsiTheme="majorBidi" w:cstheme="majorBidi"/>
          <w:color w:val="231F20"/>
        </w:rPr>
      </w:pPr>
      <w:r w:rsidRPr="00587E07" w:rsidR="000D754B">
        <w:rPr>
          <w:rFonts w:asciiTheme="majorBidi" w:hAnsiTheme="majorBidi" w:cstheme="majorBidi"/>
          <w:color w:val="231F20"/>
        </w:rPr>
        <w:t xml:space="preserve">Navrhuje sa zrušiť </w:t>
      </w:r>
      <w:r w:rsidRPr="00587E07" w:rsidR="004B2F4D">
        <w:rPr>
          <w:rFonts w:asciiTheme="majorBidi" w:hAnsiTheme="majorBidi" w:cstheme="majorBidi"/>
          <w:color w:val="231F20"/>
        </w:rPr>
        <w:t>zákon č. 354/2011 Z. z. o finančnej správe</w:t>
      </w:r>
      <w:r w:rsidRPr="00587E07" w:rsidR="000B53DC">
        <w:rPr>
          <w:rFonts w:asciiTheme="majorBidi" w:hAnsiTheme="majorBidi" w:cstheme="majorBidi"/>
          <w:color w:val="231F20"/>
        </w:rPr>
        <w:t xml:space="preserve"> </w:t>
      </w:r>
      <w:r w:rsidRPr="00587E07" w:rsidR="00D4239D">
        <w:rPr>
          <w:rFonts w:asciiTheme="majorBidi" w:hAnsiTheme="majorBidi" w:cstheme="majorBidi"/>
          <w:color w:val="231F20"/>
        </w:rPr>
        <w:t>vzhľadom na to, že v súvislosti s prijatým harmonogramom imp</w:t>
      </w:r>
      <w:r w:rsidRPr="00587E07" w:rsidR="00C443FB">
        <w:rPr>
          <w:rFonts w:asciiTheme="majorBidi" w:hAnsiTheme="majorBidi" w:cstheme="majorBidi"/>
          <w:color w:val="231F20"/>
        </w:rPr>
        <w:t>lementácie informačných systémov</w:t>
      </w:r>
      <w:r w:rsidRPr="00587E07" w:rsidR="00D4239D">
        <w:rPr>
          <w:rFonts w:asciiTheme="majorBidi" w:hAnsiTheme="majorBidi" w:cstheme="majorBidi"/>
          <w:color w:val="231F20"/>
        </w:rPr>
        <w:t xml:space="preserve"> finančnej správy sa navrhuje odložiť realizáciu zlúčenia daňových úradov a colných úradov</w:t>
      </w:r>
      <w:r w:rsidRPr="00587E07" w:rsidR="00C443FB">
        <w:rPr>
          <w:rFonts w:asciiTheme="majorBidi" w:hAnsiTheme="majorBidi" w:cstheme="majorBidi"/>
          <w:color w:val="231F20"/>
        </w:rPr>
        <w:t>,</w:t>
      </w:r>
      <w:r w:rsidRPr="00587E07" w:rsidR="00D4239D">
        <w:rPr>
          <w:rFonts w:asciiTheme="majorBidi" w:hAnsiTheme="majorBidi" w:cstheme="majorBidi"/>
          <w:color w:val="231F20"/>
        </w:rPr>
        <w:t xml:space="preserve"> a</w:t>
      </w:r>
      <w:r w:rsidRPr="00587E07" w:rsidR="00C443FB">
        <w:rPr>
          <w:rFonts w:asciiTheme="majorBidi" w:hAnsiTheme="majorBidi" w:cstheme="majorBidi"/>
          <w:color w:val="231F20"/>
        </w:rPr>
        <w:t> to až po posúdení</w:t>
      </w:r>
      <w:r w:rsidRPr="00587E07" w:rsidR="00D4239D">
        <w:rPr>
          <w:rFonts w:asciiTheme="majorBidi" w:hAnsiTheme="majorBidi" w:cstheme="majorBidi"/>
          <w:color w:val="231F20"/>
        </w:rPr>
        <w:t xml:space="preserve"> opodstatnenos</w:t>
      </w:r>
      <w:r w:rsidRPr="00587E07" w:rsidR="00C443FB">
        <w:rPr>
          <w:rFonts w:asciiTheme="majorBidi" w:hAnsiTheme="majorBidi" w:cstheme="majorBidi"/>
          <w:color w:val="231F20"/>
        </w:rPr>
        <w:t>ti</w:t>
      </w:r>
      <w:r w:rsidRPr="00587E07" w:rsidR="00D4239D">
        <w:rPr>
          <w:rFonts w:asciiTheme="majorBidi" w:hAnsiTheme="majorBidi" w:cstheme="majorBidi"/>
          <w:color w:val="231F20"/>
        </w:rPr>
        <w:t xml:space="preserve"> ich zlúčenia</w:t>
      </w:r>
      <w:r w:rsidRPr="00587E07" w:rsidR="000D754B">
        <w:rPr>
          <w:rFonts w:asciiTheme="majorBidi" w:hAnsiTheme="majorBidi" w:cstheme="majorBidi"/>
          <w:color w:val="231F20"/>
        </w:rPr>
        <w:t>.</w:t>
      </w:r>
    </w:p>
    <w:p w:rsidR="0036449E" w:rsidRPr="00587E07" w:rsidP="000D754B">
      <w:pPr>
        <w:bidi w:val="0"/>
        <w:ind w:firstLine="708"/>
        <w:jc w:val="both"/>
        <w:rPr>
          <w:rFonts w:asciiTheme="majorBidi" w:hAnsiTheme="majorBidi" w:cstheme="majorBidi"/>
        </w:rPr>
      </w:pPr>
    </w:p>
    <w:p w:rsidR="000D754B" w:rsidRPr="00587E07" w:rsidP="00C17949">
      <w:pPr>
        <w:bidi w:val="0"/>
        <w:jc w:val="both"/>
        <w:rPr>
          <w:rFonts w:asciiTheme="majorBidi" w:hAnsiTheme="majorBidi" w:cstheme="majorBidi"/>
          <w:b/>
          <w:bCs/>
        </w:rPr>
      </w:pPr>
      <w:r w:rsidRPr="00587E07" w:rsidR="00680EAB">
        <w:rPr>
          <w:rFonts w:asciiTheme="majorBidi" w:hAnsiTheme="majorBidi" w:cstheme="majorBidi"/>
          <w:b/>
          <w:bCs/>
        </w:rPr>
        <w:t xml:space="preserve">K čl. </w:t>
      </w:r>
      <w:r w:rsidRPr="00587E07">
        <w:rPr>
          <w:rFonts w:asciiTheme="majorBidi" w:hAnsiTheme="majorBidi" w:cstheme="majorBidi"/>
          <w:b/>
          <w:bCs/>
        </w:rPr>
        <w:t>V</w:t>
      </w:r>
      <w:r w:rsidRPr="00587E07" w:rsidR="00EE64F0">
        <w:rPr>
          <w:rFonts w:asciiTheme="majorBidi" w:hAnsiTheme="majorBidi" w:cstheme="majorBidi"/>
          <w:b/>
          <w:bCs/>
        </w:rPr>
        <w:t>I</w:t>
      </w:r>
    </w:p>
    <w:p w:rsidR="00C17949" w:rsidRPr="00587E07" w:rsidP="00C17949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8E4C14" w:rsidRPr="00587E07" w:rsidP="008E4C14">
      <w:pPr>
        <w:bidi w:val="0"/>
        <w:jc w:val="both"/>
        <w:rPr>
          <w:rFonts w:asciiTheme="majorBidi" w:hAnsiTheme="majorBidi" w:cstheme="majorBidi"/>
        </w:rPr>
      </w:pPr>
      <w:r w:rsidRPr="00587E07">
        <w:rPr>
          <w:rFonts w:asciiTheme="majorBidi" w:hAnsiTheme="majorBidi" w:cstheme="majorBidi"/>
        </w:rPr>
        <w:tab/>
        <w:t>Navrhuje sa</w:t>
      </w:r>
      <w:r w:rsidRPr="00587E07" w:rsidR="00D4239D">
        <w:rPr>
          <w:rFonts w:asciiTheme="majorBidi" w:hAnsiTheme="majorBidi" w:cstheme="majorBidi"/>
        </w:rPr>
        <w:t>,</w:t>
      </w:r>
      <w:r w:rsidRPr="00587E07">
        <w:rPr>
          <w:rFonts w:asciiTheme="majorBidi" w:hAnsiTheme="majorBidi" w:cstheme="majorBidi"/>
        </w:rPr>
        <w:t xml:space="preserve"> aby bol zákon účinný od 31. decembra 2012, </w:t>
      </w:r>
      <w:r w:rsidRPr="00587E07" w:rsidR="0036449E">
        <w:rPr>
          <w:rFonts w:asciiTheme="majorBidi" w:hAnsiTheme="majorBidi" w:cstheme="majorBidi"/>
        </w:rPr>
        <w:t xml:space="preserve">okrem čl. I až III a čl. IV bodov 1 až </w:t>
      </w:r>
      <w:r w:rsidR="00DE5002">
        <w:rPr>
          <w:rFonts w:asciiTheme="majorBidi" w:hAnsiTheme="majorBidi" w:cstheme="majorBidi"/>
        </w:rPr>
        <w:t>7</w:t>
      </w:r>
      <w:r w:rsidRPr="00587E07" w:rsidR="0036449E">
        <w:rPr>
          <w:rFonts w:asciiTheme="majorBidi" w:hAnsiTheme="majorBidi" w:cstheme="majorBidi"/>
        </w:rPr>
        <w:t>, ktorých účinnosť sa navrhuje od 1. januára 2013.</w:t>
      </w:r>
    </w:p>
    <w:p w:rsidR="004D08C4" w:rsidP="004D08C4">
      <w:pPr>
        <w:bidi w:val="0"/>
        <w:ind w:left="360"/>
        <w:jc w:val="both"/>
        <w:rPr>
          <w:rFonts w:ascii="Times New Roman" w:hAnsi="Times New Roman"/>
        </w:rPr>
      </w:pPr>
    </w:p>
    <w:p w:rsidR="004D08C4" w:rsidP="004D08C4">
      <w:pPr>
        <w:bidi w:val="0"/>
        <w:ind w:left="360"/>
        <w:jc w:val="both"/>
        <w:rPr>
          <w:rFonts w:ascii="Times New Roman" w:hAnsi="Times New Roman"/>
        </w:rPr>
      </w:pPr>
    </w:p>
    <w:p w:rsidR="004D08C4" w:rsidRPr="006C7151" w:rsidP="004D08C4">
      <w:pPr>
        <w:bidi w:val="0"/>
        <w:ind w:left="360"/>
        <w:jc w:val="both"/>
        <w:rPr>
          <w:rFonts w:ascii="Times New Roman" w:hAnsi="Times New Roman"/>
        </w:rPr>
      </w:pPr>
      <w:r w:rsidRPr="006C7151">
        <w:rPr>
          <w:rFonts w:ascii="Times New Roman" w:hAnsi="Times New Roman"/>
        </w:rPr>
        <w:t>Schválené  na rokovaní v</w:t>
      </w:r>
      <w:r>
        <w:rPr>
          <w:rFonts w:ascii="Times New Roman" w:hAnsi="Times New Roman"/>
        </w:rPr>
        <w:t>lády Slovenskej republiky dňa 28. septembr</w:t>
      </w:r>
      <w:r w:rsidRPr="006C7151">
        <w:rPr>
          <w:rFonts w:ascii="Times New Roman" w:hAnsi="Times New Roman"/>
        </w:rPr>
        <w:t>a 2012.</w:t>
      </w:r>
    </w:p>
    <w:p w:rsidR="004D08C4" w:rsidRPr="006C7151" w:rsidP="004D08C4">
      <w:pPr>
        <w:bidi w:val="0"/>
        <w:ind w:left="360"/>
        <w:jc w:val="both"/>
        <w:rPr>
          <w:rFonts w:ascii="Times New Roman" w:hAnsi="Times New Roman"/>
        </w:rPr>
      </w:pPr>
    </w:p>
    <w:p w:rsidR="004D08C4" w:rsidP="004D08C4">
      <w:pPr>
        <w:bidi w:val="0"/>
        <w:jc w:val="center"/>
        <w:rPr>
          <w:rFonts w:ascii="Times New Roman" w:hAnsi="Times New Roman"/>
        </w:rPr>
      </w:pPr>
    </w:p>
    <w:p w:rsidR="00297351" w:rsidRPr="006C7151" w:rsidP="004D08C4">
      <w:pPr>
        <w:bidi w:val="0"/>
        <w:jc w:val="center"/>
        <w:rPr>
          <w:rFonts w:ascii="Times New Roman" w:hAnsi="Times New Roman"/>
        </w:rPr>
      </w:pP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  <w:r w:rsidRPr="006C7151" w:rsidR="00297351">
        <w:rPr>
          <w:rFonts w:ascii="Times New Roman" w:hAnsi="Times New Roman"/>
        </w:rPr>
        <w:t>R</w:t>
      </w:r>
      <w:r w:rsidR="00297351">
        <w:rPr>
          <w:rFonts w:ascii="Times New Roman" w:hAnsi="Times New Roman"/>
        </w:rPr>
        <w:t>o</w:t>
      </w:r>
      <w:r w:rsidRPr="006C7151" w:rsidR="00297351">
        <w:rPr>
          <w:rFonts w:ascii="Times New Roman" w:hAnsi="Times New Roman"/>
        </w:rPr>
        <w:t>bert</w:t>
      </w:r>
      <w:r w:rsidRPr="006C7151">
        <w:rPr>
          <w:rFonts w:ascii="Times New Roman" w:hAnsi="Times New Roman"/>
        </w:rPr>
        <w:t xml:space="preserve"> Fico</w:t>
      </w:r>
      <w:r>
        <w:rPr>
          <w:rFonts w:ascii="Times New Roman" w:hAnsi="Times New Roman"/>
        </w:rPr>
        <w:t>, v. r.</w:t>
      </w: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  <w:r w:rsidRPr="006C7151">
        <w:rPr>
          <w:rFonts w:ascii="Times New Roman" w:hAnsi="Times New Roman"/>
        </w:rPr>
        <w:t>predseda vlády Slovenskej republiky</w:t>
      </w: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  <w:r w:rsidRPr="006C7151">
        <w:rPr>
          <w:rFonts w:ascii="Times New Roman" w:hAnsi="Times New Roman"/>
        </w:rPr>
        <w:t>Peter Kažimír</w:t>
      </w:r>
      <w:r>
        <w:rPr>
          <w:rFonts w:ascii="Times New Roman" w:hAnsi="Times New Roman"/>
        </w:rPr>
        <w:t>, v. r.</w:t>
      </w:r>
    </w:p>
    <w:p w:rsidR="004D08C4" w:rsidRPr="006C7151" w:rsidP="004D08C4">
      <w:pPr>
        <w:bidi w:val="0"/>
        <w:jc w:val="center"/>
        <w:rPr>
          <w:rFonts w:ascii="Times New Roman" w:hAnsi="Times New Roman"/>
        </w:rPr>
      </w:pPr>
      <w:r w:rsidRPr="006C7151">
        <w:rPr>
          <w:rFonts w:ascii="Times New Roman" w:hAnsi="Times New Roman"/>
        </w:rPr>
        <w:t>podpredseda vlády a minister financií Slovenskej republiky</w:t>
      </w:r>
    </w:p>
    <w:p w:rsidR="00A31EC0" w:rsidRPr="00587E07" w:rsidP="008E4C14">
      <w:pPr>
        <w:bidi w:val="0"/>
        <w:ind w:firstLine="708"/>
        <w:jc w:val="both"/>
        <w:rPr>
          <w:rFonts w:asciiTheme="majorBidi" w:hAnsiTheme="majorBidi" w:cstheme="majorBidi"/>
          <w:color w:val="231F20"/>
        </w:rPr>
      </w:pPr>
    </w:p>
    <w:sectPr w:rsidSect="0030525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321" w:rsidP="00C15D2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97351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7B332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40B"/>
    <w:multiLevelType w:val="hybridMultilevel"/>
    <w:tmpl w:val="6836815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2C543CBB"/>
    <w:multiLevelType w:val="hybridMultilevel"/>
    <w:tmpl w:val="C9A6912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  <w:rtl w:val="0"/>
        <w:cs w:val="0"/>
      </w:rPr>
    </w:lvl>
  </w:abstractNum>
  <w:abstractNum w:abstractNumId="5">
    <w:nsid w:val="3AD005DD"/>
    <w:multiLevelType w:val="hybridMultilevel"/>
    <w:tmpl w:val="2A30D5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64E6F8A"/>
    <w:multiLevelType w:val="multilevel"/>
    <w:tmpl w:val="BFC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3B2E6B"/>
    <w:multiLevelType w:val="hybridMultilevel"/>
    <w:tmpl w:val="8C4851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5F642B"/>
    <w:multiLevelType w:val="hybridMultilevel"/>
    <w:tmpl w:val="08F27E80"/>
    <w:lvl w:ilvl="0">
      <w:start w:val="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1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C612B4"/>
    <w:multiLevelType w:val="hybridMultilevel"/>
    <w:tmpl w:val="62ACBE8A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3">
    <w:nsid w:val="64137BC4"/>
    <w:multiLevelType w:val="hybridMultilevel"/>
    <w:tmpl w:val="F0687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>
    <w:nsid w:val="6A8F3BDB"/>
    <w:multiLevelType w:val="hybridMultilevel"/>
    <w:tmpl w:val="AD3C5E9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6DE423BF"/>
    <w:multiLevelType w:val="hybridMultilevel"/>
    <w:tmpl w:val="D43A6D5E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75C674E5"/>
    <w:multiLevelType w:val="hybridMultilevel"/>
    <w:tmpl w:val="D1F2C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13"/>
  </w:num>
  <w:num w:numId="10">
    <w:abstractNumId w:val="5"/>
  </w:num>
  <w:num w:numId="11">
    <w:abstractNumId w:val="8"/>
  </w:num>
  <w:num w:numId="12">
    <w:abstractNumId w:val="18"/>
  </w:num>
  <w:num w:numId="13">
    <w:abstractNumId w:val="15"/>
  </w:num>
  <w:num w:numId="14">
    <w:abstractNumId w:val="3"/>
  </w:num>
  <w:num w:numId="15">
    <w:abstractNumId w:val="0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1"/>
  </w:num>
  <w:num w:numId="19">
    <w:abstractNumId w:val="1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31687"/>
    <w:rsid w:val="00001C5B"/>
    <w:rsid w:val="00003DF6"/>
    <w:rsid w:val="00004C3A"/>
    <w:rsid w:val="00006926"/>
    <w:rsid w:val="00042010"/>
    <w:rsid w:val="000426AA"/>
    <w:rsid w:val="0004351C"/>
    <w:rsid w:val="000435C8"/>
    <w:rsid w:val="000542DF"/>
    <w:rsid w:val="00054BA0"/>
    <w:rsid w:val="0006719F"/>
    <w:rsid w:val="00076055"/>
    <w:rsid w:val="0008457F"/>
    <w:rsid w:val="000907AF"/>
    <w:rsid w:val="000B3FC3"/>
    <w:rsid w:val="000B53DC"/>
    <w:rsid w:val="000B57BC"/>
    <w:rsid w:val="000C1AC9"/>
    <w:rsid w:val="000C6D0D"/>
    <w:rsid w:val="000D225E"/>
    <w:rsid w:val="000D754B"/>
    <w:rsid w:val="000D7B88"/>
    <w:rsid w:val="000D7E66"/>
    <w:rsid w:val="000E4312"/>
    <w:rsid w:val="000E7CFA"/>
    <w:rsid w:val="000F06FB"/>
    <w:rsid w:val="000F087D"/>
    <w:rsid w:val="000F2BAB"/>
    <w:rsid w:val="000F4383"/>
    <w:rsid w:val="000F4452"/>
    <w:rsid w:val="00106725"/>
    <w:rsid w:val="00106C88"/>
    <w:rsid w:val="00125D30"/>
    <w:rsid w:val="00146746"/>
    <w:rsid w:val="0015017E"/>
    <w:rsid w:val="00163380"/>
    <w:rsid w:val="001701A8"/>
    <w:rsid w:val="00170D6C"/>
    <w:rsid w:val="001851DD"/>
    <w:rsid w:val="0018539A"/>
    <w:rsid w:val="001909B1"/>
    <w:rsid w:val="00192D06"/>
    <w:rsid w:val="001B7AF5"/>
    <w:rsid w:val="001C307D"/>
    <w:rsid w:val="001F10A7"/>
    <w:rsid w:val="00213FE8"/>
    <w:rsid w:val="00217C10"/>
    <w:rsid w:val="0022255D"/>
    <w:rsid w:val="00222F63"/>
    <w:rsid w:val="00236B2B"/>
    <w:rsid w:val="00254714"/>
    <w:rsid w:val="0026363B"/>
    <w:rsid w:val="002824AA"/>
    <w:rsid w:val="00290EA1"/>
    <w:rsid w:val="0029181C"/>
    <w:rsid w:val="002951DA"/>
    <w:rsid w:val="0029600D"/>
    <w:rsid w:val="00297351"/>
    <w:rsid w:val="002975B2"/>
    <w:rsid w:val="002B23A8"/>
    <w:rsid w:val="002D0BE0"/>
    <w:rsid w:val="002D26CE"/>
    <w:rsid w:val="002E52AA"/>
    <w:rsid w:val="002F6AB3"/>
    <w:rsid w:val="00301CA3"/>
    <w:rsid w:val="0030525F"/>
    <w:rsid w:val="0031379C"/>
    <w:rsid w:val="00331240"/>
    <w:rsid w:val="00332A13"/>
    <w:rsid w:val="00361767"/>
    <w:rsid w:val="0036449E"/>
    <w:rsid w:val="00371B1D"/>
    <w:rsid w:val="0038044C"/>
    <w:rsid w:val="003855B9"/>
    <w:rsid w:val="00387D69"/>
    <w:rsid w:val="00397ECD"/>
    <w:rsid w:val="003A038D"/>
    <w:rsid w:val="003B5945"/>
    <w:rsid w:val="003B6238"/>
    <w:rsid w:val="003B77E9"/>
    <w:rsid w:val="003B7D53"/>
    <w:rsid w:val="003B7DD8"/>
    <w:rsid w:val="003C1052"/>
    <w:rsid w:val="003C509A"/>
    <w:rsid w:val="003D478E"/>
    <w:rsid w:val="003E139D"/>
    <w:rsid w:val="003E188D"/>
    <w:rsid w:val="003F07AA"/>
    <w:rsid w:val="003F4565"/>
    <w:rsid w:val="003F4759"/>
    <w:rsid w:val="00403B16"/>
    <w:rsid w:val="00405CC8"/>
    <w:rsid w:val="0041311F"/>
    <w:rsid w:val="004148C8"/>
    <w:rsid w:val="00421DD4"/>
    <w:rsid w:val="004342DB"/>
    <w:rsid w:val="004346DF"/>
    <w:rsid w:val="00436CA5"/>
    <w:rsid w:val="00443388"/>
    <w:rsid w:val="00455DAB"/>
    <w:rsid w:val="00462566"/>
    <w:rsid w:val="00462DB6"/>
    <w:rsid w:val="00467D21"/>
    <w:rsid w:val="00472934"/>
    <w:rsid w:val="00472CD1"/>
    <w:rsid w:val="00487DCC"/>
    <w:rsid w:val="0049249D"/>
    <w:rsid w:val="00494EFD"/>
    <w:rsid w:val="004A6E3E"/>
    <w:rsid w:val="004B2F4D"/>
    <w:rsid w:val="004C02F4"/>
    <w:rsid w:val="004C574F"/>
    <w:rsid w:val="004D08C4"/>
    <w:rsid w:val="004D29F4"/>
    <w:rsid w:val="004D782E"/>
    <w:rsid w:val="004E0EE8"/>
    <w:rsid w:val="004E222A"/>
    <w:rsid w:val="004F11B0"/>
    <w:rsid w:val="004F19C6"/>
    <w:rsid w:val="004F4127"/>
    <w:rsid w:val="004F62F4"/>
    <w:rsid w:val="004F6811"/>
    <w:rsid w:val="00510AB6"/>
    <w:rsid w:val="00521DF3"/>
    <w:rsid w:val="00524498"/>
    <w:rsid w:val="005535D1"/>
    <w:rsid w:val="005541E5"/>
    <w:rsid w:val="00581A60"/>
    <w:rsid w:val="00587BAB"/>
    <w:rsid w:val="00587E07"/>
    <w:rsid w:val="005A5E4B"/>
    <w:rsid w:val="005B0A0D"/>
    <w:rsid w:val="005B0F2B"/>
    <w:rsid w:val="005B121E"/>
    <w:rsid w:val="005B1506"/>
    <w:rsid w:val="005E04AE"/>
    <w:rsid w:val="005E325B"/>
    <w:rsid w:val="005E6936"/>
    <w:rsid w:val="005F2CFE"/>
    <w:rsid w:val="005F670F"/>
    <w:rsid w:val="006005E2"/>
    <w:rsid w:val="006007D4"/>
    <w:rsid w:val="00602EAE"/>
    <w:rsid w:val="00610D06"/>
    <w:rsid w:val="0061371B"/>
    <w:rsid w:val="00615A25"/>
    <w:rsid w:val="00627A92"/>
    <w:rsid w:val="00641518"/>
    <w:rsid w:val="006624D8"/>
    <w:rsid w:val="00662B0A"/>
    <w:rsid w:val="00667E0B"/>
    <w:rsid w:val="00672AE7"/>
    <w:rsid w:val="006763C3"/>
    <w:rsid w:val="00680702"/>
    <w:rsid w:val="00680EAB"/>
    <w:rsid w:val="006827D6"/>
    <w:rsid w:val="0068304F"/>
    <w:rsid w:val="00693E9A"/>
    <w:rsid w:val="00697DCE"/>
    <w:rsid w:val="006C7151"/>
    <w:rsid w:val="006D58B7"/>
    <w:rsid w:val="006E0488"/>
    <w:rsid w:val="006F1E25"/>
    <w:rsid w:val="007101AD"/>
    <w:rsid w:val="007220EF"/>
    <w:rsid w:val="00724597"/>
    <w:rsid w:val="00731687"/>
    <w:rsid w:val="0073464A"/>
    <w:rsid w:val="00750017"/>
    <w:rsid w:val="00770100"/>
    <w:rsid w:val="007757AA"/>
    <w:rsid w:val="00776F84"/>
    <w:rsid w:val="00787274"/>
    <w:rsid w:val="00790048"/>
    <w:rsid w:val="00791EF2"/>
    <w:rsid w:val="007A2256"/>
    <w:rsid w:val="007A2B80"/>
    <w:rsid w:val="007B3321"/>
    <w:rsid w:val="007B3CBA"/>
    <w:rsid w:val="007C1B3C"/>
    <w:rsid w:val="007C33EC"/>
    <w:rsid w:val="007D31FC"/>
    <w:rsid w:val="007D36B8"/>
    <w:rsid w:val="007D666D"/>
    <w:rsid w:val="00801C23"/>
    <w:rsid w:val="008057F7"/>
    <w:rsid w:val="0080725A"/>
    <w:rsid w:val="00826DEC"/>
    <w:rsid w:val="008359E0"/>
    <w:rsid w:val="00842A2C"/>
    <w:rsid w:val="008439E1"/>
    <w:rsid w:val="00844CEF"/>
    <w:rsid w:val="0085075C"/>
    <w:rsid w:val="008668AE"/>
    <w:rsid w:val="0087458F"/>
    <w:rsid w:val="008925F2"/>
    <w:rsid w:val="008A2FA6"/>
    <w:rsid w:val="008A3F15"/>
    <w:rsid w:val="008A6B3E"/>
    <w:rsid w:val="008B7560"/>
    <w:rsid w:val="008C39A9"/>
    <w:rsid w:val="008C492A"/>
    <w:rsid w:val="008D44C8"/>
    <w:rsid w:val="008E4C14"/>
    <w:rsid w:val="008F1B73"/>
    <w:rsid w:val="009003BE"/>
    <w:rsid w:val="00904782"/>
    <w:rsid w:val="00905C2B"/>
    <w:rsid w:val="00915A12"/>
    <w:rsid w:val="00943399"/>
    <w:rsid w:val="0094693A"/>
    <w:rsid w:val="00952EFB"/>
    <w:rsid w:val="00953E78"/>
    <w:rsid w:val="009546F2"/>
    <w:rsid w:val="009670E1"/>
    <w:rsid w:val="00972182"/>
    <w:rsid w:val="00973525"/>
    <w:rsid w:val="0097738A"/>
    <w:rsid w:val="0097774F"/>
    <w:rsid w:val="00985518"/>
    <w:rsid w:val="00996A38"/>
    <w:rsid w:val="009B20D6"/>
    <w:rsid w:val="009B213E"/>
    <w:rsid w:val="009B4A31"/>
    <w:rsid w:val="009B57B2"/>
    <w:rsid w:val="009C6784"/>
    <w:rsid w:val="009F0326"/>
    <w:rsid w:val="009F11EA"/>
    <w:rsid w:val="009F3622"/>
    <w:rsid w:val="00A0375E"/>
    <w:rsid w:val="00A10830"/>
    <w:rsid w:val="00A138FB"/>
    <w:rsid w:val="00A16C02"/>
    <w:rsid w:val="00A1730F"/>
    <w:rsid w:val="00A1763E"/>
    <w:rsid w:val="00A31EC0"/>
    <w:rsid w:val="00A32B66"/>
    <w:rsid w:val="00A33A31"/>
    <w:rsid w:val="00A41788"/>
    <w:rsid w:val="00A66FCC"/>
    <w:rsid w:val="00A73956"/>
    <w:rsid w:val="00AA1C66"/>
    <w:rsid w:val="00AA4D23"/>
    <w:rsid w:val="00AB115C"/>
    <w:rsid w:val="00AB70E3"/>
    <w:rsid w:val="00AD17FA"/>
    <w:rsid w:val="00AD4056"/>
    <w:rsid w:val="00AD76EB"/>
    <w:rsid w:val="00AE5E87"/>
    <w:rsid w:val="00AE6ACB"/>
    <w:rsid w:val="00AE76BB"/>
    <w:rsid w:val="00AF3ADF"/>
    <w:rsid w:val="00AF6C04"/>
    <w:rsid w:val="00B136B1"/>
    <w:rsid w:val="00B333D4"/>
    <w:rsid w:val="00B3461E"/>
    <w:rsid w:val="00B378AC"/>
    <w:rsid w:val="00B44962"/>
    <w:rsid w:val="00B465C7"/>
    <w:rsid w:val="00B53C45"/>
    <w:rsid w:val="00B60924"/>
    <w:rsid w:val="00B70F76"/>
    <w:rsid w:val="00B85766"/>
    <w:rsid w:val="00B87E3C"/>
    <w:rsid w:val="00B92809"/>
    <w:rsid w:val="00B96933"/>
    <w:rsid w:val="00B971C2"/>
    <w:rsid w:val="00BA1C63"/>
    <w:rsid w:val="00BA1DBF"/>
    <w:rsid w:val="00BA743C"/>
    <w:rsid w:val="00BB1F47"/>
    <w:rsid w:val="00BC0467"/>
    <w:rsid w:val="00BD4FCE"/>
    <w:rsid w:val="00BE02F5"/>
    <w:rsid w:val="00BE098B"/>
    <w:rsid w:val="00BE2488"/>
    <w:rsid w:val="00BE4213"/>
    <w:rsid w:val="00BF0585"/>
    <w:rsid w:val="00BF2679"/>
    <w:rsid w:val="00C06AE5"/>
    <w:rsid w:val="00C0761E"/>
    <w:rsid w:val="00C12215"/>
    <w:rsid w:val="00C15D21"/>
    <w:rsid w:val="00C17949"/>
    <w:rsid w:val="00C21E7A"/>
    <w:rsid w:val="00C31CE9"/>
    <w:rsid w:val="00C443FB"/>
    <w:rsid w:val="00C5676D"/>
    <w:rsid w:val="00C63451"/>
    <w:rsid w:val="00C66ADE"/>
    <w:rsid w:val="00C95703"/>
    <w:rsid w:val="00CB2A85"/>
    <w:rsid w:val="00CB3D96"/>
    <w:rsid w:val="00CB6ED5"/>
    <w:rsid w:val="00CB7740"/>
    <w:rsid w:val="00CE044F"/>
    <w:rsid w:val="00D026A1"/>
    <w:rsid w:val="00D02E93"/>
    <w:rsid w:val="00D12731"/>
    <w:rsid w:val="00D20A15"/>
    <w:rsid w:val="00D272E4"/>
    <w:rsid w:val="00D4239D"/>
    <w:rsid w:val="00D527AE"/>
    <w:rsid w:val="00D60483"/>
    <w:rsid w:val="00D72017"/>
    <w:rsid w:val="00D72BD6"/>
    <w:rsid w:val="00D82DA9"/>
    <w:rsid w:val="00D925B1"/>
    <w:rsid w:val="00D928A6"/>
    <w:rsid w:val="00D96091"/>
    <w:rsid w:val="00DA460A"/>
    <w:rsid w:val="00DA4C85"/>
    <w:rsid w:val="00DA557A"/>
    <w:rsid w:val="00DA65E5"/>
    <w:rsid w:val="00DB046F"/>
    <w:rsid w:val="00DB4ED1"/>
    <w:rsid w:val="00DB7283"/>
    <w:rsid w:val="00DC1C22"/>
    <w:rsid w:val="00DC446A"/>
    <w:rsid w:val="00DC462D"/>
    <w:rsid w:val="00DC5D89"/>
    <w:rsid w:val="00DE5002"/>
    <w:rsid w:val="00DF7730"/>
    <w:rsid w:val="00E014D7"/>
    <w:rsid w:val="00E03BC0"/>
    <w:rsid w:val="00E12761"/>
    <w:rsid w:val="00E37F84"/>
    <w:rsid w:val="00E40E9B"/>
    <w:rsid w:val="00E45084"/>
    <w:rsid w:val="00E52E82"/>
    <w:rsid w:val="00E56BB7"/>
    <w:rsid w:val="00E66003"/>
    <w:rsid w:val="00E7193F"/>
    <w:rsid w:val="00E75F6B"/>
    <w:rsid w:val="00E92791"/>
    <w:rsid w:val="00E93B98"/>
    <w:rsid w:val="00E940F8"/>
    <w:rsid w:val="00E95129"/>
    <w:rsid w:val="00E95DFC"/>
    <w:rsid w:val="00EB3B67"/>
    <w:rsid w:val="00EB4C16"/>
    <w:rsid w:val="00EB62BB"/>
    <w:rsid w:val="00EC4043"/>
    <w:rsid w:val="00EC46C3"/>
    <w:rsid w:val="00ED21A6"/>
    <w:rsid w:val="00EE64F0"/>
    <w:rsid w:val="00EF2EE2"/>
    <w:rsid w:val="00EF6CA2"/>
    <w:rsid w:val="00F063FF"/>
    <w:rsid w:val="00F10E8A"/>
    <w:rsid w:val="00F15BB3"/>
    <w:rsid w:val="00F203D4"/>
    <w:rsid w:val="00F45241"/>
    <w:rsid w:val="00F738F7"/>
    <w:rsid w:val="00F73CEA"/>
    <w:rsid w:val="00F75B02"/>
    <w:rsid w:val="00F8764B"/>
    <w:rsid w:val="00FA291B"/>
    <w:rsid w:val="00FA3239"/>
    <w:rsid w:val="00FA4BB1"/>
    <w:rsid w:val="00FB570E"/>
    <w:rsid w:val="00FB694B"/>
    <w:rsid w:val="00FC7087"/>
    <w:rsid w:val="00FD23F3"/>
    <w:rsid w:val="00FD7C68"/>
    <w:rsid w:val="00FF5B76"/>
    <w:rsid w:val="00FF6A4D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1 Char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D72BD6"/>
    <w:pPr>
      <w:spacing w:after="120"/>
      <w:ind w:left="283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72BD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72BD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72BD6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76F84"/>
    <w:rPr>
      <w:rFonts w:cs="Times New Roman"/>
      <w:b/>
      <w:bCs/>
      <w:sz w:val="24"/>
      <w:szCs w:val="24"/>
      <w:rtl w:val="0"/>
      <w:cs w:val="0"/>
      <w:lang w:val="sk-SK" w:eastAsia="cs-CZ"/>
    </w:rPr>
  </w:style>
  <w:style w:type="character" w:styleId="Emphasis">
    <w:name w:val="Emphasis"/>
    <w:basedOn w:val="DefaultParagraphFont"/>
    <w:uiPriority w:val="99"/>
    <w:qFormat/>
    <w:rsid w:val="00D72BD6"/>
    <w:rPr>
      <w:rFonts w:cs="Times New Roman"/>
      <w:i/>
      <w:iCs/>
      <w:rtl w:val="0"/>
      <w:cs w:val="0"/>
    </w:rPr>
  </w:style>
  <w:style w:type="paragraph" w:customStyle="1" w:styleId="TEXT">
    <w:name w:val="TEXT"/>
    <w:basedOn w:val="Normal"/>
    <w:uiPriority w:val="99"/>
    <w:rsid w:val="00D72BD6"/>
    <w:pPr>
      <w:jc w:val="both"/>
    </w:pPr>
    <w:rPr>
      <w:color w:val="000000"/>
    </w:rPr>
  </w:style>
  <w:style w:type="paragraph" w:customStyle="1" w:styleId="nariadenia">
    <w:name w:val="nariadenia"/>
    <w:basedOn w:val="Normal"/>
    <w:uiPriority w:val="99"/>
    <w:rsid w:val="00D72BD6"/>
    <w:pPr>
      <w:ind w:left="567" w:hanging="567"/>
      <w:jc w:val="both"/>
    </w:pPr>
    <w:rPr>
      <w:color w:val="000000"/>
    </w:rPr>
  </w:style>
  <w:style w:type="paragraph" w:customStyle="1" w:styleId="BODY">
    <w:name w:val="BODY"/>
    <w:basedOn w:val="Normal"/>
    <w:uiPriority w:val="99"/>
    <w:rsid w:val="00D72BD6"/>
    <w:pPr>
      <w:jc w:val="left"/>
    </w:pPr>
    <w:rPr>
      <w:b/>
      <w:bCs/>
      <w:color w:val="000000"/>
    </w:rPr>
  </w:style>
  <w:style w:type="paragraph" w:customStyle="1" w:styleId="CharChar1">
    <w:name w:val="Char Char1"/>
    <w:basedOn w:val="Normal"/>
    <w:uiPriority w:val="99"/>
    <w:rsid w:val="00192D06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1Char">
    <w:name w:val="1 Char"/>
    <w:basedOn w:val="Normal"/>
    <w:uiPriority w:val="99"/>
    <w:rsid w:val="00BC0467"/>
    <w:pPr>
      <w:jc w:val="left"/>
    </w:pPr>
    <w:rPr>
      <w:lang w:val="pl-PL" w:eastAsia="pl-PL"/>
    </w:rPr>
  </w:style>
  <w:style w:type="paragraph" w:styleId="Footer">
    <w:name w:val="footer"/>
    <w:basedOn w:val="Normal"/>
    <w:link w:val="PtaChar"/>
    <w:uiPriority w:val="99"/>
    <w:rsid w:val="0030525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0525F"/>
    <w:rPr>
      <w:rFonts w:cs="Times New Roman"/>
      <w:rtl w:val="0"/>
      <w:cs w:val="0"/>
    </w:rPr>
  </w:style>
  <w:style w:type="paragraph" w:customStyle="1" w:styleId="Zkladntext1">
    <w:name w:val="Základní text1"/>
    <w:uiPriority w:val="99"/>
    <w:rsid w:val="00C06A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4148C8"/>
    <w:pPr>
      <w:ind w:left="708"/>
      <w:jc w:val="left"/>
    </w:pPr>
  </w:style>
  <w:style w:type="paragraph" w:customStyle="1" w:styleId="Zkladntext">
    <w:name w:val="Základní text"/>
    <w:uiPriority w:val="99"/>
    <w:rsid w:val="003C50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11">
    <w:name w:val="Char Char11"/>
    <w:basedOn w:val="Normal"/>
    <w:uiPriority w:val="99"/>
    <w:rsid w:val="003C509A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Zarkazkladnhotextu1">
    <w:name w:val="Zarážka základného textu1"/>
    <w:basedOn w:val="Normal"/>
    <w:link w:val="ZarkazkladnhotextuChar"/>
    <w:rsid w:val="00487DCC"/>
    <w:pPr>
      <w:jc w:val="both"/>
    </w:pPr>
  </w:style>
  <w:style w:type="character" w:customStyle="1" w:styleId="ZarkazkladnhotextuChar">
    <w:name w:val="Zarážka základného textu Char"/>
    <w:basedOn w:val="DefaultParagraphFont"/>
    <w:link w:val="Zarkazkladnhotextu1"/>
    <w:locked/>
    <w:rsid w:val="00487DCC"/>
    <w:rPr>
      <w:rFonts w:cs="Times New Roman"/>
      <w:sz w:val="24"/>
      <w:szCs w:val="24"/>
      <w:rtl w:val="0"/>
      <w:cs w:val="0"/>
      <w:lang w:bidi="ar-SA"/>
    </w:rPr>
  </w:style>
  <w:style w:type="paragraph" w:styleId="BodyTextIndent">
    <w:name w:val="Body Text Indent"/>
    <w:basedOn w:val="Normal"/>
    <w:link w:val="ZarkazkladnhotextuChar1"/>
    <w:uiPriority w:val="99"/>
    <w:unhideWhenUsed/>
    <w:rsid w:val="00A31EC0"/>
    <w:pPr>
      <w:spacing w:after="120"/>
      <w:ind w:left="283"/>
      <w:jc w:val="left"/>
    </w:p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locked/>
    <w:rsid w:val="00A31EC0"/>
    <w:rPr>
      <w:rFonts w:cs="Times New Roman"/>
      <w:sz w:val="24"/>
      <w:szCs w:val="24"/>
      <w:rtl w:val="0"/>
      <w:cs w:val="0"/>
      <w:lang w:bidi="ar-SA"/>
    </w:rPr>
  </w:style>
  <w:style w:type="paragraph" w:styleId="NormalWeb">
    <w:name w:val="Normal (Web)"/>
    <w:basedOn w:val="Normal"/>
    <w:uiPriority w:val="99"/>
    <w:rsid w:val="00B92809"/>
    <w:pPr>
      <w:spacing w:before="100" w:beforeAutospacing="1" w:after="100" w:afterAutospacing="1"/>
      <w:jc w:val="left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C562-9506-41FF-B5BF-D619FDA3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8</Pages>
  <Words>1873</Words>
  <Characters>10583</Characters>
  <Application>Microsoft Office Word</Application>
  <DocSecurity>0</DocSecurity>
  <Lines>0</Lines>
  <Paragraphs>0</Paragraphs>
  <ScaleCrop>false</ScaleCrop>
  <Company>mfsr</Company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ibittnerova</dc:creator>
  <cp:lastModifiedBy>tberan</cp:lastModifiedBy>
  <cp:revision>17</cp:revision>
  <cp:lastPrinted>2012-09-11T13:45:00Z</cp:lastPrinted>
  <dcterms:created xsi:type="dcterms:W3CDTF">2012-09-07T12:33:00Z</dcterms:created>
  <dcterms:modified xsi:type="dcterms:W3CDTF">2012-09-26T08:10:00Z</dcterms:modified>
</cp:coreProperties>
</file>