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DB333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DB333B" w:rsidRPr="00DB333B" w:rsidP="00DB333B">
      <w:pPr>
        <w:pStyle w:val="Heading1"/>
        <w:bidi w:val="0"/>
        <w:rPr>
          <w:rFonts w:ascii="Times New Roman" w:hAnsi="Times New Roman"/>
        </w:rPr>
      </w:pPr>
      <w:r w:rsidRPr="00DB333B">
        <w:rPr>
          <w:rFonts w:ascii="Times New Roman" w:hAnsi="Times New Roman"/>
          <w:b w:val="0"/>
          <w:bCs/>
        </w:rPr>
        <w:t> </w:t>
      </w:r>
    </w:p>
    <w:p w:rsidR="00DB333B" w:rsidRPr="00DF6ED3" w:rsidP="00DB333B">
      <w:pPr>
        <w:pStyle w:val="Heading1"/>
        <w:bidi w:val="0"/>
        <w:jc w:val="left"/>
        <w:rPr>
          <w:rFonts w:ascii="Times New Roman" w:hAnsi="Times New Roman"/>
          <w:sz w:val="24"/>
          <w:szCs w:val="24"/>
        </w:rPr>
      </w:pPr>
      <w:r w:rsidRPr="00DF6ED3">
        <w:rPr>
          <w:rFonts w:ascii="Times New Roman" w:hAnsi="Times New Roman"/>
          <w:sz w:val="24"/>
          <w:szCs w:val="24"/>
        </w:rPr>
        <w:t>A. Všeobecná časť</w:t>
      </w:r>
    </w:p>
    <w:p w:rsidR="00BE37CE" w:rsidP="00BE37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34C20" w:rsidRPr="00941305" w:rsidP="00BE37C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941305">
        <w:rPr>
          <w:rFonts w:ascii="Times New Roman" w:hAnsi="Times New Roman"/>
        </w:rPr>
        <w:t xml:space="preserve">Návrh zákona, </w:t>
      </w:r>
      <w:r w:rsidRPr="00941305" w:rsidR="00941305">
        <w:rPr>
          <w:rFonts w:ascii="Times New Roman" w:hAnsi="Times New Roman"/>
          <w:bCs/>
        </w:rPr>
        <w:t xml:space="preserve">ktorým sa </w:t>
      </w:r>
      <w:r w:rsidR="00F35E31">
        <w:rPr>
          <w:rFonts w:ascii="Times New Roman" w:hAnsi="Times New Roman"/>
          <w:bCs/>
        </w:rPr>
        <w:t xml:space="preserve">mení a </w:t>
      </w:r>
      <w:r w:rsidRPr="00941305" w:rsidR="00941305">
        <w:rPr>
          <w:rFonts w:ascii="Times New Roman" w:hAnsi="Times New Roman"/>
          <w:bCs/>
        </w:rPr>
        <w:t xml:space="preserve">dopĺňa zákon č. </w:t>
      </w:r>
      <w:r w:rsidR="000C2905">
        <w:rPr>
          <w:rFonts w:ascii="Times New Roman" w:hAnsi="Times New Roman"/>
          <w:bCs/>
        </w:rPr>
        <w:t>513/1991 Zb. Obchodný zákonník v znení neskorších predpisov a ktorým sa</w:t>
      </w:r>
      <w:r w:rsidR="002872F0">
        <w:rPr>
          <w:rFonts w:ascii="Times New Roman" w:hAnsi="Times New Roman"/>
          <w:bCs/>
        </w:rPr>
        <w:t xml:space="preserve"> menia a </w:t>
      </w:r>
      <w:r w:rsidR="000C2905">
        <w:rPr>
          <w:rFonts w:ascii="Times New Roman" w:hAnsi="Times New Roman"/>
          <w:bCs/>
        </w:rPr>
        <w:t>dopĺňa</w:t>
      </w:r>
      <w:r w:rsidR="002872F0">
        <w:rPr>
          <w:rFonts w:ascii="Times New Roman" w:hAnsi="Times New Roman"/>
          <w:bCs/>
        </w:rPr>
        <w:t>jú niektoré zákony</w:t>
      </w:r>
      <w:r w:rsidR="000C2905">
        <w:rPr>
          <w:rFonts w:ascii="Times New Roman" w:hAnsi="Times New Roman"/>
          <w:bCs/>
        </w:rPr>
        <w:t xml:space="preserve"> </w:t>
      </w:r>
      <w:r w:rsidR="00CF0EC4">
        <w:rPr>
          <w:rFonts w:ascii="Times New Roman" w:hAnsi="Times New Roman"/>
        </w:rPr>
        <w:t xml:space="preserve">(ďalej len „návrh zákona“) </w:t>
      </w:r>
      <w:r w:rsidRPr="00941305" w:rsidR="00631974">
        <w:rPr>
          <w:rFonts w:ascii="Times New Roman" w:hAnsi="Times New Roman"/>
        </w:rPr>
        <w:t>predkladá</w:t>
      </w:r>
      <w:r w:rsidRPr="00941305">
        <w:rPr>
          <w:rFonts w:ascii="Times New Roman" w:hAnsi="Times New Roman"/>
        </w:rPr>
        <w:t xml:space="preserve"> poslan</w:t>
      </w:r>
      <w:r w:rsidRPr="00941305" w:rsidR="00631974">
        <w:rPr>
          <w:rFonts w:ascii="Times New Roman" w:hAnsi="Times New Roman"/>
        </w:rPr>
        <w:t>ec</w:t>
      </w:r>
      <w:r w:rsidRPr="00941305">
        <w:rPr>
          <w:rFonts w:ascii="Times New Roman" w:hAnsi="Times New Roman"/>
        </w:rPr>
        <w:t xml:space="preserve"> Nár</w:t>
      </w:r>
      <w:r w:rsidRPr="00941305" w:rsidR="00D058D0">
        <w:rPr>
          <w:rFonts w:ascii="Times New Roman" w:hAnsi="Times New Roman"/>
        </w:rPr>
        <w:t>odnej rady Slo</w:t>
      </w:r>
      <w:r w:rsidR="00941305">
        <w:rPr>
          <w:rFonts w:ascii="Times New Roman" w:hAnsi="Times New Roman"/>
        </w:rPr>
        <w:t xml:space="preserve">venskej republiky </w:t>
      </w:r>
      <w:r w:rsidR="00C840B6">
        <w:rPr>
          <w:rFonts w:ascii="Times New Roman" w:hAnsi="Times New Roman"/>
        </w:rPr>
        <w:t>Igor Hraško.</w:t>
      </w:r>
    </w:p>
    <w:p w:rsidR="00734C20" w:rsidP="002924B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25F4E" w:rsidP="00BE37C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C840B6" w:rsidR="00734C20">
        <w:rPr>
          <w:rFonts w:ascii="Times New Roman" w:hAnsi="Times New Roman"/>
        </w:rPr>
        <w:t xml:space="preserve">Cieľom návrhu zákona je </w:t>
      </w:r>
      <w:r>
        <w:rPr>
          <w:rFonts w:ascii="Times New Roman" w:hAnsi="Times New Roman"/>
        </w:rPr>
        <w:t>ozdravenie podnikateľského prostredia predovšetkým formou posilnenia</w:t>
      </w:r>
      <w:r w:rsidR="002872F0">
        <w:rPr>
          <w:rFonts w:ascii="Times New Roman" w:hAnsi="Times New Roman"/>
        </w:rPr>
        <w:t xml:space="preserve"> postavenia veriteľov, ktorý vstupujú do záväzkového vzťahu s obchodnými spoločnosťami (najmä spoločností s ručením obmedzeným), a to niekoľkými opatreniami. </w:t>
      </w:r>
    </w:p>
    <w:p w:rsidR="00725F4E" w:rsidP="00BE37C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725F4E" w:rsidP="00725F4E">
      <w:pPr>
        <w:pStyle w:val="NormalWeb"/>
        <w:bidi w:val="0"/>
        <w:spacing w:before="0" w:beforeAutospacing="0" w:after="0" w:afterAutospacing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Tieto opatrenia sa týkajú najmä rezervného fondu, a to</w:t>
      </w:r>
      <w:r w:rsidR="002872F0">
        <w:rPr>
          <w:rFonts w:ascii="Times New Roman" w:hAnsi="Times New Roman"/>
        </w:rPr>
        <w:t xml:space="preserve"> tak, že</w:t>
      </w:r>
      <w:r>
        <w:rPr>
          <w:rFonts w:ascii="Times New Roman" w:hAnsi="Times New Roman"/>
        </w:rPr>
        <w:t xml:space="preserve"> rezervný fond</w:t>
      </w:r>
      <w:r w:rsidR="002872F0">
        <w:rPr>
          <w:rFonts w:ascii="Times New Roman" w:hAnsi="Times New Roman"/>
        </w:rPr>
        <w:t>:</w:t>
      </w:r>
    </w:p>
    <w:p w:rsidR="002872F0" w:rsidP="002872F0">
      <w:pPr>
        <w:pStyle w:val="NormalWeb"/>
        <w:numPr>
          <w:numId w:val="21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</w:t>
      </w:r>
      <w:r w:rsidR="00AB2181">
        <w:rPr>
          <w:rFonts w:ascii="Times New Roman" w:hAnsi="Times New Roman"/>
        </w:rPr>
        <w:t xml:space="preserve"> vytvára nie z čistého zisku, ale</w:t>
      </w:r>
      <w:r>
        <w:rPr>
          <w:rFonts w:ascii="Times New Roman" w:hAnsi="Times New Roman"/>
        </w:rPr>
        <w:t xml:space="preserve"> z hrubého zisku spoločnosti</w:t>
      </w:r>
      <w:r w:rsidR="00AB2181">
        <w:rPr>
          <w:rFonts w:ascii="Times New Roman" w:hAnsi="Times New Roman"/>
        </w:rPr>
        <w:t xml:space="preserve"> vykázaného v schválenej riadnej individuálnej účtovnej závierke</w:t>
      </w:r>
      <w:r>
        <w:rPr>
          <w:rFonts w:ascii="Times New Roman" w:hAnsi="Times New Roman"/>
        </w:rPr>
        <w:t>,</w:t>
      </w:r>
    </w:p>
    <w:p w:rsidR="002872F0" w:rsidP="002872F0">
      <w:pPr>
        <w:pStyle w:val="NormalWeb"/>
        <w:numPr>
          <w:numId w:val="21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 </w:t>
      </w:r>
      <w:r w:rsidR="00AB2181">
        <w:rPr>
          <w:rFonts w:ascii="Times New Roman" w:hAnsi="Times New Roman"/>
        </w:rPr>
        <w:t>používa</w:t>
      </w:r>
      <w:r>
        <w:rPr>
          <w:rFonts w:ascii="Times New Roman" w:hAnsi="Times New Roman"/>
        </w:rPr>
        <w:t xml:space="preserve"> nielen na krytie strát spoločnosti, ale aj na opatrenia, </w:t>
      </w:r>
      <w:r w:rsidRPr="004440E3">
        <w:rPr>
          <w:rFonts w:ascii="Times New Roman" w:hAnsi="Times New Roman"/>
        </w:rPr>
        <w:t>ktoré majú prekonať nepriaznivý p</w:t>
      </w:r>
      <w:r>
        <w:rPr>
          <w:rFonts w:ascii="Times New Roman" w:hAnsi="Times New Roman"/>
        </w:rPr>
        <w:t xml:space="preserve">riebeh </w:t>
      </w:r>
      <w:r w:rsidR="00725F4E">
        <w:rPr>
          <w:rFonts w:ascii="Times New Roman" w:hAnsi="Times New Roman"/>
        </w:rPr>
        <w:t>hospodárenia spoločnosti</w:t>
      </w:r>
      <w:r>
        <w:rPr>
          <w:rFonts w:ascii="Times New Roman" w:hAnsi="Times New Roman"/>
        </w:rPr>
        <w:t>,</w:t>
      </w:r>
    </w:p>
    <w:p w:rsidR="00AB2181" w:rsidP="002872F0">
      <w:pPr>
        <w:pStyle w:val="NormalWeb"/>
        <w:numPr>
          <w:numId w:val="21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 tvorí peňažnými prostriedkami uloženými na účte v banke alebo </w:t>
      </w:r>
      <w:r w:rsidRPr="00064BBA">
        <w:rPr>
          <w:rFonts w:ascii="Times New Roman" w:hAnsi="Times New Roman"/>
        </w:rPr>
        <w:t>bezpečnými majetkovými hodnotami rýchle speňažiteľnými</w:t>
      </w:r>
      <w:r>
        <w:rPr>
          <w:rFonts w:ascii="Times New Roman" w:hAnsi="Times New Roman"/>
        </w:rPr>
        <w:t>,</w:t>
      </w:r>
    </w:p>
    <w:p w:rsidR="00C840B6" w:rsidP="002872F0">
      <w:pPr>
        <w:pStyle w:val="NormalWeb"/>
        <w:numPr>
          <w:numId w:val="21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2872F0">
        <w:rPr>
          <w:rFonts w:ascii="Times New Roman" w:hAnsi="Times New Roman"/>
        </w:rPr>
        <w:t>jeho výška sa bude zverejňovať v obchodnom registri, a to za každý rok hospodárenia spoločnosti</w:t>
      </w:r>
      <w:r w:rsidR="00725F4E">
        <w:rPr>
          <w:rFonts w:ascii="Times New Roman" w:hAnsi="Times New Roman"/>
        </w:rPr>
        <w:t>,</w:t>
      </w:r>
    </w:p>
    <w:p w:rsidR="00AB2181" w:rsidP="002872F0">
      <w:pPr>
        <w:pStyle w:val="NormalWeb"/>
        <w:numPr>
          <w:numId w:val="21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 stane daňovým výdavkom.</w:t>
      </w:r>
    </w:p>
    <w:p w:rsidR="00725F4E" w:rsidP="00725F4E">
      <w:pPr>
        <w:pStyle w:val="NormalWeb"/>
        <w:bidi w:val="0"/>
        <w:spacing w:before="0" w:beforeAutospacing="0" w:after="0" w:afterAutospacing="0"/>
        <w:ind w:left="708"/>
        <w:jc w:val="both"/>
        <w:rPr>
          <w:rFonts w:ascii="Times New Roman" w:hAnsi="Times New Roman"/>
        </w:rPr>
      </w:pPr>
    </w:p>
    <w:p w:rsidR="00725F4E" w:rsidP="00725F4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="0050388A">
        <w:rPr>
          <w:rFonts w:ascii="Times New Roman" w:hAnsi="Times New Roman"/>
        </w:rPr>
        <w:t>Opatreniami, ktoré sa týkajú zverejňovania rezervného fondu v obchodnom registri sa zároveň dosiahne väčšia transparentnosť a vyššia právna istota na strane veriteľov vrátane obyčajných ľudí, ktorým takéto zverejnenie poskytne jednoznačnú informáciu o stave a platobnej schopnosti danej obchodnej spoločnosti</w:t>
      </w:r>
      <w:r>
        <w:rPr>
          <w:rFonts w:ascii="Times New Roman" w:hAnsi="Times New Roman"/>
        </w:rPr>
        <w:t>.</w:t>
      </w:r>
    </w:p>
    <w:p w:rsidR="00AB2181" w:rsidP="00AB2181">
      <w:pPr>
        <w:pStyle w:val="NormalWeb"/>
        <w:bidi w:val="0"/>
        <w:spacing w:before="0" w:beforeAutospacing="0" w:after="0" w:afterAutospacing="0"/>
        <w:ind w:left="1068"/>
        <w:jc w:val="both"/>
        <w:rPr>
          <w:rFonts w:ascii="Times New Roman" w:hAnsi="Times New Roman"/>
        </w:rPr>
      </w:pPr>
    </w:p>
    <w:p w:rsidR="00C840B6" w:rsidP="00725F4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i/>
        </w:rPr>
      </w:pPr>
      <w:r w:rsidR="00725F4E">
        <w:rPr>
          <w:rFonts w:ascii="Times New Roman" w:hAnsi="Times New Roman"/>
        </w:rPr>
        <w:t>Okrem týchto opatrení</w:t>
      </w:r>
      <w:r w:rsidR="00AB2181">
        <w:rPr>
          <w:rFonts w:ascii="Times New Roman" w:hAnsi="Times New Roman"/>
        </w:rPr>
        <w:t xml:space="preserve"> má návrh zákona za cieľ obmedziť, resp. zakázať spoločníkom spoločností, u ktorých došlo k zastaveniu konkurzného konania pre nedostatok majetku alebo k zrušeniu konkurzu, pretože majetok spoločnosti nepostačuje na náhradu odmeny a výdavkov za výkon funkcie správcu konkurznej podstaty, založiť alebo podieľať sa na založení ďalšej spoločnosti najskôr po uplynutí desiatich rokov od právoplatného rozhodnutia súdu.</w:t>
      </w:r>
    </w:p>
    <w:p w:rsidR="00C840B6" w:rsidP="00BE37C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i/>
        </w:rPr>
      </w:pPr>
    </w:p>
    <w:p w:rsidR="002B0A5B" w:rsidRPr="00B46F7D" w:rsidP="002B0A5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E81339">
        <w:rPr>
          <w:rFonts w:ascii="Times New Roman" w:hAnsi="Times New Roman"/>
        </w:rPr>
        <w:t>Predkladaný</w:t>
      </w:r>
      <w:r w:rsidRPr="00B46F7D">
        <w:rPr>
          <w:rFonts w:ascii="Times New Roman" w:hAnsi="Times New Roman"/>
        </w:rPr>
        <w:t xml:space="preserve"> návrh zákona nezakladá žiadn</w:t>
      </w:r>
      <w:r w:rsidR="00B82F2A">
        <w:rPr>
          <w:rFonts w:ascii="Times New Roman" w:hAnsi="Times New Roman"/>
        </w:rPr>
        <w:t xml:space="preserve">e vplyvy na štátny rozpočet ani na </w:t>
      </w:r>
      <w:r w:rsidRPr="00B46F7D">
        <w:rPr>
          <w:rFonts w:ascii="Times New Roman" w:hAnsi="Times New Roman"/>
        </w:rPr>
        <w:t>rozpočet verejnej správy</w:t>
      </w:r>
      <w:r w:rsidR="00B82F2A">
        <w:rPr>
          <w:rFonts w:ascii="Times New Roman" w:hAnsi="Times New Roman"/>
        </w:rPr>
        <w:t xml:space="preserve">. </w:t>
      </w:r>
      <w:r w:rsidR="00AB2181">
        <w:rPr>
          <w:rFonts w:ascii="Times New Roman" w:hAnsi="Times New Roman"/>
        </w:rPr>
        <w:t>Návrh zákona má čiastočne negatívny, ale aj pozitívny dopad</w:t>
      </w:r>
      <w:r w:rsidR="00B82F2A">
        <w:rPr>
          <w:rFonts w:ascii="Times New Roman" w:hAnsi="Times New Roman"/>
        </w:rPr>
        <w:t xml:space="preserve"> </w:t>
      </w:r>
      <w:r w:rsidRPr="00B46F7D">
        <w:rPr>
          <w:rFonts w:ascii="Times New Roman" w:hAnsi="Times New Roman"/>
        </w:rPr>
        <w:t>na podnikateľské prostredie</w:t>
      </w:r>
      <w:r w:rsidR="002A4282">
        <w:rPr>
          <w:rFonts w:ascii="Times New Roman" w:hAnsi="Times New Roman"/>
        </w:rPr>
        <w:t>,</w:t>
      </w:r>
      <w:r w:rsidR="00AB2181">
        <w:rPr>
          <w:rFonts w:ascii="Times New Roman" w:hAnsi="Times New Roman"/>
        </w:rPr>
        <w:t xml:space="preserve"> ktorý je bližšie uvedený v doložke vplyvov.</w:t>
      </w:r>
      <w:r w:rsidR="002A4282">
        <w:rPr>
          <w:rFonts w:ascii="Times New Roman" w:hAnsi="Times New Roman"/>
        </w:rPr>
        <w:t xml:space="preserve"> </w:t>
      </w:r>
      <w:r w:rsidR="00AB2181">
        <w:rPr>
          <w:rFonts w:ascii="Times New Roman" w:hAnsi="Times New Roman"/>
        </w:rPr>
        <w:t xml:space="preserve">Návrh zákona </w:t>
      </w:r>
      <w:r w:rsidR="002A4282">
        <w:rPr>
          <w:rFonts w:ascii="Times New Roman" w:hAnsi="Times New Roman"/>
        </w:rPr>
        <w:t>nevyvoláva sociálne vplyv</w:t>
      </w:r>
      <w:r w:rsidR="00DD1349">
        <w:rPr>
          <w:rFonts w:ascii="Times New Roman" w:hAnsi="Times New Roman"/>
        </w:rPr>
        <w:t>y</w:t>
      </w:r>
      <w:r w:rsidR="00725F4E">
        <w:rPr>
          <w:rFonts w:ascii="Times New Roman" w:hAnsi="Times New Roman"/>
        </w:rPr>
        <w:t xml:space="preserve"> ani </w:t>
      </w:r>
      <w:r w:rsidR="00E84FDA">
        <w:rPr>
          <w:rFonts w:ascii="Times New Roman" w:hAnsi="Times New Roman"/>
        </w:rPr>
        <w:t>nemá vplyv</w:t>
      </w:r>
      <w:r w:rsidR="00725F4E">
        <w:rPr>
          <w:rFonts w:ascii="Times New Roman" w:hAnsi="Times New Roman"/>
        </w:rPr>
        <w:t xml:space="preserve"> na životné prostredie, avšak má pozitívny vplyv </w:t>
      </w:r>
      <w:r w:rsidRPr="00B46F7D">
        <w:rPr>
          <w:rFonts w:ascii="Times New Roman" w:hAnsi="Times New Roman"/>
        </w:rPr>
        <w:t>na informatizáciu spoločnosti</w:t>
      </w:r>
      <w:r w:rsidR="00725F4E">
        <w:rPr>
          <w:rFonts w:ascii="Times New Roman" w:hAnsi="Times New Roman"/>
        </w:rPr>
        <w:t xml:space="preserve"> (zverejňovanie informácií v obchodnom registri, ktorý je dostupný aj na internete)</w:t>
      </w:r>
      <w:r w:rsidRPr="00B46F7D">
        <w:rPr>
          <w:rFonts w:ascii="Times New Roman" w:hAnsi="Times New Roman"/>
        </w:rPr>
        <w:t>.</w:t>
      </w:r>
    </w:p>
    <w:p w:rsidR="00E54769" w:rsidRPr="006A5485" w:rsidP="006A5485">
      <w:pPr>
        <w:pStyle w:val="NormalWeb"/>
        <w:bidi w:val="0"/>
        <w:ind w:firstLine="708"/>
        <w:jc w:val="both"/>
        <w:rPr>
          <w:rFonts w:ascii="Times New Roman" w:hAnsi="Times New Roman"/>
        </w:rPr>
      </w:pPr>
      <w:r w:rsidR="00C6362E">
        <w:rPr>
          <w:rFonts w:ascii="Times New Roman" w:hAnsi="Times New Roman"/>
        </w:rPr>
        <w:t xml:space="preserve">Návrh </w:t>
      </w:r>
      <w:r w:rsidR="008D52BD">
        <w:rPr>
          <w:rFonts w:ascii="Times New Roman" w:hAnsi="Times New Roman"/>
        </w:rPr>
        <w:t>zákona je v súlade s Ústavou Slovenskej republiky, ústavnými zákonmi a ostatnými všeobecne záväznými právnymi predpismi Slovenskej republiky, medzinárodnými zmluvami a inými medzinárodnými dokumentmi, ktorými</w:t>
      </w:r>
      <w:r w:rsidR="00C6362E">
        <w:rPr>
          <w:rFonts w:ascii="Times New Roman" w:hAnsi="Times New Roman"/>
        </w:rPr>
        <w:t xml:space="preserve"> je Slovenská republika viazaná, ako aj</w:t>
      </w:r>
      <w:r w:rsidR="006A5485">
        <w:rPr>
          <w:rFonts w:ascii="Times New Roman" w:hAnsi="Times New Roman"/>
        </w:rPr>
        <w:t xml:space="preserve"> s právom Európskej únie.</w:t>
      </w:r>
    </w:p>
    <w:p w:rsidR="002A4282" w:rsidP="008656BF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6B5B7B" w:rsidP="008656B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6B5B7B" w:rsidP="008656B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6B5B7B" w:rsidP="008656B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8656BF" w:rsidP="00725F4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8656BF" w:rsidP="008656B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návrhu zákona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s právom Európskej únie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 Navrhovateľ zákona:</w:t>
      </w:r>
      <w:r>
        <w:rPr>
          <w:rFonts w:ascii="Times New Roman" w:hAnsi="Times New Roman"/>
        </w:rPr>
        <w:t xml:space="preserve"> poslanec Národnej rady Slovenskej republiky </w:t>
      </w:r>
      <w:r w:rsidR="00DD39A5">
        <w:rPr>
          <w:rFonts w:ascii="Times New Roman" w:hAnsi="Times New Roman"/>
        </w:rPr>
        <w:t>Igor Hraško</w:t>
      </w:r>
    </w:p>
    <w:p w:rsidR="006B5B7B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39A5" w:rsidP="00DD39A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8656BF">
        <w:rPr>
          <w:rFonts w:ascii="Times New Roman" w:hAnsi="Times New Roman"/>
          <w:b/>
          <w:bCs/>
        </w:rPr>
        <w:t>2. Názov návrhu zákona:</w:t>
      </w:r>
      <w:r w:rsidR="008656BF">
        <w:rPr>
          <w:rFonts w:ascii="Times New Roman" w:hAnsi="Times New Roman"/>
        </w:rPr>
        <w:t xml:space="preserve"> </w:t>
      </w:r>
      <w:r w:rsidR="00725F4E">
        <w:rPr>
          <w:rFonts w:ascii="Times New Roman" w:hAnsi="Times New Roman"/>
        </w:rPr>
        <w:t xml:space="preserve">zákon, ktorým sa </w:t>
      </w:r>
      <w:r>
        <w:rPr>
          <w:rFonts w:ascii="Times New Roman" w:hAnsi="Times New Roman"/>
          <w:bCs/>
        </w:rPr>
        <w:t xml:space="preserve">mení a </w:t>
      </w:r>
      <w:r w:rsidRPr="00941305">
        <w:rPr>
          <w:rFonts w:ascii="Times New Roman" w:hAnsi="Times New Roman"/>
          <w:bCs/>
        </w:rPr>
        <w:t xml:space="preserve">dopĺňa zákon č. </w:t>
      </w:r>
      <w:r>
        <w:rPr>
          <w:rFonts w:ascii="Times New Roman" w:hAnsi="Times New Roman"/>
          <w:bCs/>
        </w:rPr>
        <w:t xml:space="preserve">513/1991 Zb. Obchodný zákonník v znení neskorších predpisov a ktorým sa </w:t>
      </w:r>
      <w:r w:rsidR="009B341D">
        <w:rPr>
          <w:rFonts w:ascii="Times New Roman" w:hAnsi="Times New Roman"/>
          <w:bCs/>
        </w:rPr>
        <w:t>menia a </w:t>
      </w:r>
      <w:r>
        <w:rPr>
          <w:rFonts w:ascii="Times New Roman" w:hAnsi="Times New Roman"/>
          <w:bCs/>
        </w:rPr>
        <w:t>dopĺňa</w:t>
      </w:r>
      <w:r w:rsidR="009B341D">
        <w:rPr>
          <w:rFonts w:ascii="Times New Roman" w:hAnsi="Times New Roman"/>
          <w:bCs/>
        </w:rPr>
        <w:t>jú niektoré zákony</w:t>
      </w:r>
      <w:r>
        <w:rPr>
          <w:rFonts w:ascii="Times New Roman" w:hAnsi="Times New Roman"/>
          <w:bCs/>
        </w:rPr>
        <w:t xml:space="preserve"> </w:t>
      </w:r>
    </w:p>
    <w:p w:rsidR="00DD39A5" w:rsidP="00DD39A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5B7B" w:rsidP="00DD39A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 Predmet návrhu zákona:</w:t>
      </w:r>
    </w:p>
    <w:p w:rsidR="006B5B7B" w:rsidP="006B5B7B">
      <w:pPr>
        <w:pStyle w:val="NormalWeb"/>
        <w:numPr>
          <w:numId w:val="20"/>
        </w:numPr>
        <w:bidi w:val="0"/>
        <w:spacing w:before="120" w:beforeAutospacing="0" w:after="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 upravený v primárnom práve Európskej únie, a to v</w:t>
      </w:r>
      <w:r w:rsidR="00725F4E">
        <w:rPr>
          <w:rFonts w:ascii="Times New Roman" w:hAnsi="Times New Roman"/>
          <w:bCs/>
        </w:rPr>
        <w:t> hlave IV kapitole</w:t>
      </w:r>
      <w:r w:rsidR="00AA63AD">
        <w:rPr>
          <w:rFonts w:ascii="Times New Roman" w:hAnsi="Times New Roman"/>
          <w:bCs/>
        </w:rPr>
        <w:t xml:space="preserve"> 2 (právo usadiť sa) Zmluvy o fungovaní Európskej únie</w:t>
      </w:r>
      <w:r w:rsidR="00725F4E">
        <w:rPr>
          <w:rFonts w:ascii="Times New Roman" w:hAnsi="Times New Roman"/>
          <w:bCs/>
        </w:rPr>
        <w:t>,</w:t>
      </w:r>
    </w:p>
    <w:p w:rsidR="006B5B7B" w:rsidP="006B5B7B">
      <w:pPr>
        <w:pStyle w:val="NormalWeb"/>
        <w:numPr>
          <w:numId w:val="20"/>
        </w:numPr>
        <w:bidi w:val="0"/>
        <w:spacing w:before="120" w:beforeAutospacing="0" w:after="0" w:afterAutospacing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</w:rPr>
        <w:t>je upravený v sekundárnom práve Európskej únie,</w:t>
      </w:r>
      <w:r w:rsidR="009B341D">
        <w:rPr>
          <w:rFonts w:ascii="Times New Roman" w:hAnsi="Times New Roman"/>
          <w:bCs/>
        </w:rPr>
        <w:t xml:space="preserve"> a to v smernici </w:t>
      </w:r>
      <w:r w:rsidR="009B341D">
        <w:rPr>
          <w:rFonts w:ascii="Times New Roman" w:hAnsi="Times New Roman"/>
        </w:rPr>
        <w:t>Európskeho parlamentu a Rady č. 2009/101/ES zo 16. septembra 2009 o koordinácii záruk, ktoré sa od obchodných spoločností v zmysle článku 48 druhého odseku vyžadujú v členských štátoch na ochranu záujmov spoločníkov a tretích osôb s cieľom zabezpečiť rovnocennosť týchto záruk (Ú.</w:t>
      </w:r>
      <w:r w:rsidR="00725F4E">
        <w:rPr>
          <w:rFonts w:ascii="Times New Roman" w:hAnsi="Times New Roman"/>
        </w:rPr>
        <w:t xml:space="preserve"> v. EÚ L 258, 1.10.2009, s.11</w:t>
      </w:r>
      <w:r w:rsidR="009B341D">
        <w:rPr>
          <w:rFonts w:ascii="Times New Roman" w:hAnsi="Times New Roman"/>
        </w:rPr>
        <w:t>)</w:t>
      </w:r>
      <w:bookmarkStart w:id="0" w:name="content"/>
      <w:r w:rsidR="00725F4E">
        <w:rPr>
          <w:rFonts w:ascii="Times New Roman" w:hAnsi="Times New Roman"/>
          <w:bCs/>
        </w:rPr>
        <w:t>,</w:t>
      </w:r>
    </w:p>
    <w:p w:rsidR="006B5B7B" w:rsidP="006B5B7B">
      <w:pPr>
        <w:pStyle w:val="NormalWeb"/>
        <w:numPr>
          <w:numId w:val="20"/>
        </w:numPr>
        <w:bidi w:val="0"/>
        <w:spacing w:before="120" w:beforeAutospacing="0" w:after="0" w:afterAutospacing="0"/>
        <w:jc w:val="both"/>
        <w:rPr>
          <w:rFonts w:ascii="Times New Roman" w:hAnsi="Times New Roman"/>
          <w:bCs/>
        </w:rPr>
      </w:pPr>
      <w:bookmarkEnd w:id="0"/>
      <w:r>
        <w:rPr>
          <w:rFonts w:ascii="Times New Roman" w:hAnsi="Times New Roman"/>
          <w:bCs/>
        </w:rPr>
        <w:t>nie je obsiahnutý v judikatúre Súdneho dvora Európskej únie.</w:t>
      </w:r>
    </w:p>
    <w:p w:rsidR="006B5B7B" w:rsidP="006B5B7B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6B5B7B" w:rsidP="006B5B7B">
      <w:pPr>
        <w:numPr>
          <w:ilvl w:val="3"/>
          <w:numId w:val="13"/>
        </w:numPr>
        <w:tabs>
          <w:tab w:val="left" w:pos="284"/>
        </w:tabs>
        <w:autoSpaceDE w:val="0"/>
        <w:autoSpaceDN w:val="0"/>
        <w:bidi w:val="0"/>
        <w:adjustRightInd w:val="0"/>
        <w:spacing w:before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Záväzky Slovenskej republiky vo vzťahu k Európskej únii:</w:t>
      </w:r>
    </w:p>
    <w:p w:rsidR="006B5B7B" w:rsidP="006B5B7B">
      <w:pPr>
        <w:bidi w:val="0"/>
        <w:spacing w:before="120"/>
        <w:ind w:left="540" w:hanging="2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bezpredmetné,</w:t>
      </w:r>
    </w:p>
    <w:p w:rsidR="006B5B7B" w:rsidP="006B5B7B">
      <w:pPr>
        <w:bidi w:val="0"/>
        <w:spacing w:before="120"/>
        <w:ind w:left="539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v danej oblasti nebol proti Slovenskej republike začatý postup Európskej komisie a ani konanie Súdneho dvora Európskej únie podľa článkov 258 až 260 Zmluvy o fungovaní Európskej únie,</w:t>
      </w:r>
    </w:p>
    <w:p w:rsidR="006B5B7B" w:rsidP="006B5B7B">
      <w:pPr>
        <w:bidi w:val="0"/>
        <w:spacing w:before="120"/>
        <w:ind w:left="539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bezpredmetné.</w:t>
      </w:r>
    </w:p>
    <w:p w:rsidR="006B5B7B" w:rsidP="006B5B7B">
      <w:pPr>
        <w:bidi w:val="0"/>
        <w:spacing w:before="120"/>
        <w:jc w:val="both"/>
        <w:rPr>
          <w:rFonts w:ascii="Times New Roman" w:hAnsi="Times New Roman"/>
          <w:color w:val="000000"/>
        </w:rPr>
      </w:pPr>
    </w:p>
    <w:p w:rsidR="006B5B7B" w:rsidP="006B5B7B">
      <w:pPr>
        <w:numPr>
          <w:numId w:val="14"/>
        </w:numPr>
        <w:tabs>
          <w:tab w:val="left" w:pos="341"/>
        </w:tabs>
        <w:autoSpaceDE w:val="0"/>
        <w:autoSpaceDN w:val="0"/>
        <w:bidi w:val="0"/>
        <w:adjustRightInd w:val="0"/>
        <w:spacing w:before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Návrh zákona je zlučiteľný s právom Európskej únie</w:t>
      </w:r>
    </w:p>
    <w:p w:rsidR="006B5B7B" w:rsidP="006B5B7B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úplne</w:t>
      </w:r>
      <w:r w:rsidR="00725F4E">
        <w:rPr>
          <w:rFonts w:ascii="Times New Roman" w:hAnsi="Times New Roman"/>
          <w:color w:val="000000"/>
        </w:rPr>
        <w:t>.</w:t>
      </w:r>
    </w:p>
    <w:p w:rsidR="008656BF" w:rsidP="00DD39A5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656BF" w:rsidP="008656B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656BF" w:rsidP="006B5B7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25F4E" w:rsidP="008656B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="00DD39A5">
        <w:rPr>
          <w:rFonts w:ascii="Times New Roman" w:hAnsi="Times New Roman"/>
          <w:b/>
          <w:bCs/>
          <w:caps/>
          <w:color w:val="000000"/>
          <w:spacing w:val="30"/>
        </w:rPr>
        <w:br w:type="page"/>
      </w:r>
    </w:p>
    <w:p w:rsidR="008656BF" w:rsidP="008656B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8656BF" w:rsidP="008656B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vybraných vplyvov</w:t>
      </w:r>
    </w:p>
    <w:p w:rsidR="008656BF" w:rsidP="008656BF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</w:p>
    <w:p w:rsidR="008656BF" w:rsidP="008656BF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A.1. Názov materiálu: </w:t>
      </w:r>
      <w:r w:rsidR="002E1F6E">
        <w:rPr>
          <w:rFonts w:ascii="Times New Roman" w:hAnsi="Times New Roman"/>
        </w:rPr>
        <w:t>n</w:t>
      </w:r>
      <w:r w:rsidRPr="00941305" w:rsidR="002E1F6E">
        <w:rPr>
          <w:rFonts w:ascii="Times New Roman" w:hAnsi="Times New Roman"/>
        </w:rPr>
        <w:t xml:space="preserve">ávrh zákona, </w:t>
      </w:r>
      <w:r w:rsidRPr="00941305" w:rsidR="002E1F6E">
        <w:rPr>
          <w:rFonts w:ascii="Times New Roman" w:hAnsi="Times New Roman"/>
          <w:bCs/>
        </w:rPr>
        <w:t xml:space="preserve">ktorým sa </w:t>
      </w:r>
      <w:r w:rsidR="002E1F6E">
        <w:rPr>
          <w:rFonts w:ascii="Times New Roman" w:hAnsi="Times New Roman"/>
          <w:bCs/>
        </w:rPr>
        <w:t xml:space="preserve">mení a </w:t>
      </w:r>
      <w:r w:rsidRPr="00941305" w:rsidR="002E1F6E">
        <w:rPr>
          <w:rFonts w:ascii="Times New Roman" w:hAnsi="Times New Roman"/>
          <w:bCs/>
        </w:rPr>
        <w:t xml:space="preserve">dopĺňa zákon č. </w:t>
      </w:r>
      <w:r w:rsidR="002E1F6E">
        <w:rPr>
          <w:rFonts w:ascii="Times New Roman" w:hAnsi="Times New Roman"/>
          <w:bCs/>
        </w:rPr>
        <w:t xml:space="preserve">513/1991 Zb. Obchodný zákonník v znení neskorších predpisov a ktorým sa </w:t>
      </w:r>
      <w:r w:rsidR="009B341D">
        <w:rPr>
          <w:rFonts w:ascii="Times New Roman" w:hAnsi="Times New Roman"/>
          <w:bCs/>
        </w:rPr>
        <w:t>menia a dopĺňajú niektoré zákony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        Termín začatia a ukončenia PPK: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bezpredmetné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 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2E1F6E">
              <w:rPr>
                <w:rFonts w:ascii="Times New Roman" w:hAnsi="Times New Roman"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 w:rsidRPr="009B341D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B341D">
              <w:rPr>
                <w:rFonts w:ascii="Times New Roman" w:hAnsi="Times New Roman"/>
                <w:color w:val="000000"/>
              </w:rPr>
              <w:t>x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725F4E">
              <w:rPr>
                <w:rFonts w:ascii="Times New Roman" w:hAnsi="Times New Roman"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656B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8656BF" w:rsidP="008656BF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 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A.3. Poznámky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</w:p>
    <w:p w:rsidR="002E1F6E" w:rsidP="002E1F6E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  <w:i/>
        </w:rPr>
      </w:pPr>
      <w:r w:rsidRPr="002E1F6E">
        <w:rPr>
          <w:rFonts w:ascii="Times New Roman" w:hAnsi="Times New Roman"/>
          <w:i/>
        </w:rPr>
        <w:t>Napriek tomu, že na jednej strane</w:t>
      </w:r>
      <w:r w:rsidR="00C57EA6">
        <w:rPr>
          <w:rFonts w:ascii="Times New Roman" w:hAnsi="Times New Roman"/>
          <w:i/>
        </w:rPr>
        <w:t xml:space="preserve"> návrh zákona predpokladá vplyv na podnikateľské prostredie a</w:t>
      </w:r>
      <w:r w:rsidRPr="002E1F6E">
        <w:rPr>
          <w:rFonts w:ascii="Times New Roman" w:hAnsi="Times New Roman"/>
          <w:i/>
        </w:rPr>
        <w:t xml:space="preserve"> dochádza k zvýšeniu </w:t>
      </w:r>
      <w:r w:rsidR="00C57EA6">
        <w:rPr>
          <w:rFonts w:ascii="Times New Roman" w:hAnsi="Times New Roman"/>
          <w:i/>
        </w:rPr>
        <w:t>regulačného zaťaženia</w:t>
      </w:r>
      <w:r w:rsidRPr="002E1F6E">
        <w:rPr>
          <w:rFonts w:ascii="Times New Roman" w:hAnsi="Times New Roman"/>
          <w:i/>
        </w:rPr>
        <w:t>, ktoré súvis</w:t>
      </w:r>
      <w:r w:rsidR="00C57EA6">
        <w:rPr>
          <w:rFonts w:ascii="Times New Roman" w:hAnsi="Times New Roman"/>
          <w:i/>
        </w:rPr>
        <w:t>í</w:t>
      </w:r>
      <w:r w:rsidRPr="002E1F6E">
        <w:rPr>
          <w:rFonts w:ascii="Times New Roman" w:hAnsi="Times New Roman"/>
          <w:i/>
        </w:rPr>
        <w:t xml:space="preserve"> s povinnosťou viazať prostriedky rezervného fondu na účte v banke, na strane druhej banka </w:t>
      </w:r>
      <w:r w:rsidR="009B341D">
        <w:rPr>
          <w:rFonts w:ascii="Times New Roman" w:hAnsi="Times New Roman"/>
          <w:i/>
        </w:rPr>
        <w:t>prostriedky rezervného fondu uložené na viazanom účte z</w:t>
      </w:r>
      <w:r w:rsidRPr="002E1F6E">
        <w:rPr>
          <w:rFonts w:ascii="Times New Roman" w:hAnsi="Times New Roman"/>
          <w:i/>
        </w:rPr>
        <w:t>úroč</w:t>
      </w:r>
      <w:r w:rsidR="009B341D">
        <w:rPr>
          <w:rFonts w:ascii="Times New Roman" w:hAnsi="Times New Roman"/>
          <w:i/>
        </w:rPr>
        <w:t>í</w:t>
      </w:r>
      <w:r w:rsidRPr="002E1F6E">
        <w:rPr>
          <w:rFonts w:ascii="Times New Roman" w:hAnsi="Times New Roman"/>
          <w:i/>
        </w:rPr>
        <w:t xml:space="preserve">, čím sa tieto prostriedky spoločnosti nestávajú umorené a zvyšujú </w:t>
      </w:r>
      <w:r w:rsidR="00C57EA6">
        <w:rPr>
          <w:rFonts w:ascii="Times New Roman" w:hAnsi="Times New Roman"/>
          <w:i/>
        </w:rPr>
        <w:t xml:space="preserve">svoju hodnotu, čo v konečnom dôsledku </w:t>
      </w:r>
      <w:r w:rsidR="009B341D">
        <w:rPr>
          <w:rFonts w:ascii="Times New Roman" w:hAnsi="Times New Roman"/>
          <w:i/>
        </w:rPr>
        <w:t>je pre podnikateľov výhodné.</w:t>
      </w:r>
    </w:p>
    <w:p w:rsidR="00725F4E" w:rsidRPr="00AC14FC" w:rsidP="002E1F6E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  <w:i/>
        </w:rPr>
      </w:pPr>
      <w:r w:rsidRPr="00AC14FC">
        <w:rPr>
          <w:rFonts w:ascii="Times New Roman" w:hAnsi="Times New Roman"/>
          <w:i/>
        </w:rPr>
        <w:t>Návrh zákona má pozitívny vplyv na informatizáciu spoločnosti s ohľadom na zavedenie povinnosti zverejňovať informácie o výške rezervného fondu v obchodnom registri, kt</w:t>
      </w:r>
      <w:r w:rsidRPr="00AC14FC" w:rsidR="00BC7F49">
        <w:rPr>
          <w:rFonts w:ascii="Times New Roman" w:hAnsi="Times New Roman"/>
          <w:i/>
        </w:rPr>
        <w:t>orý je dostupný aj na internete a tak je predpoklad, že túto možnosť použitia informačného systému využije viac občanov ako je tomu doteraz</w:t>
      </w:r>
      <w:r w:rsidRPr="00AC14FC">
        <w:rPr>
          <w:rFonts w:ascii="Times New Roman" w:hAnsi="Times New Roman"/>
          <w:i/>
        </w:rPr>
        <w:t>.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</w:rPr>
        <w:t xml:space="preserve">      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A.4. Alternatívne riešenia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</w:rPr>
        <w:t>bezpredmetné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 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A.5. Stanovisko gestorov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8656BF" w:rsidP="008656B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p w:rsidR="00DB333B" w:rsidRPr="00FA3BBA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</w:rPr>
      </w:pPr>
    </w:p>
    <w:p w:rsidR="00BC7F49" w:rsidP="00DD39A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DD39A5">
        <w:rPr>
          <w:rFonts w:ascii="Times New Roman" w:hAnsi="Times New Roman"/>
        </w:rPr>
        <w:br w:type="page"/>
      </w:r>
    </w:p>
    <w:p w:rsidR="00DB333B" w:rsidRPr="00DB333B" w:rsidP="00DD39A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B. Osobitná časť</w:t>
      </w:r>
    </w:p>
    <w:p w:rsidR="00F877E6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</w:rPr>
      </w:pPr>
      <w:r w:rsidRPr="00DB333B" w:rsidR="00DB333B">
        <w:rPr>
          <w:rFonts w:ascii="Times New Roman" w:hAnsi="Times New Roman"/>
        </w:rPr>
        <w:t> </w:t>
      </w:r>
    </w:p>
    <w:p w:rsidR="00DB333B" w:rsidRPr="00DB333B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K Čl. I</w:t>
      </w:r>
    </w:p>
    <w:p w:rsidR="00F877E6" w:rsidRPr="00432229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</w:rPr>
      </w:pPr>
      <w:r w:rsidRPr="00DB333B" w:rsidR="00DB333B">
        <w:rPr>
          <w:rFonts w:ascii="Times New Roman" w:hAnsi="Times New Roman"/>
          <w:b/>
          <w:bCs/>
        </w:rPr>
        <w:t> </w:t>
      </w:r>
    </w:p>
    <w:p w:rsidR="00CC67F7" w:rsidRPr="00BC7F49" w:rsidP="00BC7F49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u w:val="single"/>
        </w:rPr>
      </w:pPr>
      <w:r w:rsidR="00432229">
        <w:rPr>
          <w:rFonts w:ascii="Times New Roman" w:hAnsi="Times New Roman"/>
          <w:u w:val="single"/>
        </w:rPr>
        <w:t>K b</w:t>
      </w:r>
      <w:r w:rsidRPr="00BC0DBF" w:rsidR="00432229">
        <w:rPr>
          <w:rFonts w:ascii="Times New Roman" w:hAnsi="Times New Roman"/>
          <w:u w:val="single"/>
        </w:rPr>
        <w:t>od</w:t>
      </w:r>
      <w:r w:rsidR="00432229">
        <w:rPr>
          <w:rFonts w:ascii="Times New Roman" w:hAnsi="Times New Roman"/>
          <w:u w:val="single"/>
        </w:rPr>
        <w:t>u 1</w:t>
      </w:r>
    </w:p>
    <w:p w:rsidR="001F5E5D" w:rsidP="001F5E5D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</w:rPr>
      </w:pPr>
      <w:r w:rsidR="00F50DA9">
        <w:rPr>
          <w:rFonts w:ascii="Times New Roman" w:hAnsi="Times New Roman"/>
        </w:rPr>
        <w:t xml:space="preserve">Podľa súčasnej právnej úpravy </w:t>
      </w:r>
      <w:r>
        <w:rPr>
          <w:rFonts w:ascii="Times New Roman" w:hAnsi="Times New Roman"/>
        </w:rPr>
        <w:t>v zmysle § 67 zákona č. 513/1991 Obchodný zákonník v znení neskorších predpisov (</w:t>
      </w:r>
      <w:r w:rsidR="0015090B">
        <w:rPr>
          <w:rFonts w:ascii="Times New Roman" w:hAnsi="Times New Roman"/>
        </w:rPr>
        <w:t xml:space="preserve">ďalej len „Obchodný zákonník“) </w:t>
      </w:r>
      <w:r>
        <w:rPr>
          <w:rFonts w:ascii="Times New Roman" w:hAnsi="Times New Roman"/>
        </w:rPr>
        <w:t xml:space="preserve">vytvára </w:t>
      </w:r>
      <w:r w:rsidR="00F50DA9">
        <w:rPr>
          <w:rFonts w:ascii="Times New Roman" w:hAnsi="Times New Roman"/>
        </w:rPr>
        <w:t xml:space="preserve">rezervný fond </w:t>
      </w:r>
      <w:r w:rsidR="0015090B">
        <w:rPr>
          <w:rFonts w:ascii="Times New Roman" w:hAnsi="Times New Roman"/>
        </w:rPr>
        <w:t xml:space="preserve">zo zákona </w:t>
      </w:r>
      <w:r w:rsidR="00F50DA9">
        <w:rPr>
          <w:rFonts w:ascii="Times New Roman" w:hAnsi="Times New Roman"/>
        </w:rPr>
        <w:t xml:space="preserve">povinne </w:t>
      </w:r>
      <w:r w:rsidRPr="00F50DA9" w:rsidR="00F50DA9">
        <w:rPr>
          <w:rFonts w:ascii="Times New Roman" w:hAnsi="Times New Roman"/>
        </w:rPr>
        <w:t>spoločnosť s ručením obmedzeným a akciová spoločnosť</w:t>
      </w:r>
      <w:r w:rsidR="0015090B">
        <w:rPr>
          <w:rFonts w:ascii="Times New Roman" w:hAnsi="Times New Roman"/>
        </w:rPr>
        <w:t>, a to</w:t>
      </w:r>
      <w:r w:rsidRPr="00F50DA9" w:rsidR="00F50DA9">
        <w:rPr>
          <w:rFonts w:ascii="Times New Roman" w:hAnsi="Times New Roman"/>
        </w:rPr>
        <w:t xml:space="preserve"> zo zisku bežného účtovného obdobia vykázaného v schválenej riadnej individuálnej účtovnej závierke</w:t>
      </w:r>
      <w:r w:rsidR="00F50DA9">
        <w:rPr>
          <w:rFonts w:ascii="Times New Roman" w:hAnsi="Times New Roman"/>
        </w:rPr>
        <w:t xml:space="preserve"> (tzv. čistý zisk). Možnosť použitia rezervného fondu je však značne obmedzená, keďže jeho prostriedky sa môžu použiť iba na krytie strát spoločnosti, ak os</w:t>
      </w:r>
      <w:r>
        <w:rPr>
          <w:rFonts w:ascii="Times New Roman" w:hAnsi="Times New Roman"/>
        </w:rPr>
        <w:t xml:space="preserve">obitný zákon neustanovuje inak. </w:t>
      </w:r>
    </w:p>
    <w:p w:rsidR="007C4670" w:rsidP="007C4670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</w:rPr>
      </w:pPr>
      <w:r w:rsidR="00F50DA9">
        <w:rPr>
          <w:rFonts w:ascii="Times New Roman" w:hAnsi="Times New Roman"/>
        </w:rPr>
        <w:t xml:space="preserve">Navrhuje sa, aby mohol byť rezervný fond použitý okrem krytia strát spoločnosti aj na </w:t>
      </w:r>
      <w:r w:rsidRPr="00F50DA9" w:rsidR="00F50DA9">
        <w:rPr>
          <w:rFonts w:ascii="Times New Roman" w:hAnsi="Times New Roman"/>
        </w:rPr>
        <w:t>opatrenia, ktoré majú prekonať nepriaznivý priebeh hospodárenia spoločnosti.</w:t>
      </w:r>
      <w:r w:rsidR="008B4392">
        <w:rPr>
          <w:rFonts w:ascii="Times New Roman" w:hAnsi="Times New Roman"/>
        </w:rPr>
        <w:t xml:space="preserve"> Navrhovaný spôsob použitia rezervného fondu </w:t>
      </w:r>
      <w:r w:rsidR="00F50DA9">
        <w:rPr>
          <w:rFonts w:ascii="Times New Roman" w:hAnsi="Times New Roman"/>
        </w:rPr>
        <w:t xml:space="preserve">obsahoval Obchodný zákonník vo svojom pôvodnom znení, ktorý bol </w:t>
      </w:r>
      <w:r w:rsidR="008B4392">
        <w:rPr>
          <w:rFonts w:ascii="Times New Roman" w:hAnsi="Times New Roman"/>
        </w:rPr>
        <w:t>novelou zákona</w:t>
      </w:r>
      <w:r w:rsidR="00F50DA9">
        <w:rPr>
          <w:rFonts w:ascii="Times New Roman" w:hAnsi="Times New Roman"/>
        </w:rPr>
        <w:t xml:space="preserve"> č. 500/2001 Z. z., </w:t>
      </w:r>
      <w:r w:rsidRPr="00F50DA9" w:rsidR="00F50DA9">
        <w:rPr>
          <w:rFonts w:ascii="Times New Roman" w:hAnsi="Times New Roman"/>
        </w:rPr>
        <w:t>ktorým sa mení a dopĺňa Obchodný zákonník v znení neskorších predpisov</w:t>
      </w:r>
      <w:r w:rsidR="008B4392">
        <w:rPr>
          <w:rFonts w:ascii="Times New Roman" w:hAnsi="Times New Roman"/>
        </w:rPr>
        <w:t xml:space="preserve"> </w:t>
      </w:r>
      <w:r w:rsidR="001F5E5D">
        <w:rPr>
          <w:rFonts w:ascii="Times New Roman" w:hAnsi="Times New Roman"/>
        </w:rPr>
        <w:t>zrušený</w:t>
      </w:r>
      <w:r w:rsidR="00B179E5">
        <w:rPr>
          <w:rFonts w:ascii="Times New Roman" w:hAnsi="Times New Roman"/>
        </w:rPr>
        <w:t>. Dôvodová správa k</w:t>
      </w:r>
      <w:r w:rsidR="00B55D17">
        <w:rPr>
          <w:rFonts w:ascii="Times New Roman" w:hAnsi="Times New Roman"/>
        </w:rPr>
        <w:t xml:space="preserve"> tejto </w:t>
      </w:r>
      <w:r w:rsidR="00B179E5">
        <w:rPr>
          <w:rFonts w:ascii="Times New Roman" w:hAnsi="Times New Roman"/>
        </w:rPr>
        <w:t>novele Obchodného zákonníka pritom nijak nezdôvodňuje, prečo sa mení a</w:t>
      </w:r>
      <w:r w:rsidR="0015090B">
        <w:rPr>
          <w:rFonts w:ascii="Times New Roman" w:hAnsi="Times New Roman"/>
        </w:rPr>
        <w:t xml:space="preserve"> v dôsledku toho </w:t>
      </w:r>
      <w:r w:rsidR="00B179E5">
        <w:rPr>
          <w:rFonts w:ascii="Times New Roman" w:hAnsi="Times New Roman"/>
        </w:rPr>
        <w:t>zužuje možnosť použitia rezervného fondu len na krytie strát spoločnosti</w:t>
      </w:r>
      <w:r w:rsidR="00BC7F49">
        <w:rPr>
          <w:rFonts w:ascii="Times New Roman" w:hAnsi="Times New Roman"/>
        </w:rPr>
        <w:t xml:space="preserve"> a </w:t>
      </w:r>
      <w:r w:rsidR="0015090B">
        <w:rPr>
          <w:rFonts w:ascii="Times New Roman" w:hAnsi="Times New Roman"/>
        </w:rPr>
        <w:t>nie</w:t>
      </w:r>
      <w:r w:rsidR="00B55D17">
        <w:rPr>
          <w:rFonts w:ascii="Times New Roman" w:hAnsi="Times New Roman"/>
        </w:rPr>
        <w:t xml:space="preserve"> aj</w:t>
      </w:r>
      <w:r w:rsidR="0015090B">
        <w:rPr>
          <w:rFonts w:ascii="Times New Roman" w:hAnsi="Times New Roman"/>
        </w:rPr>
        <w:t xml:space="preserve"> na opatrenia, ktoré </w:t>
      </w:r>
      <w:r w:rsidRPr="00F50DA9" w:rsidR="0015090B">
        <w:rPr>
          <w:rFonts w:ascii="Times New Roman" w:hAnsi="Times New Roman"/>
        </w:rPr>
        <w:t>majú prekonať nepriaznivý priebeh hospodárenia spoločnosti</w:t>
      </w:r>
      <w:r w:rsidR="00B179E5">
        <w:rPr>
          <w:rFonts w:ascii="Times New Roman" w:hAnsi="Times New Roman"/>
        </w:rPr>
        <w:t xml:space="preserve">. Je dôležité uviesť, že v praxi sa za </w:t>
      </w:r>
      <w:r w:rsidR="0015090B">
        <w:rPr>
          <w:rFonts w:ascii="Times New Roman" w:hAnsi="Times New Roman"/>
        </w:rPr>
        <w:t>terajšej</w:t>
      </w:r>
      <w:r w:rsidR="00B55D17">
        <w:rPr>
          <w:rFonts w:ascii="Times New Roman" w:hAnsi="Times New Roman"/>
        </w:rPr>
        <w:t xml:space="preserve"> právnej úpravy stáva vy</w:t>
      </w:r>
      <w:r w:rsidR="00B179E5">
        <w:rPr>
          <w:rFonts w:ascii="Times New Roman" w:hAnsi="Times New Roman"/>
        </w:rPr>
        <w:t>užitie rezervného fondu neúčinné, keďže v prípade, ak aj spoločnosť vykazuje čistý zisk a teda je povinná</w:t>
      </w:r>
      <w:r w:rsidR="00B55D17">
        <w:rPr>
          <w:rFonts w:ascii="Times New Roman" w:hAnsi="Times New Roman"/>
        </w:rPr>
        <w:t xml:space="preserve"> rezervný fond vytvoriť, </w:t>
      </w:r>
      <w:r w:rsidR="00B179E5">
        <w:rPr>
          <w:rFonts w:ascii="Times New Roman" w:hAnsi="Times New Roman"/>
        </w:rPr>
        <w:t xml:space="preserve">nemôže </w:t>
      </w:r>
      <w:r w:rsidR="00B55D17">
        <w:rPr>
          <w:rFonts w:ascii="Times New Roman" w:hAnsi="Times New Roman"/>
        </w:rPr>
        <w:t xml:space="preserve">sa </w:t>
      </w:r>
      <w:r w:rsidR="00B179E5">
        <w:rPr>
          <w:rFonts w:ascii="Times New Roman" w:hAnsi="Times New Roman"/>
        </w:rPr>
        <w:t>použiť napr</w:t>
      </w:r>
      <w:r w:rsidR="00BC7F49">
        <w:rPr>
          <w:rFonts w:ascii="Times New Roman" w:hAnsi="Times New Roman"/>
        </w:rPr>
        <w:t>. na úhradu pohľadávok</w:t>
      </w:r>
      <w:r w:rsidR="00B179E5">
        <w:rPr>
          <w:rFonts w:ascii="Times New Roman" w:hAnsi="Times New Roman"/>
        </w:rPr>
        <w:t>, ktoré voči spoločnosti evidujú jej obchodní partneri.</w:t>
      </w:r>
      <w:r w:rsidR="002061CC">
        <w:rPr>
          <w:rFonts w:ascii="Times New Roman" w:hAnsi="Times New Roman"/>
        </w:rPr>
        <w:t xml:space="preserve"> Tento problém sa stáva závažným najmä v prípade spoločn</w:t>
      </w:r>
      <w:r w:rsidR="0015090B">
        <w:rPr>
          <w:rFonts w:ascii="Times New Roman" w:hAnsi="Times New Roman"/>
        </w:rPr>
        <w:t>osti s ručením obmedzeným, ktorá tak môže nakúpiť tovary a</w:t>
      </w:r>
      <w:r>
        <w:rPr>
          <w:rFonts w:ascii="Times New Roman" w:hAnsi="Times New Roman"/>
        </w:rPr>
        <w:t> služby, pričom veritelia nemôžu byť v prípade ne</w:t>
      </w:r>
      <w:r w:rsidR="00B55D17">
        <w:rPr>
          <w:rFonts w:ascii="Times New Roman" w:hAnsi="Times New Roman"/>
        </w:rPr>
        <w:t>splácania spoločnosti uspokojení</w:t>
      </w:r>
      <w:r>
        <w:rPr>
          <w:rFonts w:ascii="Times New Roman" w:hAnsi="Times New Roman"/>
        </w:rPr>
        <w:t xml:space="preserve"> prostriedkami z rezervného fondu.</w:t>
      </w:r>
      <w:r w:rsidR="0015090B">
        <w:rPr>
          <w:rFonts w:ascii="Times New Roman" w:hAnsi="Times New Roman"/>
        </w:rPr>
        <w:t xml:space="preserve"> </w:t>
      </w:r>
    </w:p>
    <w:p w:rsidR="00432229" w:rsidP="007C4670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</w:rPr>
      </w:pPr>
      <w:r w:rsidR="007C4670">
        <w:rPr>
          <w:rFonts w:ascii="Times New Roman" w:hAnsi="Times New Roman"/>
        </w:rPr>
        <w:t>Navrhovaná právna úprava rieši túto nežiaducu situáciu</w:t>
      </w:r>
      <w:r w:rsidR="00B55D17">
        <w:rPr>
          <w:rFonts w:ascii="Times New Roman" w:hAnsi="Times New Roman"/>
        </w:rPr>
        <w:t xml:space="preserve"> tak</w:t>
      </w:r>
      <w:r w:rsidR="007C4670">
        <w:rPr>
          <w:rFonts w:ascii="Times New Roman" w:hAnsi="Times New Roman"/>
        </w:rPr>
        <w:t xml:space="preserve">, že sa ustanovuje, </w:t>
      </w:r>
      <w:r w:rsidR="00B55D17">
        <w:rPr>
          <w:rFonts w:ascii="Times New Roman" w:hAnsi="Times New Roman"/>
        </w:rPr>
        <w:t>aby</w:t>
      </w:r>
      <w:r w:rsidR="007C4670">
        <w:rPr>
          <w:rFonts w:ascii="Times New Roman" w:hAnsi="Times New Roman"/>
        </w:rPr>
        <w:t xml:space="preserve"> </w:t>
      </w:r>
      <w:r w:rsidR="00B55D17">
        <w:rPr>
          <w:rFonts w:ascii="Times New Roman" w:hAnsi="Times New Roman"/>
        </w:rPr>
        <w:t xml:space="preserve">sa </w:t>
      </w:r>
      <w:r w:rsidR="007C4670">
        <w:rPr>
          <w:rFonts w:ascii="Times New Roman" w:hAnsi="Times New Roman"/>
        </w:rPr>
        <w:t xml:space="preserve">prostriedky z rezervného fondu </w:t>
      </w:r>
      <w:r w:rsidR="00B55D17">
        <w:rPr>
          <w:rFonts w:ascii="Times New Roman" w:hAnsi="Times New Roman"/>
        </w:rPr>
        <w:t>mohli použiť</w:t>
      </w:r>
      <w:r w:rsidR="007C4670">
        <w:rPr>
          <w:rFonts w:ascii="Times New Roman" w:hAnsi="Times New Roman"/>
        </w:rPr>
        <w:t xml:space="preserve"> okrem úhrady straty spoločnosti aj na opatrenia, </w:t>
      </w:r>
      <w:r w:rsidRPr="00F50DA9" w:rsidR="007C4670">
        <w:rPr>
          <w:rFonts w:ascii="Times New Roman" w:hAnsi="Times New Roman"/>
        </w:rPr>
        <w:t>ktoré majú prekonať nepriaznivý priebeh hospodárenia spoločnosti</w:t>
      </w:r>
      <w:r w:rsidR="007C4670">
        <w:rPr>
          <w:rFonts w:ascii="Times New Roman" w:hAnsi="Times New Roman"/>
        </w:rPr>
        <w:t xml:space="preserve">, pričom pod toto slovné spojenie je možné subsumovať </w:t>
      </w:r>
      <w:r w:rsidR="00B55D17">
        <w:rPr>
          <w:rFonts w:ascii="Times New Roman" w:hAnsi="Times New Roman"/>
        </w:rPr>
        <w:t xml:space="preserve">aj </w:t>
      </w:r>
      <w:r w:rsidR="007C4670">
        <w:rPr>
          <w:rFonts w:ascii="Times New Roman" w:hAnsi="Times New Roman"/>
        </w:rPr>
        <w:t>pojem úhrady záväzkov</w:t>
      </w:r>
      <w:r w:rsidR="00BC7F49">
        <w:rPr>
          <w:rFonts w:ascii="Times New Roman" w:hAnsi="Times New Roman"/>
        </w:rPr>
        <w:t xml:space="preserve"> </w:t>
      </w:r>
      <w:r w:rsidR="00CC67F7">
        <w:rPr>
          <w:rFonts w:ascii="Times New Roman" w:hAnsi="Times New Roman"/>
        </w:rPr>
        <w:t xml:space="preserve">spoločnosti, napr. </w:t>
      </w:r>
      <w:r w:rsidR="00BC7F49">
        <w:rPr>
          <w:rFonts w:ascii="Times New Roman" w:hAnsi="Times New Roman"/>
        </w:rPr>
        <w:t>pohľadávok v podobe neza</w:t>
      </w:r>
      <w:r w:rsidR="00CC67F7">
        <w:rPr>
          <w:rFonts w:ascii="Times New Roman" w:hAnsi="Times New Roman"/>
        </w:rPr>
        <w:t>platených faktúr voči veriteľom.</w:t>
      </w:r>
    </w:p>
    <w:p w:rsidR="00F02115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u w:val="single"/>
        </w:rPr>
      </w:pPr>
    </w:p>
    <w:p w:rsidR="00DC5CC5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u w:val="single"/>
        </w:rPr>
      </w:pPr>
      <w:r w:rsidRPr="00F02115" w:rsidR="00F02115">
        <w:rPr>
          <w:rFonts w:ascii="Times New Roman" w:hAnsi="Times New Roman"/>
          <w:u w:val="single"/>
        </w:rPr>
        <w:t xml:space="preserve">K bodu 2 </w:t>
      </w:r>
    </w:p>
    <w:p w:rsidR="00B55D17" w:rsidRPr="00B55D17" w:rsidP="00BC7F49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 účelom po</w:t>
      </w:r>
      <w:r w:rsidR="00DC5CC5">
        <w:rPr>
          <w:rFonts w:ascii="Times New Roman" w:hAnsi="Times New Roman"/>
        </w:rPr>
        <w:t>silniť postavenie veriteľov vo vzťahu k dlžníkom -</w:t>
      </w:r>
      <w:r>
        <w:rPr>
          <w:rFonts w:ascii="Times New Roman" w:hAnsi="Times New Roman"/>
        </w:rPr>
        <w:t xml:space="preserve"> spoločnostiam, ktoré si včas a riadne neplnia svoje záväzky</w:t>
      </w:r>
      <w:r w:rsidR="00DC5C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sa navrhuje, aby sa rezervný fond netvoril z tzv. čistého zisku spoločnosti</w:t>
      </w:r>
      <w:r w:rsidR="00DC5C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ale z tzv. hrubého zisku spoločnosti. Návrh zákona reaguje na poznatky praxe, keď dochádza k účelovému nakupovaniu tovarov a služieb s cieľom vyh</w:t>
      </w:r>
      <w:r w:rsidR="00DC5CC5">
        <w:rPr>
          <w:rFonts w:ascii="Times New Roman" w:hAnsi="Times New Roman"/>
        </w:rPr>
        <w:t>núť sa tvorbe rezervného fondu. Návrh zákona nemá za cieľ sprísňovať podmienky podnikania v Slovenskej republike a preto ustanovuje, že rezervný fond, ktorý sa tvorí z hrubého zisku spoločnosti, je uznaný ak</w:t>
      </w:r>
      <w:r w:rsidR="00BC7F49">
        <w:rPr>
          <w:rFonts w:ascii="Times New Roman" w:hAnsi="Times New Roman"/>
        </w:rPr>
        <w:t>o daňový výdavok (</w:t>
      </w:r>
      <w:r w:rsidR="00DC5CC5">
        <w:rPr>
          <w:rFonts w:ascii="Times New Roman" w:hAnsi="Times New Roman"/>
        </w:rPr>
        <w:t>Čl. III</w:t>
      </w:r>
      <w:r w:rsidR="00BC7F49">
        <w:rPr>
          <w:rFonts w:ascii="Times New Roman" w:hAnsi="Times New Roman"/>
        </w:rPr>
        <w:t xml:space="preserve"> návrhu zákona</w:t>
      </w:r>
      <w:r w:rsidR="00DC5CC5">
        <w:rPr>
          <w:rFonts w:ascii="Times New Roman" w:hAnsi="Times New Roman"/>
        </w:rPr>
        <w:t>).</w:t>
      </w:r>
    </w:p>
    <w:p w:rsidR="00DC5CC5" w:rsidP="004C3ADC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u w:val="single"/>
        </w:rPr>
      </w:pPr>
    </w:p>
    <w:p w:rsidR="005E7C03" w:rsidP="004C3ADC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u w:val="single"/>
        </w:rPr>
      </w:pPr>
      <w:r w:rsidR="00432229">
        <w:rPr>
          <w:rFonts w:ascii="Times New Roman" w:hAnsi="Times New Roman"/>
          <w:u w:val="single"/>
        </w:rPr>
        <w:t>K b</w:t>
      </w:r>
      <w:r w:rsidRPr="00BC0DBF" w:rsidR="00432229">
        <w:rPr>
          <w:rFonts w:ascii="Times New Roman" w:hAnsi="Times New Roman"/>
          <w:u w:val="single"/>
        </w:rPr>
        <w:t>od</w:t>
      </w:r>
      <w:r w:rsidR="00F02115">
        <w:rPr>
          <w:rFonts w:ascii="Times New Roman" w:hAnsi="Times New Roman"/>
          <w:u w:val="single"/>
        </w:rPr>
        <w:t>u 3</w:t>
      </w:r>
    </w:p>
    <w:p w:rsidR="00654913" w:rsidP="00654913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</w:rPr>
      </w:pPr>
      <w:r w:rsidR="005E7C03">
        <w:rPr>
          <w:rFonts w:ascii="Times New Roman" w:hAnsi="Times New Roman"/>
        </w:rPr>
        <w:t xml:space="preserve">Za účelom ochrany veriteľov sa zavádza povinnosť ukladať prostriedky rezervného fondu na viazanom účte v banke. Navrhovaná právna úprava vychádza z pôvodného znenia </w:t>
      </w:r>
      <w:r w:rsidR="00BC7F49">
        <w:rPr>
          <w:rFonts w:ascii="Times New Roman" w:hAnsi="Times New Roman"/>
        </w:rPr>
        <w:t xml:space="preserve">  </w:t>
      </w:r>
      <w:r w:rsidR="005E7C03">
        <w:rPr>
          <w:rFonts w:ascii="Times New Roman" w:hAnsi="Times New Roman"/>
        </w:rPr>
        <w:t>§ 67 ods.</w:t>
      </w:r>
      <w:r w:rsidR="00156961">
        <w:rPr>
          <w:rFonts w:ascii="Times New Roman" w:hAnsi="Times New Roman"/>
        </w:rPr>
        <w:t xml:space="preserve"> 2 </w:t>
      </w:r>
      <w:r w:rsidR="005E7C03">
        <w:rPr>
          <w:rFonts w:ascii="Times New Roman" w:hAnsi="Times New Roman"/>
        </w:rPr>
        <w:t>Obchodného zákonníka, ktorý bol zákon</w:t>
      </w:r>
      <w:r w:rsidR="008336C5">
        <w:rPr>
          <w:rFonts w:ascii="Times New Roman" w:hAnsi="Times New Roman"/>
        </w:rPr>
        <w:t>om</w:t>
      </w:r>
      <w:r w:rsidR="005E7C03">
        <w:rPr>
          <w:rFonts w:ascii="Times New Roman" w:hAnsi="Times New Roman"/>
        </w:rPr>
        <w:t xml:space="preserve"> č. 500/2001 Z. z., </w:t>
      </w:r>
      <w:r w:rsidRPr="00F50DA9" w:rsidR="005E7C03">
        <w:rPr>
          <w:rFonts w:ascii="Times New Roman" w:hAnsi="Times New Roman"/>
        </w:rPr>
        <w:t>ktorým sa mení a dopĺňa Obchodný zákonník v znení neskorších predpisov</w:t>
      </w:r>
      <w:r w:rsidR="001569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zmenený</w:t>
      </w:r>
      <w:r w:rsidR="00156961">
        <w:rPr>
          <w:rFonts w:ascii="Times New Roman" w:hAnsi="Times New Roman"/>
        </w:rPr>
        <w:t xml:space="preserve">, rovnako ako </w:t>
      </w:r>
      <w:r w:rsidR="00DC5CC5">
        <w:rPr>
          <w:rFonts w:ascii="Times New Roman" w:hAnsi="Times New Roman"/>
        </w:rPr>
        <w:t xml:space="preserve">bola zmenená </w:t>
      </w:r>
      <w:r w:rsidR="00156961">
        <w:rPr>
          <w:rFonts w:ascii="Times New Roman" w:hAnsi="Times New Roman"/>
        </w:rPr>
        <w:t>aj možnosť použiť prostriedky rezervného fondu na opatrenia, ktoré majú prekonať nepriaznivý priebeh hospodárenia spoločnosti, bližšie popísan</w:t>
      </w:r>
      <w:r w:rsidR="00DC5CC5">
        <w:rPr>
          <w:rFonts w:ascii="Times New Roman" w:hAnsi="Times New Roman"/>
        </w:rPr>
        <w:t>é</w:t>
      </w:r>
      <w:r w:rsidR="00156961">
        <w:rPr>
          <w:rFonts w:ascii="Times New Roman" w:hAnsi="Times New Roman"/>
        </w:rPr>
        <w:t xml:space="preserve"> v bode 1.</w:t>
      </w:r>
      <w:r>
        <w:rPr>
          <w:rFonts w:ascii="Times New Roman" w:hAnsi="Times New Roman"/>
        </w:rPr>
        <w:t xml:space="preserve"> </w:t>
      </w:r>
    </w:p>
    <w:p w:rsidR="00EA69C1" w:rsidP="00654913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</w:rPr>
      </w:pPr>
      <w:r w:rsidR="00156961">
        <w:rPr>
          <w:rFonts w:ascii="Times New Roman" w:hAnsi="Times New Roman"/>
        </w:rPr>
        <w:t>Viazaním prostriedkov rezervného fondu na účte v banke sa dosiahne vyššia miera</w:t>
      </w:r>
      <w:r w:rsidR="00654913">
        <w:rPr>
          <w:rFonts w:ascii="Times New Roman" w:hAnsi="Times New Roman"/>
        </w:rPr>
        <w:t xml:space="preserve"> uspokojenia</w:t>
      </w:r>
      <w:r w:rsidR="00156961">
        <w:rPr>
          <w:rFonts w:ascii="Times New Roman" w:hAnsi="Times New Roman"/>
        </w:rPr>
        <w:t>, resp. istot</w:t>
      </w:r>
      <w:r w:rsidR="00654913">
        <w:rPr>
          <w:rFonts w:ascii="Times New Roman" w:hAnsi="Times New Roman"/>
        </w:rPr>
        <w:t>y</w:t>
      </w:r>
      <w:r w:rsidR="00156961">
        <w:rPr>
          <w:rFonts w:ascii="Times New Roman" w:hAnsi="Times New Roman"/>
        </w:rPr>
        <w:t xml:space="preserve"> veriteľov, že </w:t>
      </w:r>
      <w:r>
        <w:rPr>
          <w:rFonts w:ascii="Times New Roman" w:hAnsi="Times New Roman"/>
        </w:rPr>
        <w:t>a</w:t>
      </w:r>
      <w:r w:rsidR="00156961">
        <w:rPr>
          <w:rFonts w:ascii="Times New Roman" w:hAnsi="Times New Roman"/>
        </w:rPr>
        <w:t xml:space="preserve">k spoločnosť podniká, dosahuje zisk a vytvára rezervný fond, prostriedky rezervného fondu skutočne </w:t>
      </w:r>
      <w:r>
        <w:rPr>
          <w:rFonts w:ascii="Times New Roman" w:hAnsi="Times New Roman"/>
        </w:rPr>
        <w:t xml:space="preserve">reálne </w:t>
      </w:r>
      <w:r w:rsidR="00156961">
        <w:rPr>
          <w:rFonts w:ascii="Times New Roman" w:hAnsi="Times New Roman"/>
        </w:rPr>
        <w:t>existujú</w:t>
      </w:r>
      <w:r>
        <w:rPr>
          <w:rFonts w:ascii="Times New Roman" w:hAnsi="Times New Roman"/>
        </w:rPr>
        <w:t xml:space="preserve"> </w:t>
      </w:r>
      <w:r w:rsidR="00156961">
        <w:rPr>
          <w:rFonts w:ascii="Times New Roman" w:hAnsi="Times New Roman"/>
        </w:rPr>
        <w:t>a je ich možné použiť na účel, ktorému slúžia</w:t>
      </w:r>
      <w:r w:rsidR="004B40D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na </w:t>
      </w:r>
      <w:r w:rsidR="004B40D1">
        <w:rPr>
          <w:rFonts w:ascii="Times New Roman" w:hAnsi="Times New Roman"/>
        </w:rPr>
        <w:t>krytie strát spoločnosti</w:t>
      </w:r>
      <w:r w:rsidR="00654913">
        <w:rPr>
          <w:rFonts w:ascii="Times New Roman" w:hAnsi="Times New Roman"/>
        </w:rPr>
        <w:t xml:space="preserve"> </w:t>
      </w:r>
      <w:r w:rsidR="004B40D1">
        <w:rPr>
          <w:rFonts w:ascii="Times New Roman" w:hAnsi="Times New Roman"/>
        </w:rPr>
        <w:t xml:space="preserve">a na opatrenia, ktoré </w:t>
      </w:r>
      <w:r w:rsidRPr="00F50DA9" w:rsidR="004B40D1">
        <w:rPr>
          <w:rFonts w:ascii="Times New Roman" w:hAnsi="Times New Roman"/>
        </w:rPr>
        <w:t>majú prekonať nepriaznivý p</w:t>
      </w:r>
      <w:r w:rsidR="00654913">
        <w:rPr>
          <w:rFonts w:ascii="Times New Roman" w:hAnsi="Times New Roman"/>
        </w:rPr>
        <w:t>riebeh hospodárenia spoločnosti.</w:t>
      </w:r>
      <w:r w:rsidR="004B40D1">
        <w:rPr>
          <w:rFonts w:ascii="Times New Roman" w:hAnsi="Times New Roman"/>
        </w:rPr>
        <w:t xml:space="preserve"> </w:t>
      </w:r>
      <w:r w:rsidR="00156961">
        <w:rPr>
          <w:rFonts w:ascii="Times New Roman" w:hAnsi="Times New Roman"/>
        </w:rPr>
        <w:t>Naprie</w:t>
      </w:r>
      <w:r w:rsidR="004B40D1">
        <w:rPr>
          <w:rFonts w:ascii="Times New Roman" w:hAnsi="Times New Roman"/>
        </w:rPr>
        <w:t xml:space="preserve">k tomu, že na jednej strane </w:t>
      </w:r>
      <w:r w:rsidR="00654913">
        <w:rPr>
          <w:rFonts w:ascii="Times New Roman" w:hAnsi="Times New Roman"/>
        </w:rPr>
        <w:t>dochádza k</w:t>
      </w:r>
      <w:r w:rsidR="00156961">
        <w:rPr>
          <w:rFonts w:ascii="Times New Roman" w:hAnsi="Times New Roman"/>
        </w:rPr>
        <w:t> zvýšen</w:t>
      </w:r>
      <w:r w:rsidR="00654913">
        <w:rPr>
          <w:rFonts w:ascii="Times New Roman" w:hAnsi="Times New Roman"/>
        </w:rPr>
        <w:t>iu</w:t>
      </w:r>
      <w:r w:rsidR="00156961">
        <w:rPr>
          <w:rFonts w:ascii="Times New Roman" w:hAnsi="Times New Roman"/>
        </w:rPr>
        <w:t xml:space="preserve"> </w:t>
      </w:r>
      <w:r w:rsidR="00654913">
        <w:rPr>
          <w:rFonts w:ascii="Times New Roman" w:hAnsi="Times New Roman"/>
        </w:rPr>
        <w:t>nákladov</w:t>
      </w:r>
      <w:r w:rsidR="00156961">
        <w:rPr>
          <w:rFonts w:ascii="Times New Roman" w:hAnsi="Times New Roman"/>
        </w:rPr>
        <w:t xml:space="preserve"> pre podnikateľskú sféru</w:t>
      </w:r>
      <w:r w:rsidR="00654913">
        <w:rPr>
          <w:rFonts w:ascii="Times New Roman" w:hAnsi="Times New Roman"/>
        </w:rPr>
        <w:t xml:space="preserve">, </w:t>
      </w:r>
      <w:r w:rsidRPr="00B94303" w:rsidR="00654913">
        <w:rPr>
          <w:rFonts w:ascii="Times New Roman" w:hAnsi="Times New Roman"/>
        </w:rPr>
        <w:t xml:space="preserve">ktoré </w:t>
      </w:r>
      <w:r w:rsidRPr="00B94303" w:rsidR="00156961">
        <w:rPr>
          <w:rFonts w:ascii="Times New Roman" w:hAnsi="Times New Roman"/>
        </w:rPr>
        <w:t xml:space="preserve">súvisia s povinnosťou </w:t>
      </w:r>
      <w:r w:rsidRPr="00B94303" w:rsidR="004B40D1">
        <w:rPr>
          <w:rFonts w:ascii="Times New Roman" w:hAnsi="Times New Roman"/>
        </w:rPr>
        <w:t xml:space="preserve">viazať prostriedky rezervného fondu na účte v banke, na strane druhej </w:t>
      </w:r>
      <w:r w:rsidRPr="00B94303" w:rsidR="00B94303">
        <w:rPr>
          <w:rFonts w:ascii="Times New Roman" w:hAnsi="Times New Roman"/>
        </w:rPr>
        <w:t xml:space="preserve">banka prostriedky rezervného fondu uložené na viazanom účte zúročí, čím sa tieto prostriedky spoločnosti nestávajú umorené a zvyšujú svoju hodnotu, čo </w:t>
      </w:r>
      <w:r w:rsidR="00BC7F49">
        <w:rPr>
          <w:rFonts w:ascii="Times New Roman" w:hAnsi="Times New Roman"/>
        </w:rPr>
        <w:t xml:space="preserve">je v konečnom dôsledku </w:t>
      </w:r>
      <w:r w:rsidRPr="00B94303" w:rsidR="00B94303">
        <w:rPr>
          <w:rFonts w:ascii="Times New Roman" w:hAnsi="Times New Roman"/>
        </w:rPr>
        <w:t>pre podnikateľov výhodné</w:t>
      </w:r>
      <w:r w:rsidRPr="00B94303" w:rsidR="00654913">
        <w:rPr>
          <w:rFonts w:ascii="Times New Roman" w:hAnsi="Times New Roman"/>
        </w:rPr>
        <w:t>.</w:t>
      </w:r>
    </w:p>
    <w:p w:rsidR="00BC0DBF" w:rsidRPr="00B94303" w:rsidP="00B94303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</w:rPr>
      </w:pPr>
      <w:r w:rsidR="00EA69C1">
        <w:rPr>
          <w:rFonts w:ascii="Times New Roman" w:hAnsi="Times New Roman"/>
        </w:rPr>
        <w:t xml:space="preserve">Súčasne sa v navrhovanom § 67 ods. </w:t>
      </w:r>
      <w:r w:rsidR="00B94303">
        <w:rPr>
          <w:rFonts w:ascii="Times New Roman" w:hAnsi="Times New Roman"/>
        </w:rPr>
        <w:t>3</w:t>
      </w:r>
      <w:r w:rsidR="00EA69C1">
        <w:rPr>
          <w:rFonts w:ascii="Times New Roman" w:hAnsi="Times New Roman"/>
        </w:rPr>
        <w:t xml:space="preserve"> Obchodného zákonníka ustanovuje, </w:t>
      </w:r>
      <w:r w:rsidR="00654913">
        <w:rPr>
          <w:rFonts w:ascii="Times New Roman" w:hAnsi="Times New Roman"/>
        </w:rPr>
        <w:t xml:space="preserve">že </w:t>
      </w:r>
      <w:r w:rsidR="00B94303">
        <w:rPr>
          <w:rFonts w:ascii="Times New Roman" w:hAnsi="Times New Roman"/>
        </w:rPr>
        <w:t xml:space="preserve">výška </w:t>
      </w:r>
      <w:r w:rsidR="00654913">
        <w:rPr>
          <w:rFonts w:ascii="Times New Roman" w:hAnsi="Times New Roman"/>
        </w:rPr>
        <w:t>rezervn</w:t>
      </w:r>
      <w:r w:rsidR="00B94303">
        <w:rPr>
          <w:rFonts w:ascii="Times New Roman" w:hAnsi="Times New Roman"/>
        </w:rPr>
        <w:t>ého</w:t>
      </w:r>
      <w:r w:rsidR="00654913">
        <w:rPr>
          <w:rFonts w:ascii="Times New Roman" w:hAnsi="Times New Roman"/>
        </w:rPr>
        <w:t xml:space="preserve"> fond</w:t>
      </w:r>
      <w:r w:rsidR="00B94303">
        <w:rPr>
          <w:rFonts w:ascii="Times New Roman" w:hAnsi="Times New Roman"/>
        </w:rPr>
        <w:t>u spoločnosti</w:t>
      </w:r>
      <w:r w:rsidR="00654913">
        <w:rPr>
          <w:rFonts w:ascii="Times New Roman" w:hAnsi="Times New Roman"/>
        </w:rPr>
        <w:t xml:space="preserve"> sa povinne zverejňuje v obchodnom registri za každý rok hospodárenia spoločnosti. Účelom tohto </w:t>
      </w:r>
      <w:r w:rsidR="001259C7">
        <w:rPr>
          <w:rFonts w:ascii="Times New Roman" w:hAnsi="Times New Roman"/>
        </w:rPr>
        <w:t xml:space="preserve">ustanovenia </w:t>
      </w:r>
      <w:r w:rsidR="00654913">
        <w:rPr>
          <w:rFonts w:ascii="Times New Roman" w:hAnsi="Times New Roman"/>
        </w:rPr>
        <w:t xml:space="preserve">návrhu zákona je stransparentniť </w:t>
      </w:r>
      <w:r w:rsidR="001259C7">
        <w:rPr>
          <w:rFonts w:ascii="Times New Roman" w:hAnsi="Times New Roman"/>
        </w:rPr>
        <w:t>hospodárenie jednotlivých spoločností, ktoré rezervný fond vytvárajú povinne zo zákona, a to spoločnosti s ručením obmedzeným a akciovej spoločnosti. Navrhuje sa, aby sa výška rezervného fondu zverejňovala za každý rok hospodárenia spoločnosti, prostredníctvom čoho každý obchodný partner vstupujúci do podnikania s inou spoločnosťou má možnosť preveriť si, ako úspešne predmetná s</w:t>
      </w:r>
      <w:r w:rsidR="00B94303">
        <w:rPr>
          <w:rFonts w:ascii="Times New Roman" w:hAnsi="Times New Roman"/>
        </w:rPr>
        <w:t>poločnosť hospodári, resp. aká</w:t>
      </w:r>
      <w:r w:rsidR="001259C7">
        <w:rPr>
          <w:rFonts w:ascii="Times New Roman" w:hAnsi="Times New Roman"/>
        </w:rPr>
        <w:t xml:space="preserve"> je</w:t>
      </w:r>
      <w:r w:rsidR="00B94303">
        <w:rPr>
          <w:rFonts w:ascii="Times New Roman" w:hAnsi="Times New Roman"/>
        </w:rPr>
        <w:t xml:space="preserve"> výška jej rezervného fondu, </w:t>
      </w:r>
      <w:r w:rsidR="001259C7">
        <w:rPr>
          <w:rFonts w:ascii="Times New Roman" w:hAnsi="Times New Roman"/>
        </w:rPr>
        <w:t>a</w:t>
      </w:r>
      <w:r w:rsidR="00B94303">
        <w:rPr>
          <w:rFonts w:ascii="Times New Roman" w:hAnsi="Times New Roman"/>
        </w:rPr>
        <w:t> poprípade zváženie</w:t>
      </w:r>
      <w:r w:rsidR="001259C7">
        <w:rPr>
          <w:rFonts w:ascii="Times New Roman" w:hAnsi="Times New Roman"/>
        </w:rPr>
        <w:t xml:space="preserve"> pravdepodobnos</w:t>
      </w:r>
      <w:r w:rsidR="00B94303">
        <w:rPr>
          <w:rFonts w:ascii="Times New Roman" w:hAnsi="Times New Roman"/>
        </w:rPr>
        <w:t>ti uspokojenia veriteľov, resp. tretích strán vstupujúcich do zmluvných vzťahov so spoločnosťou.</w:t>
      </w:r>
    </w:p>
    <w:p w:rsidR="001536D1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</w:rPr>
      </w:pPr>
      <w:r w:rsidR="00070B3E">
        <w:rPr>
          <w:rFonts w:ascii="Times New Roman" w:hAnsi="Times New Roman"/>
        </w:rPr>
        <w:tab/>
      </w:r>
    </w:p>
    <w:p w:rsidR="00595EB5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u w:val="single"/>
        </w:rPr>
      </w:pPr>
      <w:r w:rsidR="000A5419">
        <w:rPr>
          <w:rFonts w:ascii="Times New Roman" w:hAnsi="Times New Roman"/>
          <w:u w:val="single"/>
        </w:rPr>
        <w:t>K b</w:t>
      </w:r>
      <w:r w:rsidRPr="00595EB5">
        <w:rPr>
          <w:rFonts w:ascii="Times New Roman" w:hAnsi="Times New Roman"/>
          <w:u w:val="single"/>
        </w:rPr>
        <w:t>od</w:t>
      </w:r>
      <w:r w:rsidR="000A5419">
        <w:rPr>
          <w:rFonts w:ascii="Times New Roman" w:hAnsi="Times New Roman"/>
          <w:u w:val="single"/>
        </w:rPr>
        <w:t>u</w:t>
      </w:r>
      <w:r w:rsidR="001536D1">
        <w:rPr>
          <w:rFonts w:ascii="Times New Roman" w:hAnsi="Times New Roman"/>
          <w:u w:val="single"/>
        </w:rPr>
        <w:t xml:space="preserve"> 4</w:t>
      </w:r>
    </w:p>
    <w:p w:rsidR="00703B6B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</w:rPr>
      </w:pPr>
      <w:r w:rsidR="00484941">
        <w:rPr>
          <w:rFonts w:ascii="Times New Roman" w:hAnsi="Times New Roman"/>
        </w:rPr>
        <w:tab/>
      </w:r>
      <w:r w:rsidRPr="00484941" w:rsidR="00484941">
        <w:rPr>
          <w:rFonts w:ascii="Times New Roman" w:hAnsi="Times New Roman"/>
        </w:rPr>
        <w:t>Podľa súčasnej právnej úpravy</w:t>
      </w:r>
      <w:r w:rsidR="00484941">
        <w:rPr>
          <w:rFonts w:ascii="Times New Roman" w:hAnsi="Times New Roman"/>
        </w:rPr>
        <w:t xml:space="preserve"> sa zákaz podnikania vzťahuje na spoločnosť, ktorá má jedného spoločníka, a na ktorú bol vyhlásený konkurz a na spoločníka spoločnosti, u ktorej došlo úmyselným konaním preukázaným právoplatným rozhodnutím súdu k úpadku alebo predlženiu. </w:t>
      </w:r>
      <w:r w:rsidR="00CB396D">
        <w:rPr>
          <w:rFonts w:ascii="Times New Roman" w:hAnsi="Times New Roman"/>
        </w:rPr>
        <w:t xml:space="preserve">Navrhuje sa, aby sa zákaz podnikania vzťahoval aj na spoločníkov spoločnosti, u ktorej došlo k zastaveniu konkurzného konania pre nedostatok majetku alebo k zrušeniu konkurzu, pretože majetok spoločnosti nepostačuje na náhradu odmeny a výdavkov za výkon funkcie správcu konkurznej podstaty, a to na obdobie desiatich rokov od právoplatného rozhodnutia súdu. </w:t>
      </w:r>
    </w:p>
    <w:p w:rsidR="00BC7F49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</w:rPr>
      </w:pPr>
      <w:r w:rsidR="00703B6B">
        <w:rPr>
          <w:rFonts w:ascii="Times New Roman" w:hAnsi="Times New Roman"/>
        </w:rPr>
        <w:tab/>
      </w:r>
      <w:r w:rsidR="00CB396D">
        <w:rPr>
          <w:rFonts w:ascii="Times New Roman" w:hAnsi="Times New Roman"/>
        </w:rPr>
        <w:t xml:space="preserve">Navrhovaný zákaz podnikania nemá za cieľ postihovať spoločníkov spoločnosti, u ktorej došlo k vyhláseniu konkurzu, pretože samotný konkurz sa v trhovej ekonomike považuje za ozdravný inštitút slúžiaci na uspokojenie veriteľov. </w:t>
      </w:r>
      <w:r w:rsidR="005E3D42">
        <w:rPr>
          <w:rFonts w:ascii="Times New Roman" w:hAnsi="Times New Roman"/>
        </w:rPr>
        <w:t>Návrh zákona ustanovuje, že zákaz podnikania sa dotýka spoločníkov takých spoločností, u ktorých je evidentné, že počas svojej existencie na seba prebrali neprimerané množstvo záväzkov, ktoré nie sú schopné splácať a preto aj prípadný konku</w:t>
      </w:r>
      <w:r>
        <w:rPr>
          <w:rFonts w:ascii="Times New Roman" w:hAnsi="Times New Roman"/>
        </w:rPr>
        <w:t xml:space="preserve">rz, ktorý má v zmysle § 1 </w:t>
      </w:r>
      <w:r w:rsidR="005E3D42">
        <w:rPr>
          <w:rFonts w:ascii="Times New Roman" w:hAnsi="Times New Roman"/>
        </w:rPr>
        <w:t xml:space="preserve">zákona č. 7/2005 Z. z. o konkurze a reštrukturalizácii a o zmene a doplnení niektorých zákonov v znení neskorších predpisov riešiť úpadok </w:t>
      </w:r>
      <w:r w:rsidRPr="005E3D42" w:rsidR="005E3D42">
        <w:rPr>
          <w:rFonts w:ascii="Times New Roman" w:hAnsi="Times New Roman"/>
        </w:rPr>
        <w:t>dlžníka speňažením majetku dlžníka a kolektívnym uspokojením jeho veriteľov</w:t>
      </w:r>
      <w:r w:rsidR="005E3D42">
        <w:rPr>
          <w:rFonts w:ascii="Times New Roman" w:hAnsi="Times New Roman"/>
        </w:rPr>
        <w:t>, je neúspešný, pretože spoločnosť nemá dostatok majetku. Súčasne sa návrhom zákona zabraňuje tomu, aby účelovo vznikali spoločnosti, ktoré nakúpia tovary a služby, nezaplatia, prevedú obchodný podiel, prípadne zaniknú a zodpovední spoločníci založia ďalšiu spoločnosť a celý cyklus sa opakuje.</w:t>
      </w:r>
    </w:p>
    <w:p w:rsidR="005E3D42" w:rsidRPr="00484941" w:rsidP="00BC7F49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Spoločníci takýchto spoločností </w:t>
      </w:r>
      <w:r w:rsidR="00703B6B">
        <w:rPr>
          <w:rFonts w:ascii="Times New Roman" w:hAnsi="Times New Roman"/>
        </w:rPr>
        <w:t>nebudú môcť nielen založiť ďalšiu spoločnosť, ale ani podieľať sa na založení ďalšej spoločnosti, pričom časové obdobie zákazu podnikania sa ustanovuje na desať rokov od právoplatného rozhodnutia súdu.</w:t>
      </w:r>
    </w:p>
    <w:p w:rsidR="001536D1" w:rsidP="00EA407E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</w:rPr>
      </w:pPr>
      <w:r w:rsidR="00BE12A6">
        <w:rPr>
          <w:rFonts w:ascii="Times New Roman" w:hAnsi="Times New Roman"/>
        </w:rPr>
        <w:tab/>
      </w:r>
    </w:p>
    <w:p w:rsidR="00B94303" w:rsidP="00B94303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u w:val="single"/>
        </w:rPr>
      </w:pPr>
      <w:r w:rsidR="001536D1">
        <w:rPr>
          <w:rFonts w:ascii="Times New Roman" w:hAnsi="Times New Roman"/>
          <w:u w:val="single"/>
        </w:rPr>
        <w:t>K</w:t>
      </w:r>
      <w:r>
        <w:rPr>
          <w:rFonts w:ascii="Times New Roman" w:hAnsi="Times New Roman"/>
          <w:u w:val="single"/>
        </w:rPr>
        <w:t> </w:t>
      </w:r>
      <w:r w:rsidR="001536D1">
        <w:rPr>
          <w:rFonts w:ascii="Times New Roman" w:hAnsi="Times New Roman"/>
          <w:u w:val="single"/>
        </w:rPr>
        <w:t>b</w:t>
      </w:r>
      <w:r w:rsidRPr="00595EB5" w:rsidR="001536D1">
        <w:rPr>
          <w:rFonts w:ascii="Times New Roman" w:hAnsi="Times New Roman"/>
          <w:u w:val="single"/>
        </w:rPr>
        <w:t>od</w:t>
      </w:r>
      <w:r>
        <w:rPr>
          <w:rFonts w:ascii="Times New Roman" w:hAnsi="Times New Roman"/>
          <w:u w:val="single"/>
        </w:rPr>
        <w:t>om</w:t>
      </w:r>
      <w:r w:rsidR="001536D1">
        <w:rPr>
          <w:rFonts w:ascii="Times New Roman" w:hAnsi="Times New Roman"/>
          <w:u w:val="single"/>
        </w:rPr>
        <w:t xml:space="preserve"> </w:t>
      </w:r>
      <w:r w:rsidR="004C3ADC"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  <w:u w:val="single"/>
        </w:rPr>
        <w:t xml:space="preserve"> a 6</w:t>
      </w:r>
    </w:p>
    <w:p w:rsidR="00B94303" w:rsidP="00B94303">
      <w:pPr>
        <w:pStyle w:val="NormalWeb"/>
        <w:bidi w:val="0"/>
        <w:spacing w:before="12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94303">
        <w:rPr>
          <w:rFonts w:ascii="Times New Roman" w:hAnsi="Times New Roman"/>
        </w:rPr>
        <w:t>Ide o legislatívno-technickú úpravu súvisiacu s navrhovaným bodom 2.</w:t>
      </w:r>
    </w:p>
    <w:p w:rsidR="00B94303" w:rsidP="00B94303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u w:val="single"/>
        </w:rPr>
      </w:pPr>
    </w:p>
    <w:p w:rsidR="0050388A" w:rsidP="0050388A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u w:val="single"/>
        </w:rPr>
      </w:pPr>
      <w:r w:rsidRPr="00B94303" w:rsidR="00B94303">
        <w:rPr>
          <w:rFonts w:ascii="Times New Roman" w:hAnsi="Times New Roman"/>
          <w:u w:val="single"/>
        </w:rPr>
        <w:t>K bodu 7</w:t>
      </w:r>
    </w:p>
    <w:p w:rsidR="00703B6B" w:rsidRPr="0050388A" w:rsidP="0050388A">
      <w:pPr>
        <w:pStyle w:val="NormalWeb"/>
        <w:bidi w:val="0"/>
        <w:spacing w:before="120" w:beforeAutospacing="0" w:after="0" w:afterAutospacing="0"/>
        <w:ind w:firstLine="708"/>
        <w:rPr>
          <w:rFonts w:ascii="Times New Roman" w:hAnsi="Times New Roman"/>
          <w:u w:val="single"/>
        </w:rPr>
      </w:pPr>
      <w:r w:rsidRPr="00A00C13">
        <w:rPr>
          <w:rFonts w:ascii="Times New Roman" w:hAnsi="Times New Roman"/>
        </w:rPr>
        <w:t xml:space="preserve">Upravujú sa </w:t>
      </w:r>
      <w:r w:rsidRPr="00A00C13" w:rsidR="00A00C13">
        <w:rPr>
          <w:rFonts w:ascii="Times New Roman" w:hAnsi="Times New Roman"/>
        </w:rPr>
        <w:t xml:space="preserve">prechodné ustanovenia </w:t>
      </w:r>
      <w:r w:rsidR="00A00C13">
        <w:rPr>
          <w:rFonts w:ascii="Times New Roman" w:hAnsi="Times New Roman"/>
        </w:rPr>
        <w:t>k úpravám účinným od 1. januára 2013</w:t>
      </w:r>
      <w:r w:rsidR="00BC7F49">
        <w:rPr>
          <w:rFonts w:ascii="Times New Roman" w:hAnsi="Times New Roman"/>
        </w:rPr>
        <w:t>, tak aby pôsobenie návrhu zákona nebolo retroaktívne.</w:t>
      </w:r>
    </w:p>
    <w:p w:rsidR="00703B6B" w:rsidP="00703B6B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u w:val="single"/>
        </w:rPr>
      </w:pPr>
    </w:p>
    <w:p w:rsidR="00BC7F49" w:rsidRPr="00703B6B" w:rsidP="00703B6B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u w:val="single"/>
        </w:rPr>
      </w:pPr>
    </w:p>
    <w:p w:rsidR="009662F8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b/>
        </w:rPr>
      </w:pPr>
      <w:r w:rsidRPr="00DB333B" w:rsidR="00DB333B">
        <w:rPr>
          <w:rFonts w:ascii="Times New Roman" w:hAnsi="Times New Roman"/>
          <w:b/>
        </w:rPr>
        <w:t>K Čl. II</w:t>
      </w:r>
    </w:p>
    <w:p w:rsidR="00B94303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b/>
        </w:rPr>
      </w:pPr>
    </w:p>
    <w:p w:rsidR="00B94303" w:rsidRPr="00B94303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bCs/>
          <w:u w:val="single"/>
        </w:rPr>
      </w:pPr>
      <w:r w:rsidRPr="00B94303">
        <w:rPr>
          <w:rFonts w:ascii="Times New Roman" w:hAnsi="Times New Roman"/>
          <w:bCs/>
          <w:u w:val="single"/>
        </w:rPr>
        <w:t>K bodom 1 a</w:t>
      </w:r>
      <w:r>
        <w:rPr>
          <w:rFonts w:ascii="Times New Roman" w:hAnsi="Times New Roman"/>
          <w:bCs/>
          <w:u w:val="single"/>
        </w:rPr>
        <w:t> </w:t>
      </w:r>
      <w:r w:rsidRPr="00B94303">
        <w:rPr>
          <w:rFonts w:ascii="Times New Roman" w:hAnsi="Times New Roman"/>
          <w:bCs/>
          <w:u w:val="single"/>
        </w:rPr>
        <w:t>2</w:t>
      </w:r>
    </w:p>
    <w:p w:rsidR="00EA407E" w:rsidP="00E27C30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</w:rPr>
      </w:pPr>
      <w:r w:rsidR="00C75BDB">
        <w:rPr>
          <w:rFonts w:ascii="Times New Roman" w:hAnsi="Times New Roman"/>
        </w:rPr>
        <w:t>Obchodný register je v zmysle § 27 Obchodného zákonníka verejný zoznam zákonom ustanovených údajov o zapisovaných subjektoch</w:t>
      </w:r>
      <w:r w:rsidR="00937051">
        <w:rPr>
          <w:rFonts w:ascii="Times New Roman" w:hAnsi="Times New Roman"/>
        </w:rPr>
        <w:t>, ktorého súčasťou je zbierka zákonom ustanovených listín</w:t>
      </w:r>
      <w:r w:rsidR="00C75BDB">
        <w:rPr>
          <w:rFonts w:ascii="Times New Roman" w:hAnsi="Times New Roman"/>
        </w:rPr>
        <w:t xml:space="preserve">. Účelom obchodného registra je poskytnúť základné informácie o zapisovaných subjektoch v obchodnom registri vo vzťahu ku tretím osobám, ktoré vstupujú do právnych vzťahov so zapísanými subjektmi. </w:t>
      </w:r>
      <w:r w:rsidR="00E27C30">
        <w:rPr>
          <w:rFonts w:ascii="Times New Roman" w:hAnsi="Times New Roman"/>
        </w:rPr>
        <w:t xml:space="preserve">V snahe zachovať základné požiadavky kladené na </w:t>
      </w:r>
      <w:r w:rsidR="00B94303">
        <w:rPr>
          <w:rFonts w:ascii="Times New Roman" w:hAnsi="Times New Roman"/>
        </w:rPr>
        <w:t xml:space="preserve">návrh </w:t>
      </w:r>
      <w:r w:rsidR="00E27C30">
        <w:rPr>
          <w:rFonts w:ascii="Times New Roman" w:hAnsi="Times New Roman"/>
        </w:rPr>
        <w:t>zákon</w:t>
      </w:r>
      <w:r w:rsidR="00B94303">
        <w:rPr>
          <w:rFonts w:ascii="Times New Roman" w:hAnsi="Times New Roman"/>
        </w:rPr>
        <w:t>a</w:t>
      </w:r>
      <w:r w:rsidR="00E27C30">
        <w:rPr>
          <w:rFonts w:ascii="Times New Roman" w:hAnsi="Times New Roman"/>
        </w:rPr>
        <w:t xml:space="preserve"> a vzájomne prepojiť jednotlivé navzájom súvisiace zákony je nevyhnutné novelizovať zákon o obchodnom registri, keďže návrhom zákona sa v Obchodnom zákonníku zaviedlo, že výška rezervného fondu sa zverejňuje v obchodnom registri. Keďže</w:t>
      </w:r>
      <w:r w:rsidR="00937051">
        <w:rPr>
          <w:rFonts w:ascii="Times New Roman" w:hAnsi="Times New Roman"/>
        </w:rPr>
        <w:t xml:space="preserve"> len zákonom vymedzené údaje môže byť súčasťou obchodného registra, je potrebné doplniť § 2 zákona č. 530/2003 </w:t>
      </w:r>
      <w:r w:rsidRPr="00937051" w:rsidR="00937051">
        <w:rPr>
          <w:rFonts w:ascii="Times New Roman" w:hAnsi="Times New Roman"/>
        </w:rPr>
        <w:t>o obchodnom registri a o zmene a doplnení niektorých zákonov</w:t>
      </w:r>
      <w:r w:rsidR="00937051">
        <w:rPr>
          <w:rFonts w:ascii="Times New Roman" w:hAnsi="Times New Roman"/>
        </w:rPr>
        <w:t xml:space="preserve"> v znení neskorších predpisov (ďalej len „zákon o obchodnom registri“) o nové písmeno, ktoré ustanovuje povinnosť zverejniť v obchodnom registri výšku rezervného fondu za kaž</w:t>
      </w:r>
      <w:r w:rsidR="00BC7F49">
        <w:rPr>
          <w:rFonts w:ascii="Times New Roman" w:hAnsi="Times New Roman"/>
        </w:rPr>
        <w:t>dý rok hospodárenia spoločnosti.</w:t>
      </w:r>
    </w:p>
    <w:p w:rsidR="00937051" w:rsidP="00E27C30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je v súlade s ustanoveniami smernice Európskeho parlamentu a Rady </w:t>
      </w:r>
      <w:r w:rsidR="00842595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 xml:space="preserve">2009/101/ES zo 16. </w:t>
      </w:r>
      <w:r w:rsidR="0084259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eptembra 2009 o koordinácii záruk, ktoré sa od obchodných spoločností v zmysle článku 48 druhého odseku vyžadujú v členských štátoch na ochranu záujmov spoločníkov a tretích osôb s cieľom zabezpečiť rovnocennosť týchto záruk </w:t>
      </w:r>
      <w:r w:rsidR="00842595">
        <w:rPr>
          <w:rFonts w:ascii="Times New Roman" w:hAnsi="Times New Roman"/>
        </w:rPr>
        <w:t>(Ú.</w:t>
      </w:r>
      <w:r w:rsidR="00BC7F49">
        <w:rPr>
          <w:rFonts w:ascii="Times New Roman" w:hAnsi="Times New Roman"/>
        </w:rPr>
        <w:t xml:space="preserve"> v. EÚ L 258, 1.10.2009, s. 11</w:t>
      </w:r>
      <w:r w:rsidR="00842595">
        <w:rPr>
          <w:rFonts w:ascii="Times New Roman" w:hAnsi="Times New Roman"/>
        </w:rPr>
        <w:t>) (ďalej len „smernica o koordinácii záruk“)</w:t>
      </w:r>
      <w:r w:rsidR="00F74FC8">
        <w:rPr>
          <w:rFonts w:ascii="Times New Roman" w:hAnsi="Times New Roman"/>
        </w:rPr>
        <w:t xml:space="preserve">, keďže v zmysle čl. 2 </w:t>
      </w:r>
      <w:r w:rsidR="00BC7F49">
        <w:rPr>
          <w:rFonts w:ascii="Times New Roman" w:hAnsi="Times New Roman"/>
        </w:rPr>
        <w:t xml:space="preserve">tejto smernice </w:t>
      </w:r>
      <w:r w:rsidR="00F74FC8">
        <w:rPr>
          <w:rFonts w:ascii="Times New Roman" w:hAnsi="Times New Roman"/>
        </w:rPr>
        <w:t>prijímajú členské štáty opatrenia potrebné na zabezpečenie, aby spoločnosti povinne zverejňovali prinajmenšom doklady a údaje uvedené v písm. a) až k). Ide pritom o demonštratívny výpočet dokladov a údajov, ktoré sú spoločnosti povinné zverejňovať a ich rozšírenie nespôsobuje rozpor so samotným znením smernice o koordinácií záruk.</w:t>
      </w:r>
      <w:r w:rsidR="00B94303">
        <w:rPr>
          <w:rFonts w:ascii="Times New Roman" w:hAnsi="Times New Roman"/>
        </w:rPr>
        <w:t xml:space="preserve"> Povinnosť zverejňovať výšku fondu za každý rok hospodárenia spoločnosti sa vzťahuje na všetky spoločnosti, ktorým z osobitných zákonov vyplýva povinnosť r</w:t>
      </w:r>
      <w:r w:rsidR="00BC7F49">
        <w:rPr>
          <w:rFonts w:ascii="Times New Roman" w:hAnsi="Times New Roman"/>
        </w:rPr>
        <w:t>ezervný fond vytvoriť.</w:t>
      </w:r>
    </w:p>
    <w:p w:rsidR="00937051" w:rsidRPr="00937051" w:rsidP="00BC7F49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</w:rPr>
      </w:pPr>
      <w:r w:rsidR="00BC7F49">
        <w:rPr>
          <w:rFonts w:ascii="Times New Roman" w:hAnsi="Times New Roman"/>
        </w:rPr>
        <w:t>Opatreniami, ktoré sa týkajú zverejňovania rezervného fondu v obchodnom registri sa zároveň dosiahne väčšia transparentnosť a vyššia právna istota na strane veriteľov vrátane obyčajných ľudí, ktorým takéto zverejnenie poskytne jednoznačnú informáciu o stave a platobnej schopnosti danej obchodnej spoločnosti. Verejnosť síce bude mať od 1. januára 2013 možnosť nahliadnuť do účtovných závierok obchodných spoločností, a to vďaka verejnému reg</w:t>
      </w:r>
      <w:r w:rsidR="00AC14FC">
        <w:rPr>
          <w:rFonts w:ascii="Times New Roman" w:hAnsi="Times New Roman"/>
        </w:rPr>
        <w:t>istru, ktorý sa zavádza zákonom č. 547/2011 Z. z., ktorým sa mení a dopĺňa zákon č. 431/2002 Z. z. o účtovníctve v znení neskorších predpisov a o zmene a doplnení niektorých zákonov,</w:t>
      </w:r>
      <w:r w:rsidR="00BC7F49">
        <w:rPr>
          <w:rFonts w:ascii="Times New Roman" w:hAnsi="Times New Roman"/>
        </w:rPr>
        <w:t xml:space="preserve"> avšak získavanie informácií z účtovnej závierky si už vyžaduje určité odborné účtovnícke znalosti, ktorými bežný občan nemusí vždy disponovať. Na rozdiel od zložitej účtovnej závierky</w:t>
      </w:r>
      <w:r w:rsidR="00AC14FC">
        <w:rPr>
          <w:rFonts w:ascii="Times New Roman" w:hAnsi="Times New Roman"/>
        </w:rPr>
        <w:t xml:space="preserve"> prístupnej vo verejnej časti registra účtovných závierok</w:t>
      </w:r>
      <w:r w:rsidR="00BC7F49">
        <w:rPr>
          <w:rFonts w:ascii="Times New Roman" w:hAnsi="Times New Roman"/>
        </w:rPr>
        <w:t xml:space="preserve"> bude mať občan oveľa zrozumiteľnejšiu informáciu o danej obchodnej spoločnosti a jej rezervnom fonde priamo z obchodného registra</w:t>
      </w:r>
      <w:r w:rsidR="0050388A">
        <w:rPr>
          <w:rFonts w:ascii="Times New Roman" w:hAnsi="Times New Roman"/>
        </w:rPr>
        <w:t>.</w:t>
      </w:r>
    </w:p>
    <w:p w:rsidR="004760E7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b/>
        </w:rPr>
      </w:pPr>
    </w:p>
    <w:p w:rsidR="0050388A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b/>
        </w:rPr>
      </w:pPr>
    </w:p>
    <w:p w:rsidR="00EA407E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III</w:t>
      </w:r>
    </w:p>
    <w:p w:rsidR="00B43F2A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b/>
        </w:rPr>
      </w:pPr>
    </w:p>
    <w:p w:rsidR="00B43F2A" w:rsidRPr="00B43F2A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bCs/>
          <w:u w:val="single"/>
        </w:rPr>
      </w:pPr>
      <w:r w:rsidR="00BC7F49">
        <w:rPr>
          <w:rFonts w:ascii="Times New Roman" w:hAnsi="Times New Roman"/>
          <w:bCs/>
          <w:u w:val="single"/>
        </w:rPr>
        <w:t xml:space="preserve">K bodom 1 a </w:t>
      </w:r>
      <w:r w:rsidRPr="00B43F2A">
        <w:rPr>
          <w:rFonts w:ascii="Times New Roman" w:hAnsi="Times New Roman"/>
          <w:bCs/>
          <w:u w:val="single"/>
        </w:rPr>
        <w:t>2</w:t>
      </w:r>
    </w:p>
    <w:p w:rsidR="00F96E32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bCs/>
        </w:rPr>
      </w:pPr>
      <w:r w:rsidR="00DC727D">
        <w:rPr>
          <w:rFonts w:ascii="Times New Roman" w:hAnsi="Times New Roman"/>
          <w:bCs/>
        </w:rPr>
        <w:tab/>
      </w:r>
      <w:r w:rsidR="00B43F2A">
        <w:rPr>
          <w:rFonts w:ascii="Times New Roman" w:hAnsi="Times New Roman"/>
          <w:bCs/>
        </w:rPr>
        <w:t>V </w:t>
      </w:r>
      <w:r w:rsidR="00DC727D">
        <w:rPr>
          <w:rFonts w:ascii="Times New Roman" w:hAnsi="Times New Roman"/>
          <w:bCs/>
        </w:rPr>
        <w:t>zmysle</w:t>
      </w:r>
      <w:r w:rsidR="00B43F2A">
        <w:rPr>
          <w:rFonts w:ascii="Times New Roman" w:hAnsi="Times New Roman"/>
          <w:bCs/>
        </w:rPr>
        <w:t xml:space="preserve"> zákon</w:t>
      </w:r>
      <w:r>
        <w:rPr>
          <w:rFonts w:ascii="Times New Roman" w:hAnsi="Times New Roman"/>
          <w:bCs/>
        </w:rPr>
        <w:t>a</w:t>
      </w:r>
      <w:r w:rsidR="00B43F2A">
        <w:rPr>
          <w:rFonts w:ascii="Times New Roman" w:hAnsi="Times New Roman"/>
          <w:bCs/>
        </w:rPr>
        <w:t xml:space="preserve"> č. 595/2003 Z. z. o dani z príjmov sa tvorba rezervného fondu </w:t>
      </w:r>
      <w:r w:rsidR="00503D58">
        <w:rPr>
          <w:rFonts w:ascii="Times New Roman" w:hAnsi="Times New Roman"/>
          <w:bCs/>
        </w:rPr>
        <w:t xml:space="preserve">v súčasnosti </w:t>
      </w:r>
      <w:r w:rsidR="00B43F2A">
        <w:rPr>
          <w:rFonts w:ascii="Times New Roman" w:hAnsi="Times New Roman"/>
          <w:bCs/>
        </w:rPr>
        <w:t xml:space="preserve">nepovažuje </w:t>
      </w:r>
      <w:r w:rsidR="00503D58">
        <w:rPr>
          <w:rFonts w:ascii="Times New Roman" w:hAnsi="Times New Roman"/>
          <w:bCs/>
        </w:rPr>
        <w:t>za</w:t>
      </w:r>
      <w:r w:rsidR="00B43F2A">
        <w:rPr>
          <w:rFonts w:ascii="Times New Roman" w:hAnsi="Times New Roman"/>
          <w:bCs/>
        </w:rPr>
        <w:t xml:space="preserve"> daňový výdavok. Avšak, keďže </w:t>
      </w:r>
      <w:r w:rsidR="00503D58">
        <w:rPr>
          <w:rFonts w:ascii="Times New Roman" w:hAnsi="Times New Roman"/>
          <w:bCs/>
        </w:rPr>
        <w:t>n</w:t>
      </w:r>
      <w:r w:rsidR="00B43F2A">
        <w:rPr>
          <w:rFonts w:ascii="Times New Roman" w:hAnsi="Times New Roman"/>
          <w:bCs/>
        </w:rPr>
        <w:t>ávrhom zákona sa mení koncepcia rezervného fondu, ktorý sa bude tvoriť z hrubého zisku vykázaného v schválenej riadnej individuálnej účtovnej závierke a jeho výška sa bude každoročne zverejňovať v obchodnom registri</w:t>
      </w:r>
      <w:r>
        <w:rPr>
          <w:rFonts w:ascii="Times New Roman" w:hAnsi="Times New Roman"/>
          <w:bCs/>
        </w:rPr>
        <w:t xml:space="preserve"> </w:t>
      </w:r>
      <w:r w:rsidR="00503D58">
        <w:rPr>
          <w:rFonts w:ascii="Times New Roman" w:hAnsi="Times New Roman"/>
          <w:bCs/>
        </w:rPr>
        <w:t xml:space="preserve">sa </w:t>
      </w:r>
      <w:r w:rsidR="00B43F2A">
        <w:rPr>
          <w:rFonts w:ascii="Times New Roman" w:hAnsi="Times New Roman"/>
          <w:bCs/>
        </w:rPr>
        <w:t>navrhuje, aby sa rezervný fond stal daňovým výdavkom. Navrhovaná právna úprava tak predstavuje pre spoločnosti istú kompenzáciu, ktorá v konečnom dôsledku spôsobí, že síce spoločnosť vytvára rezervný fond z hrubého zisku</w:t>
      </w:r>
      <w:r>
        <w:rPr>
          <w:rFonts w:ascii="Times New Roman" w:hAnsi="Times New Roman"/>
          <w:bCs/>
        </w:rPr>
        <w:t xml:space="preserve"> namiesto čistého zisku</w:t>
      </w:r>
      <w:r w:rsidR="00B43F2A">
        <w:rPr>
          <w:rFonts w:ascii="Times New Roman" w:hAnsi="Times New Roman"/>
          <w:bCs/>
        </w:rPr>
        <w:t xml:space="preserve">, ale keďže si </w:t>
      </w:r>
      <w:r>
        <w:rPr>
          <w:rFonts w:ascii="Times New Roman" w:hAnsi="Times New Roman"/>
          <w:bCs/>
        </w:rPr>
        <w:t xml:space="preserve">rezervný fond </w:t>
      </w:r>
      <w:r w:rsidR="00B43F2A">
        <w:rPr>
          <w:rFonts w:ascii="Times New Roman" w:hAnsi="Times New Roman"/>
          <w:bCs/>
        </w:rPr>
        <w:t xml:space="preserve">môže uplatniť ako daňový výdavok, zaplatí menej na daniach. </w:t>
      </w:r>
      <w:r>
        <w:rPr>
          <w:rFonts w:ascii="Times New Roman" w:hAnsi="Times New Roman"/>
          <w:bCs/>
        </w:rPr>
        <w:t>Súčasne sa tým zabraňuje, aby spoločnosti umelo znižovali svoj zisk na konci zúčtovacieho obdobia nákupom nie nevyhnutných tovarov.</w:t>
      </w:r>
      <w:r w:rsidR="0015538A">
        <w:rPr>
          <w:rFonts w:ascii="Times New Roman" w:hAnsi="Times New Roman"/>
          <w:bCs/>
        </w:rPr>
        <w:t xml:space="preserve"> </w:t>
      </w:r>
    </w:p>
    <w:p w:rsidR="0015538A" w:rsidP="00BC7F49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Bod 2 predstavuje legislatívno-technickú úpravu v nadväznosti na bod 1.</w:t>
      </w:r>
    </w:p>
    <w:p w:rsidR="00F96E32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bCs/>
        </w:rPr>
      </w:pPr>
    </w:p>
    <w:p w:rsidR="00BC7F49" w:rsidRPr="00B43F2A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bCs/>
        </w:rPr>
      </w:pPr>
    </w:p>
    <w:p w:rsidR="00E54769" w:rsidRPr="00BC7F49" w:rsidP="001536D1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b/>
          <w:bCs/>
        </w:rPr>
      </w:pPr>
      <w:r w:rsidR="00B43F2A">
        <w:rPr>
          <w:rFonts w:ascii="Times New Roman" w:hAnsi="Times New Roman"/>
          <w:b/>
        </w:rPr>
        <w:t>K Čl. IV</w:t>
      </w:r>
    </w:p>
    <w:p w:rsidR="00A013BF" w:rsidRPr="00C6443C" w:rsidP="001536D1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  <w:b/>
          <w:bCs/>
        </w:rPr>
      </w:pPr>
      <w:r w:rsidRPr="00C6443C" w:rsidR="00DB333B">
        <w:rPr>
          <w:rFonts w:ascii="Times New Roman" w:hAnsi="Times New Roman"/>
        </w:rPr>
        <w:t>Navrhuje sa účinnosť predkladaného zákona</w:t>
      </w:r>
      <w:r w:rsidRPr="00C6443C" w:rsidR="009662F8">
        <w:rPr>
          <w:rFonts w:ascii="Times New Roman" w:hAnsi="Times New Roman"/>
        </w:rPr>
        <w:t xml:space="preserve"> so zohľadnením legisvakančnej lehoty, </w:t>
      </w:r>
      <w:r w:rsidRPr="00C6443C" w:rsidR="00DB333B">
        <w:rPr>
          <w:rFonts w:ascii="Times New Roman" w:hAnsi="Times New Roman"/>
        </w:rPr>
        <w:t xml:space="preserve">a to od 1. </w:t>
      </w:r>
      <w:r w:rsidR="00C57EA6">
        <w:rPr>
          <w:rFonts w:ascii="Times New Roman" w:hAnsi="Times New Roman"/>
        </w:rPr>
        <w:t>januára</w:t>
      </w:r>
      <w:r w:rsidRPr="00C6443C" w:rsidR="00422097">
        <w:rPr>
          <w:rFonts w:ascii="Times New Roman" w:hAnsi="Times New Roman"/>
        </w:rPr>
        <w:t xml:space="preserve"> </w:t>
      </w:r>
      <w:r w:rsidR="004E641B">
        <w:rPr>
          <w:rFonts w:ascii="Times New Roman" w:hAnsi="Times New Roman"/>
        </w:rPr>
        <w:t>2013</w:t>
      </w:r>
      <w:r w:rsidR="00C6443C">
        <w:rPr>
          <w:rFonts w:ascii="Times New Roman" w:hAnsi="Times New Roman"/>
        </w:rPr>
        <w:t>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CF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E11CF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CF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2D863708"/>
    <w:multiLevelType w:val="multilevel"/>
    <w:tmpl w:val="F516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5674C79"/>
    <w:multiLevelType w:val="hybridMultilevel"/>
    <w:tmpl w:val="3108584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19852F9"/>
    <w:multiLevelType w:val="multilevel"/>
    <w:tmpl w:val="D172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635872CD"/>
    <w:multiLevelType w:val="multilevel"/>
    <w:tmpl w:val="DBFE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6B637966"/>
    <w:multiLevelType w:val="multilevel"/>
    <w:tmpl w:val="FFEA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7">
    <w:nsid w:val="7A4D233C"/>
    <w:multiLevelType w:val="hybridMultilevel"/>
    <w:tmpl w:val="CEC4E53C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1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4"/>
  </w:num>
  <w:num w:numId="18">
    <w:abstractNumId w:val="12"/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0D04"/>
    <w:rsid w:val="0000268E"/>
    <w:rsid w:val="000026D7"/>
    <w:rsid w:val="000037B6"/>
    <w:rsid w:val="00006E0B"/>
    <w:rsid w:val="00007DC8"/>
    <w:rsid w:val="0001017E"/>
    <w:rsid w:val="00012FDB"/>
    <w:rsid w:val="0001344B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36B4"/>
    <w:rsid w:val="0003739D"/>
    <w:rsid w:val="000424F6"/>
    <w:rsid w:val="00044C49"/>
    <w:rsid w:val="00045AA9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D9D"/>
    <w:rsid w:val="00057F7B"/>
    <w:rsid w:val="0006094B"/>
    <w:rsid w:val="00060E68"/>
    <w:rsid w:val="00063EEF"/>
    <w:rsid w:val="00064401"/>
    <w:rsid w:val="00064495"/>
    <w:rsid w:val="00064BBA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0B3E"/>
    <w:rsid w:val="00072AE8"/>
    <w:rsid w:val="000767D6"/>
    <w:rsid w:val="0007684A"/>
    <w:rsid w:val="000829E5"/>
    <w:rsid w:val="00082FF8"/>
    <w:rsid w:val="00083166"/>
    <w:rsid w:val="00084078"/>
    <w:rsid w:val="000844AA"/>
    <w:rsid w:val="00084B10"/>
    <w:rsid w:val="00085F9C"/>
    <w:rsid w:val="0009204C"/>
    <w:rsid w:val="0009371B"/>
    <w:rsid w:val="00093E3D"/>
    <w:rsid w:val="00094723"/>
    <w:rsid w:val="0009481E"/>
    <w:rsid w:val="0009621A"/>
    <w:rsid w:val="00096313"/>
    <w:rsid w:val="00096944"/>
    <w:rsid w:val="000A0B14"/>
    <w:rsid w:val="000A5419"/>
    <w:rsid w:val="000A6224"/>
    <w:rsid w:val="000A6778"/>
    <w:rsid w:val="000A78A2"/>
    <w:rsid w:val="000B0848"/>
    <w:rsid w:val="000B139C"/>
    <w:rsid w:val="000B1F82"/>
    <w:rsid w:val="000B1F8C"/>
    <w:rsid w:val="000B321B"/>
    <w:rsid w:val="000B593D"/>
    <w:rsid w:val="000B5B45"/>
    <w:rsid w:val="000B6CE4"/>
    <w:rsid w:val="000C0119"/>
    <w:rsid w:val="000C012A"/>
    <w:rsid w:val="000C02B9"/>
    <w:rsid w:val="000C1069"/>
    <w:rsid w:val="000C13B7"/>
    <w:rsid w:val="000C2091"/>
    <w:rsid w:val="000C2905"/>
    <w:rsid w:val="000C322E"/>
    <w:rsid w:val="000C3685"/>
    <w:rsid w:val="000C3C29"/>
    <w:rsid w:val="000C4608"/>
    <w:rsid w:val="000C4AE3"/>
    <w:rsid w:val="000C7FB2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69F1"/>
    <w:rsid w:val="000E7383"/>
    <w:rsid w:val="000F3991"/>
    <w:rsid w:val="000F65F6"/>
    <w:rsid w:val="000F7968"/>
    <w:rsid w:val="00102CAF"/>
    <w:rsid w:val="00103D4C"/>
    <w:rsid w:val="00106800"/>
    <w:rsid w:val="00106C80"/>
    <w:rsid w:val="001114DA"/>
    <w:rsid w:val="00112B76"/>
    <w:rsid w:val="001139FB"/>
    <w:rsid w:val="001149EA"/>
    <w:rsid w:val="00117635"/>
    <w:rsid w:val="0012197D"/>
    <w:rsid w:val="0012396B"/>
    <w:rsid w:val="001243A6"/>
    <w:rsid w:val="00125137"/>
    <w:rsid w:val="001252FA"/>
    <w:rsid w:val="001259C7"/>
    <w:rsid w:val="00125D8B"/>
    <w:rsid w:val="001311D0"/>
    <w:rsid w:val="00135B00"/>
    <w:rsid w:val="001373C0"/>
    <w:rsid w:val="001409E3"/>
    <w:rsid w:val="001415A0"/>
    <w:rsid w:val="00141C50"/>
    <w:rsid w:val="0014240D"/>
    <w:rsid w:val="00144031"/>
    <w:rsid w:val="001445B0"/>
    <w:rsid w:val="001445C1"/>
    <w:rsid w:val="00145EAE"/>
    <w:rsid w:val="00146A88"/>
    <w:rsid w:val="00147EE9"/>
    <w:rsid w:val="001501A8"/>
    <w:rsid w:val="0015090B"/>
    <w:rsid w:val="001509A7"/>
    <w:rsid w:val="00150C20"/>
    <w:rsid w:val="00150EB8"/>
    <w:rsid w:val="00151269"/>
    <w:rsid w:val="001536D1"/>
    <w:rsid w:val="001547FC"/>
    <w:rsid w:val="0015538A"/>
    <w:rsid w:val="00155854"/>
    <w:rsid w:val="00156961"/>
    <w:rsid w:val="00157609"/>
    <w:rsid w:val="00160E88"/>
    <w:rsid w:val="0016193D"/>
    <w:rsid w:val="001630CE"/>
    <w:rsid w:val="00163198"/>
    <w:rsid w:val="00170F6A"/>
    <w:rsid w:val="001733E7"/>
    <w:rsid w:val="001752F0"/>
    <w:rsid w:val="001756DF"/>
    <w:rsid w:val="0017583D"/>
    <w:rsid w:val="0017615E"/>
    <w:rsid w:val="00176733"/>
    <w:rsid w:val="00176947"/>
    <w:rsid w:val="00185CF5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5515"/>
    <w:rsid w:val="001A70B0"/>
    <w:rsid w:val="001A7533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1393"/>
    <w:rsid w:val="001D3276"/>
    <w:rsid w:val="001D3F46"/>
    <w:rsid w:val="001D58FE"/>
    <w:rsid w:val="001D6094"/>
    <w:rsid w:val="001D6B9A"/>
    <w:rsid w:val="001D70F9"/>
    <w:rsid w:val="001E0241"/>
    <w:rsid w:val="001E228B"/>
    <w:rsid w:val="001E5F4A"/>
    <w:rsid w:val="001F155C"/>
    <w:rsid w:val="001F4A40"/>
    <w:rsid w:val="001F5E5D"/>
    <w:rsid w:val="001F63A9"/>
    <w:rsid w:val="002008E3"/>
    <w:rsid w:val="002045C2"/>
    <w:rsid w:val="00205456"/>
    <w:rsid w:val="00205BD8"/>
    <w:rsid w:val="002061CC"/>
    <w:rsid w:val="00212D14"/>
    <w:rsid w:val="002147AA"/>
    <w:rsid w:val="002149F1"/>
    <w:rsid w:val="00214A76"/>
    <w:rsid w:val="00215D24"/>
    <w:rsid w:val="002171D3"/>
    <w:rsid w:val="00220777"/>
    <w:rsid w:val="00223CE0"/>
    <w:rsid w:val="00224801"/>
    <w:rsid w:val="002255C7"/>
    <w:rsid w:val="002267F3"/>
    <w:rsid w:val="00226E94"/>
    <w:rsid w:val="00231C2F"/>
    <w:rsid w:val="00231E87"/>
    <w:rsid w:val="002327D5"/>
    <w:rsid w:val="00234331"/>
    <w:rsid w:val="00236DB3"/>
    <w:rsid w:val="00240DC2"/>
    <w:rsid w:val="002415D2"/>
    <w:rsid w:val="002441C1"/>
    <w:rsid w:val="00246A30"/>
    <w:rsid w:val="00246E89"/>
    <w:rsid w:val="00250AF0"/>
    <w:rsid w:val="00252641"/>
    <w:rsid w:val="00252D9D"/>
    <w:rsid w:val="00253581"/>
    <w:rsid w:val="002538F4"/>
    <w:rsid w:val="00254696"/>
    <w:rsid w:val="00254AFE"/>
    <w:rsid w:val="002555BD"/>
    <w:rsid w:val="00255A6A"/>
    <w:rsid w:val="00257D64"/>
    <w:rsid w:val="00262226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4E9"/>
    <w:rsid w:val="00282F64"/>
    <w:rsid w:val="0028345D"/>
    <w:rsid w:val="00284095"/>
    <w:rsid w:val="00284DEC"/>
    <w:rsid w:val="00286D66"/>
    <w:rsid w:val="002872F0"/>
    <w:rsid w:val="002903A3"/>
    <w:rsid w:val="00292267"/>
    <w:rsid w:val="002924B6"/>
    <w:rsid w:val="00293E0C"/>
    <w:rsid w:val="00296BCC"/>
    <w:rsid w:val="00296F76"/>
    <w:rsid w:val="002975FA"/>
    <w:rsid w:val="002A2F1D"/>
    <w:rsid w:val="002A4282"/>
    <w:rsid w:val="002A522B"/>
    <w:rsid w:val="002A59B0"/>
    <w:rsid w:val="002B0A5B"/>
    <w:rsid w:val="002B1B87"/>
    <w:rsid w:val="002B1F28"/>
    <w:rsid w:val="002B6C2A"/>
    <w:rsid w:val="002C0B64"/>
    <w:rsid w:val="002C1C9C"/>
    <w:rsid w:val="002C428D"/>
    <w:rsid w:val="002C5FA3"/>
    <w:rsid w:val="002C613E"/>
    <w:rsid w:val="002C61B0"/>
    <w:rsid w:val="002D07B8"/>
    <w:rsid w:val="002D2423"/>
    <w:rsid w:val="002D3EF8"/>
    <w:rsid w:val="002D44BF"/>
    <w:rsid w:val="002D4709"/>
    <w:rsid w:val="002D47CB"/>
    <w:rsid w:val="002D5316"/>
    <w:rsid w:val="002E1F6E"/>
    <w:rsid w:val="002E23B3"/>
    <w:rsid w:val="002E58CC"/>
    <w:rsid w:val="002E5BC4"/>
    <w:rsid w:val="002F0DCE"/>
    <w:rsid w:val="002F18FE"/>
    <w:rsid w:val="002F22CB"/>
    <w:rsid w:val="002F5AD1"/>
    <w:rsid w:val="002F6B9C"/>
    <w:rsid w:val="002F6D80"/>
    <w:rsid w:val="00300BBA"/>
    <w:rsid w:val="003017FB"/>
    <w:rsid w:val="003023CC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83B"/>
    <w:rsid w:val="00330F0A"/>
    <w:rsid w:val="00330F99"/>
    <w:rsid w:val="00332F73"/>
    <w:rsid w:val="00333A25"/>
    <w:rsid w:val="003362A4"/>
    <w:rsid w:val="00343DF8"/>
    <w:rsid w:val="00343F24"/>
    <w:rsid w:val="003449B3"/>
    <w:rsid w:val="003452A8"/>
    <w:rsid w:val="0034726E"/>
    <w:rsid w:val="003511E9"/>
    <w:rsid w:val="00353A05"/>
    <w:rsid w:val="00354D5E"/>
    <w:rsid w:val="00357882"/>
    <w:rsid w:val="003604B7"/>
    <w:rsid w:val="0036171B"/>
    <w:rsid w:val="003619C5"/>
    <w:rsid w:val="00363774"/>
    <w:rsid w:val="00364763"/>
    <w:rsid w:val="00370F04"/>
    <w:rsid w:val="003721ED"/>
    <w:rsid w:val="0037235D"/>
    <w:rsid w:val="003725AB"/>
    <w:rsid w:val="00373CE6"/>
    <w:rsid w:val="003772B5"/>
    <w:rsid w:val="00377EEE"/>
    <w:rsid w:val="00380562"/>
    <w:rsid w:val="0038342B"/>
    <w:rsid w:val="0038430E"/>
    <w:rsid w:val="00385B77"/>
    <w:rsid w:val="003866A3"/>
    <w:rsid w:val="00390172"/>
    <w:rsid w:val="003906C1"/>
    <w:rsid w:val="00391795"/>
    <w:rsid w:val="00393261"/>
    <w:rsid w:val="003940FC"/>
    <w:rsid w:val="00395FEB"/>
    <w:rsid w:val="003A09A3"/>
    <w:rsid w:val="003A0A1B"/>
    <w:rsid w:val="003A2337"/>
    <w:rsid w:val="003A265F"/>
    <w:rsid w:val="003A2BF8"/>
    <w:rsid w:val="003A75AD"/>
    <w:rsid w:val="003B1A35"/>
    <w:rsid w:val="003B28C4"/>
    <w:rsid w:val="003B6A09"/>
    <w:rsid w:val="003B7E07"/>
    <w:rsid w:val="003C05F0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D06"/>
    <w:rsid w:val="003E42E2"/>
    <w:rsid w:val="003E43DA"/>
    <w:rsid w:val="003E7598"/>
    <w:rsid w:val="003F0C3D"/>
    <w:rsid w:val="003F2BE1"/>
    <w:rsid w:val="003F4175"/>
    <w:rsid w:val="003F6A92"/>
    <w:rsid w:val="00400C4C"/>
    <w:rsid w:val="00400E2C"/>
    <w:rsid w:val="004019AE"/>
    <w:rsid w:val="00402912"/>
    <w:rsid w:val="004051F9"/>
    <w:rsid w:val="00414F00"/>
    <w:rsid w:val="004154D1"/>
    <w:rsid w:val="00416BF3"/>
    <w:rsid w:val="004175F3"/>
    <w:rsid w:val="004179AD"/>
    <w:rsid w:val="004207D0"/>
    <w:rsid w:val="004212CC"/>
    <w:rsid w:val="004212CF"/>
    <w:rsid w:val="00422097"/>
    <w:rsid w:val="00422AB0"/>
    <w:rsid w:val="00423520"/>
    <w:rsid w:val="004237E0"/>
    <w:rsid w:val="00426311"/>
    <w:rsid w:val="00426643"/>
    <w:rsid w:val="00427138"/>
    <w:rsid w:val="00427480"/>
    <w:rsid w:val="004315DC"/>
    <w:rsid w:val="00432229"/>
    <w:rsid w:val="00437E14"/>
    <w:rsid w:val="00441968"/>
    <w:rsid w:val="00443FD9"/>
    <w:rsid w:val="004440E3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0E7"/>
    <w:rsid w:val="00476B31"/>
    <w:rsid w:val="004771BB"/>
    <w:rsid w:val="00477800"/>
    <w:rsid w:val="004803A8"/>
    <w:rsid w:val="004813B1"/>
    <w:rsid w:val="004829D4"/>
    <w:rsid w:val="004834A5"/>
    <w:rsid w:val="00483515"/>
    <w:rsid w:val="00483544"/>
    <w:rsid w:val="00483C52"/>
    <w:rsid w:val="00484941"/>
    <w:rsid w:val="00484F8F"/>
    <w:rsid w:val="0049214B"/>
    <w:rsid w:val="00494987"/>
    <w:rsid w:val="0049570C"/>
    <w:rsid w:val="00495BA0"/>
    <w:rsid w:val="004A1F78"/>
    <w:rsid w:val="004A5E06"/>
    <w:rsid w:val="004A5E43"/>
    <w:rsid w:val="004A7809"/>
    <w:rsid w:val="004B1C1B"/>
    <w:rsid w:val="004B31C7"/>
    <w:rsid w:val="004B40D1"/>
    <w:rsid w:val="004B4740"/>
    <w:rsid w:val="004B47EF"/>
    <w:rsid w:val="004B50C4"/>
    <w:rsid w:val="004B52C0"/>
    <w:rsid w:val="004B5F5F"/>
    <w:rsid w:val="004B6B70"/>
    <w:rsid w:val="004C0721"/>
    <w:rsid w:val="004C1E67"/>
    <w:rsid w:val="004C3ADC"/>
    <w:rsid w:val="004C455E"/>
    <w:rsid w:val="004C5CC2"/>
    <w:rsid w:val="004C5FFF"/>
    <w:rsid w:val="004D1049"/>
    <w:rsid w:val="004D2A2C"/>
    <w:rsid w:val="004D40FA"/>
    <w:rsid w:val="004D660D"/>
    <w:rsid w:val="004D71C9"/>
    <w:rsid w:val="004D7819"/>
    <w:rsid w:val="004D7EBE"/>
    <w:rsid w:val="004E1CAD"/>
    <w:rsid w:val="004E361C"/>
    <w:rsid w:val="004E3B8B"/>
    <w:rsid w:val="004E5504"/>
    <w:rsid w:val="004E55FB"/>
    <w:rsid w:val="004E5720"/>
    <w:rsid w:val="004E641B"/>
    <w:rsid w:val="004E673E"/>
    <w:rsid w:val="004E67D5"/>
    <w:rsid w:val="004E7CC6"/>
    <w:rsid w:val="004F2E15"/>
    <w:rsid w:val="004F3C5A"/>
    <w:rsid w:val="004F4A2D"/>
    <w:rsid w:val="004F58A0"/>
    <w:rsid w:val="00502EAA"/>
    <w:rsid w:val="005031E4"/>
    <w:rsid w:val="00503883"/>
    <w:rsid w:val="0050388A"/>
    <w:rsid w:val="00503D58"/>
    <w:rsid w:val="005043E9"/>
    <w:rsid w:val="00506310"/>
    <w:rsid w:val="0050713F"/>
    <w:rsid w:val="00507794"/>
    <w:rsid w:val="0050793D"/>
    <w:rsid w:val="00507C1F"/>
    <w:rsid w:val="00510AB5"/>
    <w:rsid w:val="00512DBE"/>
    <w:rsid w:val="00513E26"/>
    <w:rsid w:val="00515137"/>
    <w:rsid w:val="00515BEF"/>
    <w:rsid w:val="00516CD1"/>
    <w:rsid w:val="0051753F"/>
    <w:rsid w:val="00520223"/>
    <w:rsid w:val="00521F2F"/>
    <w:rsid w:val="00523734"/>
    <w:rsid w:val="00524A12"/>
    <w:rsid w:val="00525AE3"/>
    <w:rsid w:val="00526FDE"/>
    <w:rsid w:val="00531BD1"/>
    <w:rsid w:val="0053418B"/>
    <w:rsid w:val="005360F6"/>
    <w:rsid w:val="005364C2"/>
    <w:rsid w:val="00536ABC"/>
    <w:rsid w:val="005378B1"/>
    <w:rsid w:val="005412CE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8E8"/>
    <w:rsid w:val="005700D1"/>
    <w:rsid w:val="005715EE"/>
    <w:rsid w:val="005716F5"/>
    <w:rsid w:val="00572AC4"/>
    <w:rsid w:val="0057446E"/>
    <w:rsid w:val="00575595"/>
    <w:rsid w:val="005756D2"/>
    <w:rsid w:val="0057750D"/>
    <w:rsid w:val="005801D6"/>
    <w:rsid w:val="0058361B"/>
    <w:rsid w:val="00583B5B"/>
    <w:rsid w:val="00583FB4"/>
    <w:rsid w:val="00584B07"/>
    <w:rsid w:val="00584BCD"/>
    <w:rsid w:val="0058581B"/>
    <w:rsid w:val="00585FCF"/>
    <w:rsid w:val="00586D79"/>
    <w:rsid w:val="00587634"/>
    <w:rsid w:val="0059001B"/>
    <w:rsid w:val="00590B63"/>
    <w:rsid w:val="005920E7"/>
    <w:rsid w:val="00593ACB"/>
    <w:rsid w:val="00594CF0"/>
    <w:rsid w:val="00595D1D"/>
    <w:rsid w:val="00595EB5"/>
    <w:rsid w:val="005970B2"/>
    <w:rsid w:val="005979BC"/>
    <w:rsid w:val="00597AC4"/>
    <w:rsid w:val="005A0DAB"/>
    <w:rsid w:val="005A0DB2"/>
    <w:rsid w:val="005A2B9F"/>
    <w:rsid w:val="005A43B7"/>
    <w:rsid w:val="005A4B8D"/>
    <w:rsid w:val="005A6646"/>
    <w:rsid w:val="005A6D91"/>
    <w:rsid w:val="005A76F5"/>
    <w:rsid w:val="005A78E6"/>
    <w:rsid w:val="005B06D0"/>
    <w:rsid w:val="005B2199"/>
    <w:rsid w:val="005B2793"/>
    <w:rsid w:val="005B3126"/>
    <w:rsid w:val="005B3475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D0843"/>
    <w:rsid w:val="005D4908"/>
    <w:rsid w:val="005D55DC"/>
    <w:rsid w:val="005D6213"/>
    <w:rsid w:val="005D6C75"/>
    <w:rsid w:val="005E111D"/>
    <w:rsid w:val="005E2EBE"/>
    <w:rsid w:val="005E328B"/>
    <w:rsid w:val="005E382C"/>
    <w:rsid w:val="005E3C49"/>
    <w:rsid w:val="005E3D42"/>
    <w:rsid w:val="005E4212"/>
    <w:rsid w:val="005E4567"/>
    <w:rsid w:val="005E4B4D"/>
    <w:rsid w:val="005E7B0E"/>
    <w:rsid w:val="005E7C03"/>
    <w:rsid w:val="005F332C"/>
    <w:rsid w:val="005F5D14"/>
    <w:rsid w:val="005F608B"/>
    <w:rsid w:val="005F79E1"/>
    <w:rsid w:val="006000BD"/>
    <w:rsid w:val="00601126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4CAD"/>
    <w:rsid w:val="006462EC"/>
    <w:rsid w:val="00646CBD"/>
    <w:rsid w:val="006478B7"/>
    <w:rsid w:val="00650DD4"/>
    <w:rsid w:val="0065102C"/>
    <w:rsid w:val="00651388"/>
    <w:rsid w:val="006516B4"/>
    <w:rsid w:val="0065392B"/>
    <w:rsid w:val="006541C3"/>
    <w:rsid w:val="00654913"/>
    <w:rsid w:val="00655C22"/>
    <w:rsid w:val="00655F70"/>
    <w:rsid w:val="00656944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301B"/>
    <w:rsid w:val="0067688E"/>
    <w:rsid w:val="00676D48"/>
    <w:rsid w:val="006800FE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2F13"/>
    <w:rsid w:val="00693BCE"/>
    <w:rsid w:val="00694412"/>
    <w:rsid w:val="00695295"/>
    <w:rsid w:val="00695978"/>
    <w:rsid w:val="006A44CF"/>
    <w:rsid w:val="006A524F"/>
    <w:rsid w:val="006A52CC"/>
    <w:rsid w:val="006A5485"/>
    <w:rsid w:val="006A7D20"/>
    <w:rsid w:val="006B2456"/>
    <w:rsid w:val="006B42EB"/>
    <w:rsid w:val="006B5B7B"/>
    <w:rsid w:val="006B7C31"/>
    <w:rsid w:val="006C095F"/>
    <w:rsid w:val="006C2689"/>
    <w:rsid w:val="006C3E74"/>
    <w:rsid w:val="006C45C0"/>
    <w:rsid w:val="006C5629"/>
    <w:rsid w:val="006C6062"/>
    <w:rsid w:val="006C6671"/>
    <w:rsid w:val="006C727A"/>
    <w:rsid w:val="006C75CF"/>
    <w:rsid w:val="006D10BE"/>
    <w:rsid w:val="006D469F"/>
    <w:rsid w:val="006D4907"/>
    <w:rsid w:val="006D52F7"/>
    <w:rsid w:val="006D53E9"/>
    <w:rsid w:val="006E0301"/>
    <w:rsid w:val="006E2D3D"/>
    <w:rsid w:val="006E2F08"/>
    <w:rsid w:val="006E6120"/>
    <w:rsid w:val="006F004E"/>
    <w:rsid w:val="006F141E"/>
    <w:rsid w:val="006F3C78"/>
    <w:rsid w:val="006F6C38"/>
    <w:rsid w:val="006F7B2E"/>
    <w:rsid w:val="007007E5"/>
    <w:rsid w:val="0070243C"/>
    <w:rsid w:val="00702A1A"/>
    <w:rsid w:val="0070347D"/>
    <w:rsid w:val="00703B6B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5F4E"/>
    <w:rsid w:val="00726C6E"/>
    <w:rsid w:val="00730592"/>
    <w:rsid w:val="007305C1"/>
    <w:rsid w:val="00730C46"/>
    <w:rsid w:val="00731243"/>
    <w:rsid w:val="0073394E"/>
    <w:rsid w:val="0073423A"/>
    <w:rsid w:val="00734C20"/>
    <w:rsid w:val="00737DAE"/>
    <w:rsid w:val="00740C32"/>
    <w:rsid w:val="0074100F"/>
    <w:rsid w:val="00741448"/>
    <w:rsid w:val="0074167F"/>
    <w:rsid w:val="00743A58"/>
    <w:rsid w:val="00745C3A"/>
    <w:rsid w:val="00746ED9"/>
    <w:rsid w:val="00747A64"/>
    <w:rsid w:val="00750128"/>
    <w:rsid w:val="00752D51"/>
    <w:rsid w:val="0075552C"/>
    <w:rsid w:val="00755704"/>
    <w:rsid w:val="00765FF4"/>
    <w:rsid w:val="007664B1"/>
    <w:rsid w:val="00770D2E"/>
    <w:rsid w:val="00776A54"/>
    <w:rsid w:val="00776F49"/>
    <w:rsid w:val="0077789F"/>
    <w:rsid w:val="007814D5"/>
    <w:rsid w:val="00783830"/>
    <w:rsid w:val="00783A2B"/>
    <w:rsid w:val="00783C72"/>
    <w:rsid w:val="007850EA"/>
    <w:rsid w:val="00791177"/>
    <w:rsid w:val="007A08AD"/>
    <w:rsid w:val="007A211F"/>
    <w:rsid w:val="007A22A8"/>
    <w:rsid w:val="007A31E2"/>
    <w:rsid w:val="007A4097"/>
    <w:rsid w:val="007A4561"/>
    <w:rsid w:val="007A4A16"/>
    <w:rsid w:val="007A5D79"/>
    <w:rsid w:val="007B03DB"/>
    <w:rsid w:val="007B134F"/>
    <w:rsid w:val="007B40DF"/>
    <w:rsid w:val="007B51B7"/>
    <w:rsid w:val="007B7B9B"/>
    <w:rsid w:val="007C0E0F"/>
    <w:rsid w:val="007C10A3"/>
    <w:rsid w:val="007C1D5A"/>
    <w:rsid w:val="007C2764"/>
    <w:rsid w:val="007C3C61"/>
    <w:rsid w:val="007C4670"/>
    <w:rsid w:val="007C4A1C"/>
    <w:rsid w:val="007C5B91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EA7"/>
    <w:rsid w:val="007D6ECF"/>
    <w:rsid w:val="007D6FAA"/>
    <w:rsid w:val="007E0F03"/>
    <w:rsid w:val="007E40E5"/>
    <w:rsid w:val="007E4223"/>
    <w:rsid w:val="007E5961"/>
    <w:rsid w:val="007E5F24"/>
    <w:rsid w:val="007E6EBC"/>
    <w:rsid w:val="007F0325"/>
    <w:rsid w:val="007F1794"/>
    <w:rsid w:val="007F31DE"/>
    <w:rsid w:val="007F5FB7"/>
    <w:rsid w:val="007F6EE8"/>
    <w:rsid w:val="007F7C34"/>
    <w:rsid w:val="007F7E13"/>
    <w:rsid w:val="008003FB"/>
    <w:rsid w:val="008032BA"/>
    <w:rsid w:val="008074EE"/>
    <w:rsid w:val="00812357"/>
    <w:rsid w:val="0081321F"/>
    <w:rsid w:val="00813E24"/>
    <w:rsid w:val="00814D4B"/>
    <w:rsid w:val="0081581B"/>
    <w:rsid w:val="00816D7A"/>
    <w:rsid w:val="0081704E"/>
    <w:rsid w:val="00817AD5"/>
    <w:rsid w:val="008244CA"/>
    <w:rsid w:val="00825577"/>
    <w:rsid w:val="00831734"/>
    <w:rsid w:val="00832923"/>
    <w:rsid w:val="008330DA"/>
    <w:rsid w:val="008336C5"/>
    <w:rsid w:val="00833BD1"/>
    <w:rsid w:val="00834111"/>
    <w:rsid w:val="00835C63"/>
    <w:rsid w:val="00836C3D"/>
    <w:rsid w:val="0084123D"/>
    <w:rsid w:val="00842595"/>
    <w:rsid w:val="008431E0"/>
    <w:rsid w:val="00843556"/>
    <w:rsid w:val="00843831"/>
    <w:rsid w:val="00844445"/>
    <w:rsid w:val="00851EA3"/>
    <w:rsid w:val="00852745"/>
    <w:rsid w:val="00855F65"/>
    <w:rsid w:val="00856243"/>
    <w:rsid w:val="0085777C"/>
    <w:rsid w:val="008623FA"/>
    <w:rsid w:val="008636DD"/>
    <w:rsid w:val="00864651"/>
    <w:rsid w:val="008646FD"/>
    <w:rsid w:val="0086475C"/>
    <w:rsid w:val="00864DED"/>
    <w:rsid w:val="008656BF"/>
    <w:rsid w:val="008659F3"/>
    <w:rsid w:val="00865FAE"/>
    <w:rsid w:val="00866E6E"/>
    <w:rsid w:val="008703CE"/>
    <w:rsid w:val="0087061A"/>
    <w:rsid w:val="00873A66"/>
    <w:rsid w:val="00873C73"/>
    <w:rsid w:val="0087516B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8787E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4136"/>
    <w:rsid w:val="008A43CC"/>
    <w:rsid w:val="008A4E63"/>
    <w:rsid w:val="008A4F82"/>
    <w:rsid w:val="008A621F"/>
    <w:rsid w:val="008A68C0"/>
    <w:rsid w:val="008B0214"/>
    <w:rsid w:val="008B4208"/>
    <w:rsid w:val="008B4392"/>
    <w:rsid w:val="008B4BC7"/>
    <w:rsid w:val="008B542F"/>
    <w:rsid w:val="008B6EE7"/>
    <w:rsid w:val="008B6FC6"/>
    <w:rsid w:val="008C0A79"/>
    <w:rsid w:val="008C26AC"/>
    <w:rsid w:val="008C2975"/>
    <w:rsid w:val="008C32F2"/>
    <w:rsid w:val="008C3DD6"/>
    <w:rsid w:val="008C4328"/>
    <w:rsid w:val="008C5AAB"/>
    <w:rsid w:val="008C66E9"/>
    <w:rsid w:val="008C6850"/>
    <w:rsid w:val="008C7116"/>
    <w:rsid w:val="008D0170"/>
    <w:rsid w:val="008D0210"/>
    <w:rsid w:val="008D1164"/>
    <w:rsid w:val="008D1208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5314"/>
    <w:rsid w:val="009061BA"/>
    <w:rsid w:val="009065B3"/>
    <w:rsid w:val="00911293"/>
    <w:rsid w:val="009115A2"/>
    <w:rsid w:val="00911C8A"/>
    <w:rsid w:val="00912096"/>
    <w:rsid w:val="0091353D"/>
    <w:rsid w:val="009144C0"/>
    <w:rsid w:val="009149BF"/>
    <w:rsid w:val="009176CC"/>
    <w:rsid w:val="0092234C"/>
    <w:rsid w:val="00924270"/>
    <w:rsid w:val="00926916"/>
    <w:rsid w:val="00926BFC"/>
    <w:rsid w:val="00932363"/>
    <w:rsid w:val="009328E4"/>
    <w:rsid w:val="00934407"/>
    <w:rsid w:val="00934ADD"/>
    <w:rsid w:val="00935C75"/>
    <w:rsid w:val="00936381"/>
    <w:rsid w:val="009366FE"/>
    <w:rsid w:val="00936DD0"/>
    <w:rsid w:val="00936F46"/>
    <w:rsid w:val="00937051"/>
    <w:rsid w:val="00940AAD"/>
    <w:rsid w:val="00941305"/>
    <w:rsid w:val="0094153F"/>
    <w:rsid w:val="00941E5C"/>
    <w:rsid w:val="00942C78"/>
    <w:rsid w:val="00942D4D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8100A"/>
    <w:rsid w:val="00981839"/>
    <w:rsid w:val="009826D7"/>
    <w:rsid w:val="00987732"/>
    <w:rsid w:val="00991DAF"/>
    <w:rsid w:val="009925F9"/>
    <w:rsid w:val="00993183"/>
    <w:rsid w:val="0099330E"/>
    <w:rsid w:val="0099428E"/>
    <w:rsid w:val="009953AB"/>
    <w:rsid w:val="00995988"/>
    <w:rsid w:val="00995E4B"/>
    <w:rsid w:val="00996EB8"/>
    <w:rsid w:val="009974B0"/>
    <w:rsid w:val="009A052E"/>
    <w:rsid w:val="009A0EC5"/>
    <w:rsid w:val="009A3942"/>
    <w:rsid w:val="009A456C"/>
    <w:rsid w:val="009A6B49"/>
    <w:rsid w:val="009A7AA8"/>
    <w:rsid w:val="009B10B6"/>
    <w:rsid w:val="009B150A"/>
    <w:rsid w:val="009B1F2C"/>
    <w:rsid w:val="009B341D"/>
    <w:rsid w:val="009B4243"/>
    <w:rsid w:val="009B4C71"/>
    <w:rsid w:val="009B5CA8"/>
    <w:rsid w:val="009C253D"/>
    <w:rsid w:val="009C5F0C"/>
    <w:rsid w:val="009C60ED"/>
    <w:rsid w:val="009C6182"/>
    <w:rsid w:val="009D1A1A"/>
    <w:rsid w:val="009D43E0"/>
    <w:rsid w:val="009D680E"/>
    <w:rsid w:val="009E083C"/>
    <w:rsid w:val="009E11CF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1208"/>
    <w:rsid w:val="009F154D"/>
    <w:rsid w:val="009F2719"/>
    <w:rsid w:val="009F6C84"/>
    <w:rsid w:val="00A00C13"/>
    <w:rsid w:val="00A013BF"/>
    <w:rsid w:val="00A025C6"/>
    <w:rsid w:val="00A02746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D3B"/>
    <w:rsid w:val="00A329AB"/>
    <w:rsid w:val="00A32B2D"/>
    <w:rsid w:val="00A33844"/>
    <w:rsid w:val="00A346D0"/>
    <w:rsid w:val="00A366A4"/>
    <w:rsid w:val="00A377D2"/>
    <w:rsid w:val="00A405E5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49C4"/>
    <w:rsid w:val="00A54A52"/>
    <w:rsid w:val="00A573C5"/>
    <w:rsid w:val="00A601B8"/>
    <w:rsid w:val="00A62706"/>
    <w:rsid w:val="00A652F3"/>
    <w:rsid w:val="00A7048D"/>
    <w:rsid w:val="00A71176"/>
    <w:rsid w:val="00A71398"/>
    <w:rsid w:val="00A71E9E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5BE"/>
    <w:rsid w:val="00A85F1C"/>
    <w:rsid w:val="00A8661E"/>
    <w:rsid w:val="00A90049"/>
    <w:rsid w:val="00A90855"/>
    <w:rsid w:val="00A9234A"/>
    <w:rsid w:val="00A92666"/>
    <w:rsid w:val="00A94050"/>
    <w:rsid w:val="00A97535"/>
    <w:rsid w:val="00AA15FF"/>
    <w:rsid w:val="00AA63AD"/>
    <w:rsid w:val="00AA67A7"/>
    <w:rsid w:val="00AB1638"/>
    <w:rsid w:val="00AB2181"/>
    <w:rsid w:val="00AB2209"/>
    <w:rsid w:val="00AB2B5D"/>
    <w:rsid w:val="00AB2CE9"/>
    <w:rsid w:val="00AB618C"/>
    <w:rsid w:val="00AB69F8"/>
    <w:rsid w:val="00AB7A5E"/>
    <w:rsid w:val="00AC0097"/>
    <w:rsid w:val="00AC14FC"/>
    <w:rsid w:val="00AC4222"/>
    <w:rsid w:val="00AC5D33"/>
    <w:rsid w:val="00AC7F0F"/>
    <w:rsid w:val="00AD2C6F"/>
    <w:rsid w:val="00AD355A"/>
    <w:rsid w:val="00AD3EE5"/>
    <w:rsid w:val="00AD4529"/>
    <w:rsid w:val="00AD6349"/>
    <w:rsid w:val="00AD6527"/>
    <w:rsid w:val="00AD695D"/>
    <w:rsid w:val="00AD6A69"/>
    <w:rsid w:val="00AD6F5F"/>
    <w:rsid w:val="00AD761B"/>
    <w:rsid w:val="00AE0BB8"/>
    <w:rsid w:val="00AE3441"/>
    <w:rsid w:val="00AE7E69"/>
    <w:rsid w:val="00AF09AD"/>
    <w:rsid w:val="00AF3318"/>
    <w:rsid w:val="00AF386B"/>
    <w:rsid w:val="00AF4299"/>
    <w:rsid w:val="00AF4ED0"/>
    <w:rsid w:val="00AF5106"/>
    <w:rsid w:val="00AF624E"/>
    <w:rsid w:val="00AF770A"/>
    <w:rsid w:val="00B01CDE"/>
    <w:rsid w:val="00B03FDD"/>
    <w:rsid w:val="00B0731A"/>
    <w:rsid w:val="00B10F64"/>
    <w:rsid w:val="00B11F00"/>
    <w:rsid w:val="00B14B7B"/>
    <w:rsid w:val="00B169E7"/>
    <w:rsid w:val="00B179E5"/>
    <w:rsid w:val="00B204CF"/>
    <w:rsid w:val="00B2088B"/>
    <w:rsid w:val="00B21D22"/>
    <w:rsid w:val="00B233CA"/>
    <w:rsid w:val="00B23C49"/>
    <w:rsid w:val="00B279FD"/>
    <w:rsid w:val="00B30340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3F2A"/>
    <w:rsid w:val="00B44FEE"/>
    <w:rsid w:val="00B457DD"/>
    <w:rsid w:val="00B45E48"/>
    <w:rsid w:val="00B4676C"/>
    <w:rsid w:val="00B46BF8"/>
    <w:rsid w:val="00B46F7D"/>
    <w:rsid w:val="00B50A9E"/>
    <w:rsid w:val="00B51B3C"/>
    <w:rsid w:val="00B520C0"/>
    <w:rsid w:val="00B52162"/>
    <w:rsid w:val="00B53209"/>
    <w:rsid w:val="00B55D17"/>
    <w:rsid w:val="00B5676B"/>
    <w:rsid w:val="00B56F18"/>
    <w:rsid w:val="00B612F4"/>
    <w:rsid w:val="00B63A66"/>
    <w:rsid w:val="00B63BEF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2F2A"/>
    <w:rsid w:val="00B837BD"/>
    <w:rsid w:val="00B863AD"/>
    <w:rsid w:val="00B8735C"/>
    <w:rsid w:val="00B916BB"/>
    <w:rsid w:val="00B92C79"/>
    <w:rsid w:val="00B92F4F"/>
    <w:rsid w:val="00B94303"/>
    <w:rsid w:val="00B94328"/>
    <w:rsid w:val="00B96853"/>
    <w:rsid w:val="00B96BDF"/>
    <w:rsid w:val="00BA0C6E"/>
    <w:rsid w:val="00BA1B5E"/>
    <w:rsid w:val="00BA2038"/>
    <w:rsid w:val="00BA2BB4"/>
    <w:rsid w:val="00BA647A"/>
    <w:rsid w:val="00BA68CD"/>
    <w:rsid w:val="00BA6D43"/>
    <w:rsid w:val="00BB0433"/>
    <w:rsid w:val="00BB3DE4"/>
    <w:rsid w:val="00BB76FE"/>
    <w:rsid w:val="00BB7F5C"/>
    <w:rsid w:val="00BC0415"/>
    <w:rsid w:val="00BC063C"/>
    <w:rsid w:val="00BC06CA"/>
    <w:rsid w:val="00BC0D67"/>
    <w:rsid w:val="00BC0DBF"/>
    <w:rsid w:val="00BC27CF"/>
    <w:rsid w:val="00BC2AFE"/>
    <w:rsid w:val="00BC2FC3"/>
    <w:rsid w:val="00BC31C3"/>
    <w:rsid w:val="00BC37F0"/>
    <w:rsid w:val="00BC3DB1"/>
    <w:rsid w:val="00BC6BF5"/>
    <w:rsid w:val="00BC6E6C"/>
    <w:rsid w:val="00BC7F49"/>
    <w:rsid w:val="00BD34E1"/>
    <w:rsid w:val="00BE121F"/>
    <w:rsid w:val="00BE12A6"/>
    <w:rsid w:val="00BE161C"/>
    <w:rsid w:val="00BE37CE"/>
    <w:rsid w:val="00BE3BDF"/>
    <w:rsid w:val="00BE3F07"/>
    <w:rsid w:val="00BE5A2B"/>
    <w:rsid w:val="00BE5F23"/>
    <w:rsid w:val="00BF0990"/>
    <w:rsid w:val="00BF14CE"/>
    <w:rsid w:val="00BF416B"/>
    <w:rsid w:val="00BF5452"/>
    <w:rsid w:val="00BF7BF6"/>
    <w:rsid w:val="00C001E1"/>
    <w:rsid w:val="00C03CD3"/>
    <w:rsid w:val="00C04229"/>
    <w:rsid w:val="00C05F0A"/>
    <w:rsid w:val="00C06457"/>
    <w:rsid w:val="00C079BF"/>
    <w:rsid w:val="00C107C3"/>
    <w:rsid w:val="00C159B2"/>
    <w:rsid w:val="00C15DEE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CCB"/>
    <w:rsid w:val="00C34F6A"/>
    <w:rsid w:val="00C3502C"/>
    <w:rsid w:val="00C354B0"/>
    <w:rsid w:val="00C35E27"/>
    <w:rsid w:val="00C4095B"/>
    <w:rsid w:val="00C437E2"/>
    <w:rsid w:val="00C43B39"/>
    <w:rsid w:val="00C45EE8"/>
    <w:rsid w:val="00C46F55"/>
    <w:rsid w:val="00C50627"/>
    <w:rsid w:val="00C555CE"/>
    <w:rsid w:val="00C559B0"/>
    <w:rsid w:val="00C57EA6"/>
    <w:rsid w:val="00C57EF1"/>
    <w:rsid w:val="00C62806"/>
    <w:rsid w:val="00C6362E"/>
    <w:rsid w:val="00C6443C"/>
    <w:rsid w:val="00C65170"/>
    <w:rsid w:val="00C70646"/>
    <w:rsid w:val="00C70E00"/>
    <w:rsid w:val="00C735E6"/>
    <w:rsid w:val="00C74ACA"/>
    <w:rsid w:val="00C75513"/>
    <w:rsid w:val="00C75BDB"/>
    <w:rsid w:val="00C76E82"/>
    <w:rsid w:val="00C77008"/>
    <w:rsid w:val="00C80106"/>
    <w:rsid w:val="00C81D85"/>
    <w:rsid w:val="00C827FE"/>
    <w:rsid w:val="00C83EDD"/>
    <w:rsid w:val="00C840B6"/>
    <w:rsid w:val="00C8415D"/>
    <w:rsid w:val="00C852AB"/>
    <w:rsid w:val="00C868BE"/>
    <w:rsid w:val="00C872AB"/>
    <w:rsid w:val="00C90D93"/>
    <w:rsid w:val="00C93079"/>
    <w:rsid w:val="00C93760"/>
    <w:rsid w:val="00C950F1"/>
    <w:rsid w:val="00C95243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A7312"/>
    <w:rsid w:val="00CB077C"/>
    <w:rsid w:val="00CB1744"/>
    <w:rsid w:val="00CB396D"/>
    <w:rsid w:val="00CB6F5D"/>
    <w:rsid w:val="00CC00B4"/>
    <w:rsid w:val="00CC0D7B"/>
    <w:rsid w:val="00CC0E0E"/>
    <w:rsid w:val="00CC1FCD"/>
    <w:rsid w:val="00CC2D5D"/>
    <w:rsid w:val="00CC67F7"/>
    <w:rsid w:val="00CC6863"/>
    <w:rsid w:val="00CC6BDB"/>
    <w:rsid w:val="00CD2FEE"/>
    <w:rsid w:val="00CD399C"/>
    <w:rsid w:val="00CD412A"/>
    <w:rsid w:val="00CD4C5B"/>
    <w:rsid w:val="00CD62AA"/>
    <w:rsid w:val="00CE06DD"/>
    <w:rsid w:val="00CE1B51"/>
    <w:rsid w:val="00CE2127"/>
    <w:rsid w:val="00CE4F0C"/>
    <w:rsid w:val="00CE6029"/>
    <w:rsid w:val="00CE62DD"/>
    <w:rsid w:val="00CE7D86"/>
    <w:rsid w:val="00CF0EC4"/>
    <w:rsid w:val="00CF3D65"/>
    <w:rsid w:val="00CF5853"/>
    <w:rsid w:val="00CF60E9"/>
    <w:rsid w:val="00CF6102"/>
    <w:rsid w:val="00CF6B76"/>
    <w:rsid w:val="00D00CE1"/>
    <w:rsid w:val="00D01F45"/>
    <w:rsid w:val="00D04796"/>
    <w:rsid w:val="00D058D0"/>
    <w:rsid w:val="00D05E61"/>
    <w:rsid w:val="00D10F3D"/>
    <w:rsid w:val="00D12543"/>
    <w:rsid w:val="00D12910"/>
    <w:rsid w:val="00D12C8C"/>
    <w:rsid w:val="00D21962"/>
    <w:rsid w:val="00D231C2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5D30"/>
    <w:rsid w:val="00D37007"/>
    <w:rsid w:val="00D40418"/>
    <w:rsid w:val="00D41F4F"/>
    <w:rsid w:val="00D42166"/>
    <w:rsid w:val="00D434FA"/>
    <w:rsid w:val="00D434FC"/>
    <w:rsid w:val="00D439B9"/>
    <w:rsid w:val="00D4718B"/>
    <w:rsid w:val="00D47F00"/>
    <w:rsid w:val="00D50E13"/>
    <w:rsid w:val="00D524BD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5F88"/>
    <w:rsid w:val="00D76741"/>
    <w:rsid w:val="00D7747C"/>
    <w:rsid w:val="00D811E6"/>
    <w:rsid w:val="00D83C1D"/>
    <w:rsid w:val="00D84A3D"/>
    <w:rsid w:val="00D86DEC"/>
    <w:rsid w:val="00D87BEC"/>
    <w:rsid w:val="00D9166F"/>
    <w:rsid w:val="00D9177D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57D9"/>
    <w:rsid w:val="00DA736C"/>
    <w:rsid w:val="00DB0311"/>
    <w:rsid w:val="00DB127C"/>
    <w:rsid w:val="00DB1BB9"/>
    <w:rsid w:val="00DB333B"/>
    <w:rsid w:val="00DB3C88"/>
    <w:rsid w:val="00DB75CF"/>
    <w:rsid w:val="00DB7715"/>
    <w:rsid w:val="00DC4300"/>
    <w:rsid w:val="00DC4B40"/>
    <w:rsid w:val="00DC4CB0"/>
    <w:rsid w:val="00DC5CC5"/>
    <w:rsid w:val="00DC71B2"/>
    <w:rsid w:val="00DC727D"/>
    <w:rsid w:val="00DD05EB"/>
    <w:rsid w:val="00DD0D65"/>
    <w:rsid w:val="00DD1349"/>
    <w:rsid w:val="00DD2C96"/>
    <w:rsid w:val="00DD39A5"/>
    <w:rsid w:val="00DD4060"/>
    <w:rsid w:val="00DD455D"/>
    <w:rsid w:val="00DD4679"/>
    <w:rsid w:val="00DD6031"/>
    <w:rsid w:val="00DD6C0F"/>
    <w:rsid w:val="00DE0A25"/>
    <w:rsid w:val="00DE1FE5"/>
    <w:rsid w:val="00DE32FC"/>
    <w:rsid w:val="00DE4357"/>
    <w:rsid w:val="00DE492B"/>
    <w:rsid w:val="00DE5572"/>
    <w:rsid w:val="00DE58BF"/>
    <w:rsid w:val="00DE7480"/>
    <w:rsid w:val="00DF40EF"/>
    <w:rsid w:val="00DF5492"/>
    <w:rsid w:val="00DF6ED3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222A9"/>
    <w:rsid w:val="00E23067"/>
    <w:rsid w:val="00E24A1B"/>
    <w:rsid w:val="00E27C04"/>
    <w:rsid w:val="00E27C30"/>
    <w:rsid w:val="00E27EDD"/>
    <w:rsid w:val="00E304B6"/>
    <w:rsid w:val="00E31B44"/>
    <w:rsid w:val="00E3251A"/>
    <w:rsid w:val="00E32A70"/>
    <w:rsid w:val="00E32D61"/>
    <w:rsid w:val="00E3390D"/>
    <w:rsid w:val="00E3622E"/>
    <w:rsid w:val="00E37458"/>
    <w:rsid w:val="00E4215F"/>
    <w:rsid w:val="00E435E6"/>
    <w:rsid w:val="00E445D4"/>
    <w:rsid w:val="00E45287"/>
    <w:rsid w:val="00E45D57"/>
    <w:rsid w:val="00E466CA"/>
    <w:rsid w:val="00E46742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53D5"/>
    <w:rsid w:val="00E66404"/>
    <w:rsid w:val="00E66877"/>
    <w:rsid w:val="00E677D1"/>
    <w:rsid w:val="00E67EF1"/>
    <w:rsid w:val="00E71BC6"/>
    <w:rsid w:val="00E81339"/>
    <w:rsid w:val="00E81B85"/>
    <w:rsid w:val="00E83C0B"/>
    <w:rsid w:val="00E84FDA"/>
    <w:rsid w:val="00E85BCA"/>
    <w:rsid w:val="00E85C76"/>
    <w:rsid w:val="00E93938"/>
    <w:rsid w:val="00E94DB9"/>
    <w:rsid w:val="00E9576E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07E"/>
    <w:rsid w:val="00EA42B7"/>
    <w:rsid w:val="00EA5631"/>
    <w:rsid w:val="00EA6791"/>
    <w:rsid w:val="00EA69C1"/>
    <w:rsid w:val="00EA70B3"/>
    <w:rsid w:val="00EB0A1B"/>
    <w:rsid w:val="00EB12EA"/>
    <w:rsid w:val="00EB19CA"/>
    <w:rsid w:val="00EB4BB6"/>
    <w:rsid w:val="00EB70DA"/>
    <w:rsid w:val="00EC3CF4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115"/>
    <w:rsid w:val="00F029A8"/>
    <w:rsid w:val="00F04375"/>
    <w:rsid w:val="00F0472C"/>
    <w:rsid w:val="00F06A3A"/>
    <w:rsid w:val="00F07223"/>
    <w:rsid w:val="00F13052"/>
    <w:rsid w:val="00F20D09"/>
    <w:rsid w:val="00F21CD8"/>
    <w:rsid w:val="00F223F5"/>
    <w:rsid w:val="00F2481E"/>
    <w:rsid w:val="00F24E08"/>
    <w:rsid w:val="00F2647D"/>
    <w:rsid w:val="00F31275"/>
    <w:rsid w:val="00F31E02"/>
    <w:rsid w:val="00F327AB"/>
    <w:rsid w:val="00F33F15"/>
    <w:rsid w:val="00F34617"/>
    <w:rsid w:val="00F3599C"/>
    <w:rsid w:val="00F35E31"/>
    <w:rsid w:val="00F421CE"/>
    <w:rsid w:val="00F42A56"/>
    <w:rsid w:val="00F460BE"/>
    <w:rsid w:val="00F4659C"/>
    <w:rsid w:val="00F50DA9"/>
    <w:rsid w:val="00F524B1"/>
    <w:rsid w:val="00F54317"/>
    <w:rsid w:val="00F562AF"/>
    <w:rsid w:val="00F576A8"/>
    <w:rsid w:val="00F6231A"/>
    <w:rsid w:val="00F62868"/>
    <w:rsid w:val="00F63701"/>
    <w:rsid w:val="00F64520"/>
    <w:rsid w:val="00F64B90"/>
    <w:rsid w:val="00F65FDD"/>
    <w:rsid w:val="00F66452"/>
    <w:rsid w:val="00F665B4"/>
    <w:rsid w:val="00F67BFF"/>
    <w:rsid w:val="00F701CF"/>
    <w:rsid w:val="00F72740"/>
    <w:rsid w:val="00F74FC8"/>
    <w:rsid w:val="00F7544D"/>
    <w:rsid w:val="00F75FE0"/>
    <w:rsid w:val="00F75FF8"/>
    <w:rsid w:val="00F763CC"/>
    <w:rsid w:val="00F775E2"/>
    <w:rsid w:val="00F82B39"/>
    <w:rsid w:val="00F84669"/>
    <w:rsid w:val="00F87049"/>
    <w:rsid w:val="00F877E6"/>
    <w:rsid w:val="00F9160D"/>
    <w:rsid w:val="00F946BB"/>
    <w:rsid w:val="00F96717"/>
    <w:rsid w:val="00F96C4F"/>
    <w:rsid w:val="00F96D82"/>
    <w:rsid w:val="00F96E32"/>
    <w:rsid w:val="00F97000"/>
    <w:rsid w:val="00F9729A"/>
    <w:rsid w:val="00F97544"/>
    <w:rsid w:val="00FA18BD"/>
    <w:rsid w:val="00FA3BBA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5AE5"/>
    <w:rsid w:val="00FD6738"/>
    <w:rsid w:val="00FE1146"/>
    <w:rsid w:val="00FE2E7F"/>
    <w:rsid w:val="00FE331F"/>
    <w:rsid w:val="00FE4FEA"/>
    <w:rsid w:val="00FF15C7"/>
    <w:rsid w:val="00FF3335"/>
    <w:rsid w:val="00FF41AD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uiPriority w:val="99"/>
    <w:unhideWhenUsed/>
    <w:rsid w:val="009C5F0C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99428E"/>
    <w:pPr>
      <w:autoSpaceDE w:val="0"/>
      <w:autoSpaceDN w:val="0"/>
      <w:adjustRightInd w:val="0"/>
      <w:jc w:val="left"/>
    </w:pPr>
  </w:style>
  <w:style w:type="character" w:styleId="Emphasis">
    <w:name w:val="Emphasis"/>
    <w:uiPriority w:val="20"/>
    <w:qFormat/>
    <w:rsid w:val="0012396B"/>
    <w:rPr>
      <w:i/>
    </w:rPr>
  </w:style>
  <w:style w:type="paragraph" w:styleId="Header">
    <w:name w:val="header"/>
    <w:basedOn w:val="Normal"/>
    <w:link w:val="HeaderChar"/>
    <w:rsid w:val="004760E7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4760E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2471</Words>
  <Characters>14089</Characters>
  <Application>Microsoft Office Word</Application>
  <DocSecurity>0</DocSecurity>
  <Lines>0</Lines>
  <Paragraphs>0</Paragraphs>
  <ScaleCrop>false</ScaleCrop>
  <Company>UVSR</Company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2012-09-06T19:39:00Z</cp:lastPrinted>
  <dcterms:created xsi:type="dcterms:W3CDTF">2012-09-28T14:17:00Z</dcterms:created>
  <dcterms:modified xsi:type="dcterms:W3CDTF">2012-09-28T14:17:00Z</dcterms:modified>
</cp:coreProperties>
</file>